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979EC" w14:textId="15705F4C" w:rsidR="00E038BF" w:rsidRPr="00FE7622" w:rsidRDefault="00E038BF" w:rsidP="00F026E8">
      <w:pPr>
        <w:pStyle w:val="11MaintitlePrelimsPrelimsstyles"/>
        <w:rPr>
          <w:color w:val="auto"/>
        </w:rPr>
      </w:pPr>
      <w:commentRangeStart w:id="0"/>
      <w:r w:rsidRPr="00FE7622">
        <w:rPr>
          <w:color w:val="auto"/>
        </w:rPr>
        <w:t xml:space="preserve">Leucine and perindopril to improve physical performance in people over 70 years with sarcopenia: the </w:t>
      </w:r>
      <w:r w:rsidRPr="00842651">
        <w:rPr>
          <w:color w:val="auto"/>
        </w:rPr>
        <w:t>LACE</w:t>
      </w:r>
      <w:r w:rsidRPr="00FE7622">
        <w:rPr>
          <w:color w:val="auto"/>
        </w:rPr>
        <w:t xml:space="preserve"> factorial RCT</w:t>
      </w:r>
      <w:commentRangeEnd w:id="0"/>
      <w:r w:rsidRPr="00E038BF">
        <w:rPr>
          <w:color w:val="FF00FF"/>
          <w:sz w:val="24"/>
        </w:rPr>
        <w:t>[1]</w:t>
      </w:r>
      <w:commentRangeStart w:id="1"/>
      <w:commentRangeEnd w:id="1"/>
      <w:r w:rsidR="00291B83" w:rsidRPr="00FE7622">
        <w:rPr>
          <w:rStyle w:val="CommentReference"/>
          <w:rFonts w:ascii="Times New Roman" w:hAnsi="Times New Roman" w:cs="Times New Roman"/>
          <w:b w:val="0"/>
          <w:bCs w:val="0"/>
          <w:color w:val="auto"/>
          <w:lang w:val="en-US"/>
        </w:rPr>
        <w:commentReference w:id="1"/>
      </w:r>
    </w:p>
    <w:p w14:paraId="0A80699D" w14:textId="0542E768" w:rsidR="00F026E8" w:rsidRPr="00FE7622" w:rsidRDefault="00F026E8" w:rsidP="00CB506A">
      <w:pPr>
        <w:pStyle w:val="13TitlepageauthorsPrelimsPrelimsstyles"/>
      </w:pPr>
      <w:r w:rsidRPr="00FE7622">
        <w:t>Miles D Witham</w:t>
      </w:r>
      <w:r w:rsidR="00CB506A" w:rsidRPr="00FE7622">
        <w:t>,</w:t>
      </w:r>
      <w:r w:rsidR="00E038BF" w:rsidRPr="00FE7622">
        <w:rPr>
          <w:vertAlign w:val="superscript"/>
        </w:rPr>
        <w:t>1,2</w:t>
      </w:r>
      <w:r w:rsidR="00A32B70" w:rsidRPr="00FE7622">
        <w:t>*</w:t>
      </w:r>
      <w:r w:rsidRPr="00FE7622">
        <w:t xml:space="preserve"> Simon Adamson</w:t>
      </w:r>
      <w:r w:rsidR="00CB506A" w:rsidRPr="00FE7622">
        <w:t>,</w:t>
      </w:r>
      <w:r w:rsidR="00E038BF" w:rsidRPr="00FE7622">
        <w:rPr>
          <w:vertAlign w:val="superscript"/>
        </w:rPr>
        <w:t>3</w:t>
      </w:r>
      <w:r w:rsidRPr="00FE7622">
        <w:t xml:space="preserve"> Alison Avenell</w:t>
      </w:r>
      <w:r w:rsidR="00CB506A" w:rsidRPr="00FE7622">
        <w:t>,</w:t>
      </w:r>
      <w:r w:rsidR="00E038BF" w:rsidRPr="00FE7622">
        <w:rPr>
          <w:vertAlign w:val="superscript"/>
        </w:rPr>
        <w:t>4</w:t>
      </w:r>
      <w:r w:rsidRPr="00FE7622">
        <w:t xml:space="preserve"> Margaret M Band</w:t>
      </w:r>
      <w:r w:rsidR="00CB506A" w:rsidRPr="00FE7622">
        <w:t>,</w:t>
      </w:r>
      <w:r w:rsidR="00E038BF" w:rsidRPr="00FE7622">
        <w:rPr>
          <w:vertAlign w:val="superscript"/>
        </w:rPr>
        <w:t>3</w:t>
      </w:r>
      <w:r w:rsidRPr="00FE7622">
        <w:t xml:space="preserve"> Tufail Bashir</w:t>
      </w:r>
      <w:r w:rsidR="00CB506A" w:rsidRPr="00FE7622">
        <w:t>,</w:t>
      </w:r>
      <w:r w:rsidR="00E038BF" w:rsidRPr="00FE7622">
        <w:rPr>
          <w:vertAlign w:val="superscript"/>
        </w:rPr>
        <w:t>5</w:t>
      </w:r>
      <w:r w:rsidRPr="00FE7622">
        <w:t xml:space="preserve"> Peter T Donnan</w:t>
      </w:r>
      <w:r w:rsidR="00CB506A" w:rsidRPr="00FE7622">
        <w:t>,</w:t>
      </w:r>
      <w:r w:rsidR="00E038BF" w:rsidRPr="00FE7622">
        <w:rPr>
          <w:vertAlign w:val="superscript"/>
        </w:rPr>
        <w:t>3</w:t>
      </w:r>
      <w:r w:rsidRPr="00FE7622">
        <w:t xml:space="preserve"> Jacob George</w:t>
      </w:r>
      <w:r w:rsidR="00CB506A" w:rsidRPr="00FE7622">
        <w:t>,</w:t>
      </w:r>
      <w:r w:rsidR="00E038BF" w:rsidRPr="00FE7622">
        <w:rPr>
          <w:vertAlign w:val="superscript"/>
        </w:rPr>
        <w:t>2</w:t>
      </w:r>
      <w:r w:rsidRPr="00FE7622">
        <w:t xml:space="preserve"> Adrian Hapca</w:t>
      </w:r>
      <w:r w:rsidR="00CB506A" w:rsidRPr="00FE7622">
        <w:t>,</w:t>
      </w:r>
      <w:r w:rsidR="00E038BF" w:rsidRPr="00FE7622">
        <w:rPr>
          <w:vertAlign w:val="superscript"/>
        </w:rPr>
        <w:t>3</w:t>
      </w:r>
      <w:r w:rsidRPr="00FE7622">
        <w:t xml:space="preserve"> Cheryl Hume</w:t>
      </w:r>
      <w:r w:rsidR="00CB506A" w:rsidRPr="00FE7622">
        <w:t>,</w:t>
      </w:r>
      <w:r w:rsidR="00E038BF" w:rsidRPr="00FE7622">
        <w:rPr>
          <w:vertAlign w:val="superscript"/>
        </w:rPr>
        <w:t>3</w:t>
      </w:r>
      <w:r w:rsidRPr="00FE7622">
        <w:t xml:space="preserve"> Paul Kemp</w:t>
      </w:r>
      <w:r w:rsidR="00CB506A" w:rsidRPr="00FE7622">
        <w:t>,</w:t>
      </w:r>
      <w:r w:rsidR="00E038BF" w:rsidRPr="00FE7622">
        <w:rPr>
          <w:vertAlign w:val="superscript"/>
        </w:rPr>
        <w:t>5</w:t>
      </w:r>
      <w:r w:rsidRPr="00FE7622">
        <w:t xml:space="preserve"> Emma McKenzie</w:t>
      </w:r>
      <w:r w:rsidR="00CB506A" w:rsidRPr="00FE7622">
        <w:t>,</w:t>
      </w:r>
      <w:r w:rsidR="00E038BF" w:rsidRPr="00FE7622">
        <w:rPr>
          <w:vertAlign w:val="superscript"/>
        </w:rPr>
        <w:t>3</w:t>
      </w:r>
      <w:r w:rsidRPr="00FE7622">
        <w:t xml:space="preserve"> Kristina Pilvinyte</w:t>
      </w:r>
      <w:r w:rsidR="00CB506A" w:rsidRPr="00FE7622">
        <w:t>,</w:t>
      </w:r>
      <w:r w:rsidR="00E038BF" w:rsidRPr="00FE7622">
        <w:rPr>
          <w:vertAlign w:val="superscript"/>
        </w:rPr>
        <w:t>3</w:t>
      </w:r>
      <w:r w:rsidRPr="00FE7622">
        <w:t xml:space="preserve"> Christos Rossios</w:t>
      </w:r>
      <w:r w:rsidR="00CB506A" w:rsidRPr="00FE7622">
        <w:t>,</w:t>
      </w:r>
      <w:r w:rsidR="00E038BF" w:rsidRPr="00FE7622">
        <w:rPr>
          <w:vertAlign w:val="superscript"/>
        </w:rPr>
        <w:t>5</w:t>
      </w:r>
      <w:r w:rsidRPr="00FE7622">
        <w:t xml:space="preserve"> Karen Smith</w:t>
      </w:r>
      <w:r w:rsidR="00CB506A" w:rsidRPr="00FE7622">
        <w:t>,</w:t>
      </w:r>
      <w:r w:rsidR="00E038BF" w:rsidRPr="00FE7622">
        <w:rPr>
          <w:vertAlign w:val="superscript"/>
        </w:rPr>
        <w:t>3</w:t>
      </w:r>
      <w:r w:rsidRPr="00FE7622">
        <w:t xml:space="preserve"> Allan D Struthers</w:t>
      </w:r>
      <w:r w:rsidR="00E038BF" w:rsidRPr="00FE7622">
        <w:rPr>
          <w:vertAlign w:val="superscript"/>
        </w:rPr>
        <w:t>2</w:t>
      </w:r>
      <w:r w:rsidRPr="00FE7622">
        <w:t xml:space="preserve"> </w:t>
      </w:r>
      <w:r w:rsidR="00CB506A" w:rsidRPr="00FE7622">
        <w:t xml:space="preserve">and </w:t>
      </w:r>
      <w:r w:rsidRPr="00FE7622">
        <w:t>Deepa Sumukadas</w:t>
      </w:r>
      <w:r w:rsidR="00E038BF" w:rsidRPr="00FE7622">
        <w:rPr>
          <w:vertAlign w:val="superscript"/>
        </w:rPr>
        <w:t>6</w:t>
      </w:r>
    </w:p>
    <w:p w14:paraId="395CEBDC" w14:textId="72B4389A" w:rsidR="00F026E8" w:rsidRPr="00FE7622" w:rsidRDefault="00E038BF" w:rsidP="008017AA">
      <w:pPr>
        <w:pStyle w:val="15TitlepageaddressesPrelimsPrelimsstyles"/>
        <w:rPr>
          <w:color w:val="auto"/>
        </w:rPr>
      </w:pPr>
      <w:r w:rsidRPr="00FE7622">
        <w:rPr>
          <w:color w:val="auto"/>
          <w:vertAlign w:val="superscript"/>
        </w:rPr>
        <w:t>1</w:t>
      </w:r>
      <w:r w:rsidR="00F026E8" w:rsidRPr="00FE7622">
        <w:rPr>
          <w:color w:val="auto"/>
        </w:rPr>
        <w:t xml:space="preserve">AGE Research Group, </w:t>
      </w:r>
      <w:r w:rsidR="00F026E8" w:rsidRPr="00842651">
        <w:rPr>
          <w:color w:val="auto"/>
        </w:rPr>
        <w:t>NIHR</w:t>
      </w:r>
      <w:r w:rsidR="00F026E8" w:rsidRPr="00FE7622">
        <w:rPr>
          <w:color w:val="auto"/>
        </w:rPr>
        <w:t xml:space="preserve"> Newcastle Biomedical Research Centre, Newcastle University and Newcastle</w:t>
      </w:r>
      <w:r w:rsidR="008E5915" w:rsidRPr="00FE7622">
        <w:rPr>
          <w:color w:val="auto"/>
        </w:rPr>
        <w:t xml:space="preserve"> </w:t>
      </w:r>
      <w:r w:rsidR="00F026E8" w:rsidRPr="00FE7622">
        <w:rPr>
          <w:color w:val="auto"/>
        </w:rPr>
        <w:t>upon</w:t>
      </w:r>
      <w:r w:rsidR="008E5915" w:rsidRPr="00FE7622">
        <w:rPr>
          <w:color w:val="auto"/>
        </w:rPr>
        <w:t xml:space="preserve"> </w:t>
      </w:r>
      <w:r w:rsidR="00F026E8" w:rsidRPr="00FE7622">
        <w:rPr>
          <w:color w:val="auto"/>
        </w:rPr>
        <w:t>Tyne Hospitals Trust, Newcastle</w:t>
      </w:r>
      <w:r w:rsidR="008E5915" w:rsidRPr="00FE7622">
        <w:rPr>
          <w:color w:val="auto"/>
        </w:rPr>
        <w:t xml:space="preserve"> </w:t>
      </w:r>
      <w:r w:rsidR="00F026E8" w:rsidRPr="00FE7622">
        <w:rPr>
          <w:color w:val="auto"/>
        </w:rPr>
        <w:t>upon</w:t>
      </w:r>
      <w:r w:rsidR="008E5915" w:rsidRPr="00FE7622">
        <w:rPr>
          <w:color w:val="auto"/>
        </w:rPr>
        <w:t xml:space="preserve"> </w:t>
      </w:r>
      <w:r w:rsidR="00F026E8" w:rsidRPr="00FE7622">
        <w:rPr>
          <w:color w:val="auto"/>
        </w:rPr>
        <w:t>Tyne, UK</w:t>
      </w:r>
    </w:p>
    <w:p w14:paraId="3CD12E10" w14:textId="06EC5227" w:rsidR="00F026E8" w:rsidRPr="00FE7622" w:rsidRDefault="00E038BF" w:rsidP="008017AA">
      <w:pPr>
        <w:pStyle w:val="15TitlepageaddressesPrelimsPrelimsstyles"/>
        <w:rPr>
          <w:color w:val="auto"/>
        </w:rPr>
      </w:pPr>
      <w:r w:rsidRPr="00FE7622">
        <w:rPr>
          <w:color w:val="auto"/>
          <w:vertAlign w:val="superscript"/>
        </w:rPr>
        <w:t>2</w:t>
      </w:r>
      <w:r w:rsidR="00F026E8" w:rsidRPr="00FE7622">
        <w:rPr>
          <w:color w:val="auto"/>
        </w:rPr>
        <w:t>Molecular and Clinical Medicine, University of Dundee, Dundee, UK</w:t>
      </w:r>
    </w:p>
    <w:p w14:paraId="3FE0FF2B" w14:textId="33184C5B" w:rsidR="00F026E8" w:rsidRPr="00FE7622" w:rsidRDefault="00E038BF" w:rsidP="008017AA">
      <w:pPr>
        <w:pStyle w:val="15TitlepageaddressesPrelimsPrelimsstyles"/>
        <w:rPr>
          <w:color w:val="auto"/>
        </w:rPr>
      </w:pPr>
      <w:r w:rsidRPr="00FE7622">
        <w:rPr>
          <w:color w:val="auto"/>
          <w:vertAlign w:val="superscript"/>
        </w:rPr>
        <w:t>3</w:t>
      </w:r>
      <w:r w:rsidR="00F026E8" w:rsidRPr="00FE7622">
        <w:rPr>
          <w:color w:val="auto"/>
        </w:rPr>
        <w:t>Tayside Clinical Trials Unit, University of Dundee, Dundee, UK</w:t>
      </w:r>
    </w:p>
    <w:p w14:paraId="35A9E8EB" w14:textId="4635FCA6" w:rsidR="00F026E8" w:rsidRPr="00FE7622" w:rsidRDefault="00E038BF" w:rsidP="008017AA">
      <w:pPr>
        <w:pStyle w:val="15TitlepageaddressesPrelimsPrelimsstyles"/>
        <w:rPr>
          <w:color w:val="auto"/>
        </w:rPr>
      </w:pPr>
      <w:r w:rsidRPr="00FE7622">
        <w:rPr>
          <w:color w:val="auto"/>
          <w:vertAlign w:val="superscript"/>
        </w:rPr>
        <w:t>4</w:t>
      </w:r>
      <w:r w:rsidR="00F026E8" w:rsidRPr="00FE7622">
        <w:rPr>
          <w:color w:val="auto"/>
        </w:rPr>
        <w:t>Health Services Research Unit, University of Aberdeen, Aberdeen, UK</w:t>
      </w:r>
    </w:p>
    <w:p w14:paraId="5259401C" w14:textId="202A51FC" w:rsidR="00F026E8" w:rsidRPr="00FE7622" w:rsidRDefault="00E038BF" w:rsidP="008017AA">
      <w:pPr>
        <w:pStyle w:val="15TitlepageaddressesPrelimsPrelimsstyles"/>
        <w:rPr>
          <w:color w:val="auto"/>
        </w:rPr>
      </w:pPr>
      <w:r w:rsidRPr="00FE7622">
        <w:rPr>
          <w:color w:val="auto"/>
          <w:vertAlign w:val="superscript"/>
        </w:rPr>
        <w:t>5</w:t>
      </w:r>
      <w:r w:rsidR="00F026E8" w:rsidRPr="00FE7622">
        <w:rPr>
          <w:color w:val="auto"/>
        </w:rPr>
        <w:t>Cardiovascular and Respiratory Interface Section, National Heart and Lung Institute, Imperial College London, London, UK</w:t>
      </w:r>
    </w:p>
    <w:p w14:paraId="44FD499D" w14:textId="1297F6AF" w:rsidR="00F026E8" w:rsidRPr="00FE7622" w:rsidRDefault="00E038BF" w:rsidP="008017AA">
      <w:pPr>
        <w:pStyle w:val="15TitlepageaddressesPrelimsPrelimsstyles"/>
        <w:rPr>
          <w:color w:val="auto"/>
        </w:rPr>
      </w:pPr>
      <w:r w:rsidRPr="00FE7622">
        <w:rPr>
          <w:color w:val="auto"/>
          <w:vertAlign w:val="superscript"/>
        </w:rPr>
        <w:t>6</w:t>
      </w:r>
      <w:r w:rsidR="00F026E8" w:rsidRPr="00FE7622">
        <w:rPr>
          <w:color w:val="auto"/>
        </w:rPr>
        <w:t>Department of Medicine for the Elderly, NHS Tayside, Dundee, UK</w:t>
      </w:r>
    </w:p>
    <w:p w14:paraId="43FDE4E6" w14:textId="77777777" w:rsidR="00F026E8" w:rsidRPr="00FE7622" w:rsidRDefault="00F026E8" w:rsidP="008017AA">
      <w:pPr>
        <w:pStyle w:val="162TitlepagecorrespondingauthorPrelimsstyles"/>
        <w:rPr>
          <w:color w:val="auto"/>
        </w:rPr>
      </w:pPr>
      <w:r w:rsidRPr="00FE7622">
        <w:rPr>
          <w:color w:val="auto"/>
        </w:rPr>
        <w:t>*Corresponding author</w:t>
      </w:r>
    </w:p>
    <w:p w14:paraId="7E4335B9" w14:textId="328C902F" w:rsidR="00F026E8" w:rsidRPr="00FE7622" w:rsidRDefault="00E038BF" w:rsidP="006C2ECE">
      <w:pPr>
        <w:pStyle w:val="161TitlepagecompetinginterestsPrelimsstyles"/>
        <w:rPr>
          <w:color w:val="auto"/>
        </w:rPr>
      </w:pPr>
      <w:r w:rsidRPr="00FE7622">
        <w:rPr>
          <w:b/>
          <w:bCs/>
          <w:color w:val="auto"/>
        </w:rPr>
        <w:t>Declared competing interests of authors:</w:t>
      </w:r>
      <w:r w:rsidR="0BE0627A" w:rsidRPr="00FE7622">
        <w:rPr>
          <w:color w:val="auto"/>
        </w:rPr>
        <w:t xml:space="preserve"> Peter T Donnan is a member of the New Drugs Committee of the Scottish Medicines Consortium and reports a recent grant from AbbVie Pharmaceuticals (Maidenhead, UK). Miles </w:t>
      </w:r>
      <w:r w:rsidR="00393A57" w:rsidRPr="00FE7622">
        <w:rPr>
          <w:color w:val="auto"/>
        </w:rPr>
        <w:t xml:space="preserve">D </w:t>
      </w:r>
      <w:r w:rsidR="0BE0627A" w:rsidRPr="00FE7622">
        <w:rPr>
          <w:color w:val="auto"/>
        </w:rPr>
        <w:t xml:space="preserve">Witham is a member of </w:t>
      </w:r>
      <w:r w:rsidR="00A10C38" w:rsidRPr="00FE7622">
        <w:rPr>
          <w:color w:val="auto"/>
        </w:rPr>
        <w:t xml:space="preserve">the </w:t>
      </w:r>
      <w:r w:rsidR="0BE0627A" w:rsidRPr="00842651">
        <w:rPr>
          <w:color w:val="auto"/>
        </w:rPr>
        <w:t>N</w:t>
      </w:r>
      <w:r w:rsidR="00A10C38" w:rsidRPr="00842651">
        <w:rPr>
          <w:color w:val="auto"/>
        </w:rPr>
        <w:t xml:space="preserve">ational </w:t>
      </w:r>
      <w:r w:rsidR="0BE0627A" w:rsidRPr="00842651">
        <w:rPr>
          <w:color w:val="auto"/>
        </w:rPr>
        <w:t>I</w:t>
      </w:r>
      <w:r w:rsidR="00A10C38" w:rsidRPr="00842651">
        <w:rPr>
          <w:color w:val="auto"/>
        </w:rPr>
        <w:t xml:space="preserve">nstitute for </w:t>
      </w:r>
      <w:r w:rsidR="0BE0627A" w:rsidRPr="00842651">
        <w:rPr>
          <w:color w:val="auto"/>
        </w:rPr>
        <w:t>H</w:t>
      </w:r>
      <w:r w:rsidR="00A10C38" w:rsidRPr="00842651">
        <w:rPr>
          <w:color w:val="auto"/>
        </w:rPr>
        <w:t xml:space="preserve">ealth and Care </w:t>
      </w:r>
      <w:r w:rsidR="0BE0627A" w:rsidRPr="00842651">
        <w:rPr>
          <w:color w:val="auto"/>
        </w:rPr>
        <w:t>R</w:t>
      </w:r>
      <w:r w:rsidR="00A10C38" w:rsidRPr="00842651">
        <w:rPr>
          <w:color w:val="auto"/>
        </w:rPr>
        <w:t>esearch</w:t>
      </w:r>
      <w:r w:rsidR="0BE0627A" w:rsidRPr="00FE7622">
        <w:rPr>
          <w:color w:val="auto"/>
        </w:rPr>
        <w:t xml:space="preserve"> H</w:t>
      </w:r>
      <w:r w:rsidR="00A10C38" w:rsidRPr="00FE7622">
        <w:rPr>
          <w:color w:val="auto"/>
        </w:rPr>
        <w:t xml:space="preserve">ealth </w:t>
      </w:r>
      <w:r w:rsidR="0BE0627A" w:rsidRPr="00FE7622">
        <w:rPr>
          <w:color w:val="auto"/>
        </w:rPr>
        <w:t>T</w:t>
      </w:r>
      <w:r w:rsidR="00A10C38" w:rsidRPr="00FE7622">
        <w:rPr>
          <w:color w:val="auto"/>
        </w:rPr>
        <w:t xml:space="preserve">echnology </w:t>
      </w:r>
      <w:r w:rsidR="0BE0627A" w:rsidRPr="00FE7622">
        <w:rPr>
          <w:color w:val="auto"/>
        </w:rPr>
        <w:t>A</w:t>
      </w:r>
      <w:r w:rsidR="00A10C38" w:rsidRPr="00FE7622">
        <w:rPr>
          <w:color w:val="auto"/>
        </w:rPr>
        <w:t>ssessment</w:t>
      </w:r>
      <w:r w:rsidR="0BE0627A" w:rsidRPr="00FE7622">
        <w:rPr>
          <w:color w:val="auto"/>
        </w:rPr>
        <w:t xml:space="preserve"> Prioritisation Committee A (Out of Hospital)</w:t>
      </w:r>
      <w:r w:rsidR="00393A57" w:rsidRPr="00FE7622">
        <w:rPr>
          <w:color w:val="auto"/>
        </w:rPr>
        <w:t xml:space="preserve"> (November 2020–present)</w:t>
      </w:r>
      <w:r w:rsidR="0BE0627A" w:rsidRPr="00FE7622">
        <w:rPr>
          <w:color w:val="auto"/>
        </w:rPr>
        <w:t>.</w:t>
      </w:r>
    </w:p>
    <w:p w14:paraId="7D645E96" w14:textId="0408AC0E" w:rsidR="008E5915" w:rsidRPr="00FE7622" w:rsidRDefault="008E5915" w:rsidP="008E5915">
      <w:pPr>
        <w:pStyle w:val="17TitlepagepubdatePrelimsPrelimsstyles"/>
        <w:rPr>
          <w:color w:val="auto"/>
        </w:rPr>
      </w:pPr>
      <w:r w:rsidRPr="00FE7622">
        <w:rPr>
          <w:color w:val="auto"/>
        </w:rPr>
        <w:t>Published</w:t>
      </w:r>
      <w:r w:rsidRPr="00FE7622">
        <w:rPr>
          <w:color w:val="FF0000"/>
        </w:rPr>
        <w:t xml:space="preserve"> </w:t>
      </w:r>
      <w:r w:rsidRPr="00FE7622">
        <w:rPr>
          <w:color w:val="auto"/>
        </w:rPr>
        <w:t>XXXX</w:t>
      </w:r>
      <w:r w:rsidRPr="00FE7622">
        <w:rPr>
          <w:color w:val="FF0000"/>
        </w:rPr>
        <w:t xml:space="preserve"> </w:t>
      </w:r>
      <w:r w:rsidRPr="00FE7622">
        <w:rPr>
          <w:color w:val="auto"/>
        </w:rPr>
        <w:t>2022</w:t>
      </w:r>
    </w:p>
    <w:p w14:paraId="172F14D8" w14:textId="58D09AA1" w:rsidR="008E5915" w:rsidRPr="00FE7622" w:rsidRDefault="008E5915" w:rsidP="008E5915">
      <w:pPr>
        <w:pStyle w:val="18TitlepagedoiPrelimsPrelimsstyles"/>
        <w:rPr>
          <w:color w:val="FF0000"/>
        </w:rPr>
      </w:pPr>
      <w:r w:rsidRPr="00FE7622">
        <w:rPr>
          <w:color w:val="auto"/>
        </w:rPr>
        <w:t>DOI 10.3310/eme09</w:t>
      </w:r>
      <w:r w:rsidRPr="00FE7622">
        <w:rPr>
          <w:color w:val="FF0000"/>
        </w:rPr>
        <w:t>XXX</w:t>
      </w:r>
    </w:p>
    <w:p w14:paraId="33540310" w14:textId="3EC4C98E" w:rsidR="008E5915" w:rsidRPr="00FE7622" w:rsidRDefault="008E5915" w:rsidP="008E5915">
      <w:pPr>
        <w:pStyle w:val="16TitlepagetextPrelimsPrelimsstyles"/>
        <w:rPr>
          <w:color w:val="auto"/>
        </w:rPr>
      </w:pPr>
      <w:r w:rsidRPr="00FE7622">
        <w:rPr>
          <w:color w:val="auto"/>
        </w:rPr>
        <w:t>This report should be referenced as follows:</w:t>
      </w:r>
    </w:p>
    <w:p w14:paraId="1E75144B" w14:textId="55841E95" w:rsidR="008E5915" w:rsidRPr="00FE7622" w:rsidRDefault="00957030" w:rsidP="00064EF4">
      <w:pPr>
        <w:pStyle w:val="16TitlepagetextPrelimsPrelimsstyles"/>
        <w:rPr>
          <w:color w:val="auto"/>
        </w:rPr>
      </w:pPr>
      <w:r w:rsidRPr="00FE7622">
        <w:rPr>
          <w:color w:val="auto"/>
        </w:rPr>
        <w:t xml:space="preserve">Witham MD, Adamson S, Avenell A, Band MM, Bashir T, Donnan PT, </w:t>
      </w:r>
      <w:r w:rsidR="00E038BF" w:rsidRPr="00FE7622">
        <w:rPr>
          <w:i/>
          <w:iCs/>
          <w:color w:val="auto"/>
        </w:rPr>
        <w:t>et</w:t>
      </w:r>
      <w:r w:rsidRPr="00FE7622">
        <w:rPr>
          <w:color w:val="auto"/>
        </w:rPr>
        <w:t xml:space="preserve"> </w:t>
      </w:r>
      <w:r w:rsidR="00E038BF" w:rsidRPr="00FE7622">
        <w:rPr>
          <w:i/>
          <w:iCs/>
          <w:color w:val="auto"/>
        </w:rPr>
        <w:t>al</w:t>
      </w:r>
      <w:r w:rsidR="008E5915" w:rsidRPr="00FE7622">
        <w:rPr>
          <w:color w:val="auto"/>
        </w:rPr>
        <w:t xml:space="preserve">. </w:t>
      </w:r>
      <w:r w:rsidR="005468EA" w:rsidRPr="00FE7622">
        <w:rPr>
          <w:color w:val="auto"/>
        </w:rPr>
        <w:t xml:space="preserve">Leucine and perindopril to improve physical performance in people over 70 </w:t>
      </w:r>
      <w:r w:rsidR="00074BA2" w:rsidRPr="00FE7622">
        <w:rPr>
          <w:color w:val="auto"/>
        </w:rPr>
        <w:t xml:space="preserve">years </w:t>
      </w:r>
      <w:r w:rsidR="005468EA" w:rsidRPr="00FE7622">
        <w:rPr>
          <w:color w:val="auto"/>
        </w:rPr>
        <w:t xml:space="preserve">with sarcopenia: the </w:t>
      </w:r>
      <w:r w:rsidR="005468EA" w:rsidRPr="00842651">
        <w:rPr>
          <w:color w:val="auto"/>
        </w:rPr>
        <w:t>LACE</w:t>
      </w:r>
      <w:r w:rsidR="005468EA" w:rsidRPr="00FE7622">
        <w:rPr>
          <w:color w:val="auto"/>
        </w:rPr>
        <w:t xml:space="preserve"> factorial RCT</w:t>
      </w:r>
      <w:r w:rsidR="008E5915" w:rsidRPr="00FE7622">
        <w:rPr>
          <w:color w:val="auto"/>
        </w:rPr>
        <w:t xml:space="preserve">. </w:t>
      </w:r>
      <w:r w:rsidR="00E038BF" w:rsidRPr="00FE7622">
        <w:rPr>
          <w:i/>
          <w:color w:val="auto"/>
        </w:rPr>
        <w:t>Efficacy Mech Eval</w:t>
      </w:r>
      <w:r w:rsidR="008E5915" w:rsidRPr="00FE7622">
        <w:rPr>
          <w:color w:val="auto"/>
        </w:rPr>
        <w:t xml:space="preserve"> 2022;</w:t>
      </w:r>
      <w:r w:rsidR="00E038BF" w:rsidRPr="00FE7622">
        <w:rPr>
          <w:b/>
          <w:bCs/>
          <w:color w:val="auto"/>
        </w:rPr>
        <w:t>9</w:t>
      </w:r>
      <w:r w:rsidR="008E5915" w:rsidRPr="00FE7622">
        <w:rPr>
          <w:color w:val="auto"/>
        </w:rPr>
        <w:t>(XX).</w:t>
      </w:r>
    </w:p>
    <w:p w14:paraId="5279A657" w14:textId="77777777" w:rsidR="00F026E8" w:rsidRPr="00FE7622" w:rsidRDefault="00F026E8" w:rsidP="006C2ECE">
      <w:pPr>
        <w:pStyle w:val="43PrelimtitleHeadingsHeadingstyles"/>
      </w:pPr>
      <w:bookmarkStart w:id="2" w:name="_Toc79684460"/>
      <w:r w:rsidRPr="00FE7622">
        <w:t>Abstract</w:t>
      </w:r>
      <w:bookmarkEnd w:id="2"/>
    </w:p>
    <w:p w14:paraId="05C7F1AB" w14:textId="586BBE9E" w:rsidR="00E038BF" w:rsidRPr="00FE7622" w:rsidRDefault="00E038BF" w:rsidP="00A32B70">
      <w:pPr>
        <w:pStyle w:val="151AbstracttitlePrelimsPrelimsstyles"/>
      </w:pPr>
      <w:r w:rsidRPr="00FE7622">
        <w:lastRenderedPageBreak/>
        <w:t xml:space="preserve">Leucine and perindopril to improve physical performance in people over 70 years with sarcopenia: the </w:t>
      </w:r>
      <w:r w:rsidRPr="00842651">
        <w:rPr>
          <w:color w:val="auto"/>
        </w:rPr>
        <w:t>LACE</w:t>
      </w:r>
      <w:r w:rsidRPr="00FE7622">
        <w:t xml:space="preserve"> factorial </w:t>
      </w:r>
      <w:r w:rsidRPr="00FE7622">
        <w:rPr>
          <w:color w:val="auto"/>
        </w:rPr>
        <w:t>RCT</w:t>
      </w:r>
    </w:p>
    <w:p w14:paraId="354BBF78" w14:textId="71A849DB" w:rsidR="00F026E8" w:rsidRPr="00FE7622" w:rsidRDefault="00F026E8" w:rsidP="00A32B70">
      <w:pPr>
        <w:pStyle w:val="152AbstractauthorsPrelimsPrelimsstyles"/>
      </w:pPr>
      <w:r w:rsidRPr="00FE7622">
        <w:t>Miles D Witham</w:t>
      </w:r>
      <w:r w:rsidR="00A32B70" w:rsidRPr="00FE7622">
        <w:t>,</w:t>
      </w:r>
      <w:r w:rsidR="00E038BF" w:rsidRPr="00FE7622">
        <w:rPr>
          <w:vertAlign w:val="superscript"/>
        </w:rPr>
        <w:t>1,2</w:t>
      </w:r>
      <w:r w:rsidR="00A32B70" w:rsidRPr="00FE7622">
        <w:t>*</w:t>
      </w:r>
      <w:r w:rsidRPr="00FE7622">
        <w:t xml:space="preserve"> Simon Adamson</w:t>
      </w:r>
      <w:r w:rsidR="00A32B70" w:rsidRPr="00FE7622">
        <w:t>,</w:t>
      </w:r>
      <w:r w:rsidR="00E038BF" w:rsidRPr="00FE7622">
        <w:rPr>
          <w:vertAlign w:val="superscript"/>
        </w:rPr>
        <w:t>3</w:t>
      </w:r>
      <w:r w:rsidRPr="00FE7622">
        <w:t xml:space="preserve"> Alison Avenell</w:t>
      </w:r>
      <w:r w:rsidR="00A32B70" w:rsidRPr="00FE7622">
        <w:t>,</w:t>
      </w:r>
      <w:r w:rsidR="00E038BF" w:rsidRPr="00FE7622">
        <w:rPr>
          <w:vertAlign w:val="superscript"/>
        </w:rPr>
        <w:t>4</w:t>
      </w:r>
      <w:r w:rsidRPr="00FE7622">
        <w:t xml:space="preserve"> Margaret M Band</w:t>
      </w:r>
      <w:r w:rsidR="00A32B70" w:rsidRPr="00FE7622">
        <w:t>,</w:t>
      </w:r>
      <w:r w:rsidR="00E038BF" w:rsidRPr="00FE7622">
        <w:rPr>
          <w:vertAlign w:val="superscript"/>
        </w:rPr>
        <w:t>3</w:t>
      </w:r>
      <w:r w:rsidRPr="00FE7622">
        <w:t xml:space="preserve"> Tufail Bashir</w:t>
      </w:r>
      <w:r w:rsidR="00A32B70" w:rsidRPr="00FE7622">
        <w:t>,</w:t>
      </w:r>
      <w:r w:rsidR="00E038BF" w:rsidRPr="00FE7622">
        <w:rPr>
          <w:vertAlign w:val="superscript"/>
        </w:rPr>
        <w:t>5</w:t>
      </w:r>
      <w:r w:rsidRPr="00FE7622">
        <w:t xml:space="preserve"> Peter T Donnan</w:t>
      </w:r>
      <w:r w:rsidR="00A32B70" w:rsidRPr="00FE7622">
        <w:t>,</w:t>
      </w:r>
      <w:r w:rsidR="00E038BF" w:rsidRPr="00FE7622">
        <w:rPr>
          <w:vertAlign w:val="superscript"/>
        </w:rPr>
        <w:t>3</w:t>
      </w:r>
      <w:r w:rsidRPr="00FE7622">
        <w:t xml:space="preserve"> Jacob George</w:t>
      </w:r>
      <w:r w:rsidR="00A32B70" w:rsidRPr="00FE7622">
        <w:t>,</w:t>
      </w:r>
      <w:r w:rsidR="00E038BF" w:rsidRPr="00FE7622">
        <w:rPr>
          <w:vertAlign w:val="superscript"/>
        </w:rPr>
        <w:t>2</w:t>
      </w:r>
      <w:r w:rsidRPr="00FE7622">
        <w:t xml:space="preserve"> Adrian Hapca</w:t>
      </w:r>
      <w:r w:rsidR="00A32B70" w:rsidRPr="00FE7622">
        <w:t>,</w:t>
      </w:r>
      <w:r w:rsidR="00E038BF" w:rsidRPr="00FE7622">
        <w:rPr>
          <w:vertAlign w:val="superscript"/>
        </w:rPr>
        <w:t>3</w:t>
      </w:r>
      <w:r w:rsidRPr="00FE7622">
        <w:t xml:space="preserve"> Cheryl Hume</w:t>
      </w:r>
      <w:r w:rsidR="00A32B70" w:rsidRPr="00FE7622">
        <w:t>,</w:t>
      </w:r>
      <w:r w:rsidR="00E038BF" w:rsidRPr="00FE7622">
        <w:rPr>
          <w:vertAlign w:val="superscript"/>
        </w:rPr>
        <w:t>3</w:t>
      </w:r>
      <w:r w:rsidRPr="00FE7622">
        <w:t xml:space="preserve"> Paul Kemp</w:t>
      </w:r>
      <w:r w:rsidR="00A32B70" w:rsidRPr="00FE7622">
        <w:t>,</w:t>
      </w:r>
      <w:r w:rsidR="00E038BF" w:rsidRPr="00FE7622">
        <w:rPr>
          <w:vertAlign w:val="superscript"/>
        </w:rPr>
        <w:t>5</w:t>
      </w:r>
      <w:r w:rsidRPr="00FE7622">
        <w:t xml:space="preserve"> Emma McKenzie</w:t>
      </w:r>
      <w:r w:rsidR="00A32B70" w:rsidRPr="00FE7622">
        <w:t>,</w:t>
      </w:r>
      <w:r w:rsidR="00E038BF" w:rsidRPr="00FE7622">
        <w:rPr>
          <w:vertAlign w:val="superscript"/>
        </w:rPr>
        <w:t>3</w:t>
      </w:r>
      <w:r w:rsidRPr="00FE7622">
        <w:t xml:space="preserve"> Kristina Pilvinyte</w:t>
      </w:r>
      <w:r w:rsidR="00A32B70" w:rsidRPr="00FE7622">
        <w:t>,</w:t>
      </w:r>
      <w:r w:rsidR="00E038BF" w:rsidRPr="00FE7622">
        <w:rPr>
          <w:vertAlign w:val="superscript"/>
        </w:rPr>
        <w:t>3</w:t>
      </w:r>
      <w:r w:rsidRPr="00FE7622">
        <w:t xml:space="preserve"> Christos Rossios</w:t>
      </w:r>
      <w:r w:rsidR="00A32B70" w:rsidRPr="00FE7622">
        <w:t>,</w:t>
      </w:r>
      <w:r w:rsidR="00E038BF" w:rsidRPr="00FE7622">
        <w:rPr>
          <w:vertAlign w:val="superscript"/>
        </w:rPr>
        <w:t>5</w:t>
      </w:r>
      <w:r w:rsidRPr="00FE7622">
        <w:t xml:space="preserve"> Karen Smith</w:t>
      </w:r>
      <w:r w:rsidR="00A32B70" w:rsidRPr="00FE7622">
        <w:t>,</w:t>
      </w:r>
      <w:r w:rsidR="00E038BF" w:rsidRPr="00FE7622">
        <w:rPr>
          <w:vertAlign w:val="superscript"/>
        </w:rPr>
        <w:t>3</w:t>
      </w:r>
      <w:r w:rsidRPr="00FE7622">
        <w:t xml:space="preserve"> Allan D Struthers</w:t>
      </w:r>
      <w:r w:rsidR="00E038BF" w:rsidRPr="00FE7622">
        <w:rPr>
          <w:vertAlign w:val="superscript"/>
        </w:rPr>
        <w:t>2</w:t>
      </w:r>
      <w:r w:rsidRPr="00FE7622">
        <w:t xml:space="preserve"> </w:t>
      </w:r>
      <w:r w:rsidR="00A32B70" w:rsidRPr="00FE7622">
        <w:t xml:space="preserve">and </w:t>
      </w:r>
      <w:r w:rsidRPr="00FE7622">
        <w:t>Deepa Sumukadas</w:t>
      </w:r>
      <w:r w:rsidR="00E038BF" w:rsidRPr="00FE7622">
        <w:rPr>
          <w:vertAlign w:val="superscript"/>
        </w:rPr>
        <w:t>6</w:t>
      </w:r>
    </w:p>
    <w:p w14:paraId="4DE46DCA" w14:textId="60264C7E" w:rsidR="00792CBB" w:rsidRPr="00FE7622" w:rsidRDefault="00E038BF" w:rsidP="00792CBB">
      <w:pPr>
        <w:pStyle w:val="153AbstractaddressesPrelimsPrelimsstyles"/>
        <w:rPr>
          <w:color w:val="auto"/>
        </w:rPr>
      </w:pPr>
      <w:r w:rsidRPr="00FE7622">
        <w:rPr>
          <w:color w:val="auto"/>
          <w:vertAlign w:val="superscript"/>
        </w:rPr>
        <w:t>1</w:t>
      </w:r>
      <w:r w:rsidR="00792CBB" w:rsidRPr="00FE7622">
        <w:rPr>
          <w:color w:val="auto"/>
        </w:rPr>
        <w:t xml:space="preserve">AGE Research Group, </w:t>
      </w:r>
      <w:r w:rsidR="00792CBB" w:rsidRPr="00842651">
        <w:rPr>
          <w:color w:val="auto"/>
        </w:rPr>
        <w:t>NIHR</w:t>
      </w:r>
      <w:r w:rsidR="00792CBB" w:rsidRPr="00FE7622">
        <w:rPr>
          <w:color w:val="auto"/>
        </w:rPr>
        <w:t xml:space="preserve"> Newcastle Biomedical Research Centre, Newcastle University and Newcastle upon Tyne Hospitals Trust, Newcastle upon Tyne, UK</w:t>
      </w:r>
    </w:p>
    <w:p w14:paraId="4F54C1AA" w14:textId="38517A61" w:rsidR="00792CBB" w:rsidRPr="00FE7622" w:rsidRDefault="00E038BF" w:rsidP="00792CBB">
      <w:pPr>
        <w:pStyle w:val="153AbstractaddressesPrelimsPrelimsstyles"/>
        <w:rPr>
          <w:color w:val="auto"/>
        </w:rPr>
      </w:pPr>
      <w:r w:rsidRPr="00FE7622">
        <w:rPr>
          <w:color w:val="auto"/>
          <w:vertAlign w:val="superscript"/>
        </w:rPr>
        <w:t>2</w:t>
      </w:r>
      <w:r w:rsidR="00792CBB" w:rsidRPr="00FE7622">
        <w:rPr>
          <w:color w:val="auto"/>
        </w:rPr>
        <w:t>Molecular and Clinical Medicine, University of Dundee, Dundee, UK</w:t>
      </w:r>
    </w:p>
    <w:p w14:paraId="01966417" w14:textId="28D0B7B4" w:rsidR="00792CBB" w:rsidRPr="00FE7622" w:rsidRDefault="00E038BF" w:rsidP="00792CBB">
      <w:pPr>
        <w:pStyle w:val="153AbstractaddressesPrelimsPrelimsstyles"/>
        <w:rPr>
          <w:color w:val="auto"/>
        </w:rPr>
      </w:pPr>
      <w:r w:rsidRPr="00FE7622">
        <w:rPr>
          <w:color w:val="auto"/>
          <w:vertAlign w:val="superscript"/>
        </w:rPr>
        <w:t>3</w:t>
      </w:r>
      <w:r w:rsidR="00792CBB" w:rsidRPr="00FE7622">
        <w:rPr>
          <w:color w:val="auto"/>
        </w:rPr>
        <w:t>Tayside Clinical Trials Unit, University of Dundee, Dundee, UK</w:t>
      </w:r>
    </w:p>
    <w:p w14:paraId="018A64DB" w14:textId="6A242D69" w:rsidR="00792CBB" w:rsidRPr="00FE7622" w:rsidRDefault="00E038BF" w:rsidP="00792CBB">
      <w:pPr>
        <w:pStyle w:val="153AbstractaddressesPrelimsPrelimsstyles"/>
        <w:rPr>
          <w:color w:val="auto"/>
        </w:rPr>
      </w:pPr>
      <w:r w:rsidRPr="00FE7622">
        <w:rPr>
          <w:color w:val="auto"/>
          <w:vertAlign w:val="superscript"/>
        </w:rPr>
        <w:t>4</w:t>
      </w:r>
      <w:r w:rsidR="00792CBB" w:rsidRPr="00FE7622">
        <w:rPr>
          <w:color w:val="auto"/>
        </w:rPr>
        <w:t>Health Services Research Unit, University of Aberdeen, Aberdeen, UK</w:t>
      </w:r>
    </w:p>
    <w:p w14:paraId="354BD644" w14:textId="08EEF7C1" w:rsidR="00792CBB" w:rsidRPr="00FE7622" w:rsidRDefault="00E038BF" w:rsidP="00792CBB">
      <w:pPr>
        <w:pStyle w:val="153AbstractaddressesPrelimsPrelimsstyles"/>
        <w:rPr>
          <w:color w:val="auto"/>
        </w:rPr>
      </w:pPr>
      <w:r w:rsidRPr="00FE7622">
        <w:rPr>
          <w:color w:val="auto"/>
          <w:vertAlign w:val="superscript"/>
        </w:rPr>
        <w:t>5</w:t>
      </w:r>
      <w:r w:rsidR="00792CBB" w:rsidRPr="00FE7622">
        <w:rPr>
          <w:color w:val="auto"/>
        </w:rPr>
        <w:t>Cardiovascular and Respiratory Interface Section, National Heart and Lung Institute, Imperial College London, London, UK</w:t>
      </w:r>
    </w:p>
    <w:p w14:paraId="766DF885" w14:textId="52A35C16" w:rsidR="00F026E8" w:rsidRPr="00FE7622" w:rsidRDefault="00E038BF" w:rsidP="00792CBB">
      <w:pPr>
        <w:pStyle w:val="153AbstractaddressesPrelimsPrelimsstyles"/>
        <w:rPr>
          <w:color w:val="auto"/>
        </w:rPr>
      </w:pPr>
      <w:r w:rsidRPr="00FE7622">
        <w:rPr>
          <w:color w:val="auto"/>
          <w:vertAlign w:val="superscript"/>
        </w:rPr>
        <w:t>6</w:t>
      </w:r>
      <w:r w:rsidR="00792CBB" w:rsidRPr="00FE7622">
        <w:rPr>
          <w:color w:val="auto"/>
        </w:rPr>
        <w:t>Department of Medicine for the Elderly, NHS Tayside, Dundee, UK</w:t>
      </w:r>
    </w:p>
    <w:p w14:paraId="73E40EE8" w14:textId="77777777" w:rsidR="00F026E8" w:rsidRPr="00FE7622" w:rsidRDefault="00F026E8" w:rsidP="00A32B70">
      <w:pPr>
        <w:pStyle w:val="155AbstracttextcorrespondingauthorPrelimsstyles"/>
        <w:rPr>
          <w:color w:val="193E72"/>
        </w:rPr>
      </w:pPr>
      <w:r w:rsidRPr="00FE7622">
        <w:rPr>
          <w:color w:val="193E72"/>
        </w:rPr>
        <w:t>*Corresponding author Miles.Witham@newcastle.ac.uk</w:t>
      </w:r>
    </w:p>
    <w:p w14:paraId="0F1CDF95" w14:textId="4451972F" w:rsidR="00F026E8" w:rsidRPr="00FE7622" w:rsidRDefault="00E038BF" w:rsidP="00A32B70">
      <w:pPr>
        <w:pStyle w:val="154AbstracttextfoPrelimsPrelimsstyles"/>
      </w:pPr>
      <w:r w:rsidRPr="00FE7622">
        <w:rPr>
          <w:b/>
          <w:bCs/>
        </w:rPr>
        <w:t>Background:</w:t>
      </w:r>
      <w:r w:rsidR="0BE0627A" w:rsidRPr="00FE7622">
        <w:t xml:space="preserve"> Angiotensin-converting enzyme inhibitors and leucine are promising potential treatments for sarcopenia. Neither has yet been tested in adequately powered randomised trials in patient</w:t>
      </w:r>
      <w:r w:rsidR="00FA4999" w:rsidRPr="00FE7622">
        <w:t>s with sarcopenia</w:t>
      </w:r>
      <w:r w:rsidR="0BE0627A" w:rsidRPr="00FE7622">
        <w:t>.</w:t>
      </w:r>
    </w:p>
    <w:p w14:paraId="61BA0FFF" w14:textId="0921B7C0" w:rsidR="00F026E8" w:rsidRPr="00FE7622" w:rsidRDefault="00E038BF" w:rsidP="00A32B70">
      <w:pPr>
        <w:pStyle w:val="154AbstracttextfoPrelimsPrelimsstyles"/>
      </w:pPr>
      <w:r w:rsidRPr="00FE7622">
        <w:rPr>
          <w:b/>
        </w:rPr>
        <w:t>Objectives:</w:t>
      </w:r>
      <w:r w:rsidR="00F026E8" w:rsidRPr="00FE7622">
        <w:t xml:space="preserve"> To determine the efficacy of leucine and perindopril in improving physical function in older people with sarcopenia, to evaluate the effect of leucine and perindopril on muscle mass and to evaluate </w:t>
      </w:r>
      <w:r w:rsidR="00064EF4" w:rsidRPr="00FE7622">
        <w:t xml:space="preserve">the </w:t>
      </w:r>
      <w:r w:rsidR="00F026E8" w:rsidRPr="00FE7622">
        <w:t>predictive biomarkers of sarcopenia.</w:t>
      </w:r>
    </w:p>
    <w:p w14:paraId="3A04A4AB" w14:textId="6D92F3C6" w:rsidR="00F026E8" w:rsidRPr="00FE7622" w:rsidRDefault="00E038BF" w:rsidP="00A32B70">
      <w:pPr>
        <w:pStyle w:val="154AbstracttextfoPrelimsPrelimsstyles"/>
      </w:pPr>
      <w:r w:rsidRPr="00FE7622">
        <w:rPr>
          <w:b/>
        </w:rPr>
        <w:t>Design:</w:t>
      </w:r>
      <w:r w:rsidR="00F026E8" w:rsidRPr="00FE7622">
        <w:t xml:space="preserve"> </w:t>
      </w:r>
      <w:r w:rsidR="00B67920" w:rsidRPr="00FE7622">
        <w:t>A p</w:t>
      </w:r>
      <w:r w:rsidR="00F026E8" w:rsidRPr="00FE7622">
        <w:t xml:space="preserve">lacebo-controlled, parallel group, double-blind, randomised </w:t>
      </w:r>
      <w:r w:rsidR="00A5139C" w:rsidRPr="00FE7622">
        <w:t>2 × 2</w:t>
      </w:r>
      <w:r w:rsidR="00F026E8" w:rsidRPr="00FE7622">
        <w:t xml:space="preserve"> factorial trial.</w:t>
      </w:r>
    </w:p>
    <w:p w14:paraId="5F2E17B3" w14:textId="399EE785" w:rsidR="00F026E8" w:rsidRPr="00FE7622" w:rsidRDefault="00E038BF" w:rsidP="00A32B70">
      <w:pPr>
        <w:pStyle w:val="154AbstracttextfoPrelimsPrelimsstyles"/>
      </w:pPr>
      <w:r w:rsidRPr="00FE7622">
        <w:rPr>
          <w:b/>
        </w:rPr>
        <w:t>Setting:</w:t>
      </w:r>
      <w:r w:rsidR="00F026E8" w:rsidRPr="00FE7622">
        <w:t xml:space="preserve"> Primary care and geriatric medicine secondary care departments in 14 UK centres</w:t>
      </w:r>
      <w:r w:rsidR="00957030" w:rsidRPr="00FE7622">
        <w:t>.</w:t>
      </w:r>
    </w:p>
    <w:p w14:paraId="0650173B" w14:textId="2024A512" w:rsidR="00F026E8" w:rsidRPr="00FE7622" w:rsidRDefault="00E038BF" w:rsidP="00A32B70">
      <w:pPr>
        <w:pStyle w:val="154AbstracttextfoPrelimsPrelimsstyles"/>
      </w:pPr>
      <w:r w:rsidRPr="00FE7622">
        <w:rPr>
          <w:b/>
        </w:rPr>
        <w:t>Participants:</w:t>
      </w:r>
      <w:r w:rsidR="00F026E8" w:rsidRPr="00FE7622">
        <w:t xml:space="preserve"> Adults aged </w:t>
      </w:r>
      <w:r w:rsidR="00F026E8" w:rsidRPr="00FE7622">
        <w:rPr>
          <w:rFonts w:cs="Calibri"/>
        </w:rPr>
        <w:t>≥ </w:t>
      </w:r>
      <w:r w:rsidR="00F026E8" w:rsidRPr="00FE7622">
        <w:t xml:space="preserve">70 years with low muscle strength and mass, without contraindications to </w:t>
      </w:r>
      <w:r w:rsidR="006B14DC" w:rsidRPr="00FE7622">
        <w:t xml:space="preserve">angiotensin-converting enzyme </w:t>
      </w:r>
      <w:r w:rsidR="00F026E8" w:rsidRPr="00FE7622">
        <w:t>inhibitors and without known diagnosis-specific skeletal myopathy</w:t>
      </w:r>
      <w:r w:rsidR="0029796B" w:rsidRPr="00FE7622">
        <w:t>.</w:t>
      </w:r>
    </w:p>
    <w:p w14:paraId="4997E6CF" w14:textId="38DD6F84" w:rsidR="00F026E8" w:rsidRPr="00FE7622" w:rsidRDefault="00E038BF" w:rsidP="00A32B70">
      <w:pPr>
        <w:pStyle w:val="154AbstracttextfoPrelimsPrelimsstyles"/>
      </w:pPr>
      <w:r w:rsidRPr="00FE7622">
        <w:rPr>
          <w:b/>
        </w:rPr>
        <w:t>Interventions:</w:t>
      </w:r>
      <w:r w:rsidR="00F026E8" w:rsidRPr="00FE7622">
        <w:t xml:space="preserve"> Eligible participants were randomised 1</w:t>
      </w:r>
      <w:r w:rsidR="0029796B" w:rsidRPr="00FE7622">
        <w:t> </w:t>
      </w:r>
      <w:r w:rsidR="00F026E8" w:rsidRPr="00FE7622">
        <w:t>:</w:t>
      </w:r>
      <w:r w:rsidR="0029796B" w:rsidRPr="00FE7622">
        <w:t> </w:t>
      </w:r>
      <w:r w:rsidR="00F026E8" w:rsidRPr="00FE7622">
        <w:t xml:space="preserve">1 to </w:t>
      </w:r>
      <w:r w:rsidR="008D6DBF" w:rsidRPr="00FE7622">
        <w:t xml:space="preserve">receive </w:t>
      </w:r>
      <w:r w:rsidR="00F026E8" w:rsidRPr="00FE7622">
        <w:t xml:space="preserve">4 mg </w:t>
      </w:r>
      <w:r w:rsidR="0029796B" w:rsidRPr="00FE7622">
        <w:t xml:space="preserve">of </w:t>
      </w:r>
      <w:r w:rsidR="00F026E8" w:rsidRPr="00FE7622">
        <w:t xml:space="preserve">oral perindopril or </w:t>
      </w:r>
      <w:r w:rsidR="008D6DBF" w:rsidRPr="00FE7622">
        <w:t xml:space="preserve">a </w:t>
      </w:r>
      <w:r w:rsidR="00F026E8" w:rsidRPr="00FE7622">
        <w:t>matching placebo and</w:t>
      </w:r>
      <w:r w:rsidR="0029796B" w:rsidRPr="00FE7622">
        <w:t>,</w:t>
      </w:r>
      <w:r w:rsidR="00F026E8" w:rsidRPr="00FE7622">
        <w:t xml:space="preserve"> separately</w:t>
      </w:r>
      <w:r w:rsidR="0029796B" w:rsidRPr="00FE7622">
        <w:t>,</w:t>
      </w:r>
      <w:r w:rsidR="00F026E8" w:rsidRPr="00FE7622">
        <w:t xml:space="preserve"> </w:t>
      </w:r>
      <w:r w:rsidR="008D6DBF" w:rsidRPr="00FE7622">
        <w:t xml:space="preserve">were </w:t>
      </w:r>
      <w:r w:rsidR="00F026E8" w:rsidRPr="00FE7622">
        <w:t>randomised 1</w:t>
      </w:r>
      <w:r w:rsidR="0029796B" w:rsidRPr="00FE7622">
        <w:t> </w:t>
      </w:r>
      <w:r w:rsidR="00F026E8" w:rsidRPr="00FE7622">
        <w:t>:</w:t>
      </w:r>
      <w:r w:rsidR="0029796B" w:rsidRPr="00FE7622">
        <w:t> </w:t>
      </w:r>
      <w:r w:rsidR="00F026E8" w:rsidRPr="00FE7622">
        <w:t xml:space="preserve">1 to </w:t>
      </w:r>
      <w:r w:rsidR="008D6DBF" w:rsidRPr="00FE7622">
        <w:t xml:space="preserve">receive </w:t>
      </w:r>
      <w:r w:rsidR="00F026E8" w:rsidRPr="00FE7622">
        <w:t xml:space="preserve">2.5 g </w:t>
      </w:r>
      <w:r w:rsidR="0029796B" w:rsidRPr="00FE7622">
        <w:t xml:space="preserve">of oral leucine powder </w:t>
      </w:r>
      <w:r w:rsidR="00F026E8" w:rsidRPr="00FE7622">
        <w:t xml:space="preserve">or </w:t>
      </w:r>
      <w:r w:rsidR="008D6DBF" w:rsidRPr="00FE7622">
        <w:t xml:space="preserve">a </w:t>
      </w:r>
      <w:r w:rsidR="00F026E8" w:rsidRPr="00FE7622">
        <w:t xml:space="preserve">matching placebo powder taken thrice daily with meals. Randomisation was performed using an interactive web-based randomisation system run independently </w:t>
      </w:r>
      <w:r w:rsidR="00826190" w:rsidRPr="00FE7622">
        <w:t>of</w:t>
      </w:r>
      <w:r w:rsidR="00F026E8" w:rsidRPr="00FE7622">
        <w:t xml:space="preserve"> the research team to preserve allocation concealment.</w:t>
      </w:r>
    </w:p>
    <w:p w14:paraId="637E6BC3" w14:textId="220BFBD6" w:rsidR="00F026E8" w:rsidRPr="00FE7622" w:rsidRDefault="00E038BF" w:rsidP="00A32B70">
      <w:pPr>
        <w:pStyle w:val="154AbstracttextfoPrelimsPrelimsstyles"/>
      </w:pPr>
      <w:r w:rsidRPr="00FE7622">
        <w:rPr>
          <w:b/>
        </w:rPr>
        <w:t>Main outcome measures:</w:t>
      </w:r>
      <w:r w:rsidR="00F026E8" w:rsidRPr="00FE7622">
        <w:t xml:space="preserve"> The primary outcome was the between-group difference in the Short Physical Performance Battery score over the 12-month follow-up period. Other outcome measures included appendicular muscle mass, </w:t>
      </w:r>
      <w:r w:rsidR="00F026E8" w:rsidRPr="00842651">
        <w:t>EQ</w:t>
      </w:r>
      <w:r w:rsidR="00125D3A" w:rsidRPr="00842651">
        <w:t>-</w:t>
      </w:r>
      <w:r w:rsidR="00F026E8" w:rsidRPr="00842651">
        <w:t>5D</w:t>
      </w:r>
      <w:r w:rsidR="00E436CB" w:rsidRPr="00FE7622">
        <w:t xml:space="preserve"> (EuroQol-5 Dimensions)</w:t>
      </w:r>
      <w:r w:rsidR="00F026E8" w:rsidRPr="00FE7622">
        <w:t xml:space="preserve"> quality</w:t>
      </w:r>
      <w:r w:rsidR="00125D3A" w:rsidRPr="00FE7622">
        <w:t>-</w:t>
      </w:r>
      <w:r w:rsidR="00F026E8" w:rsidRPr="00FE7622">
        <w:t>of</w:t>
      </w:r>
      <w:r w:rsidR="00125D3A" w:rsidRPr="00FE7622">
        <w:t>-</w:t>
      </w:r>
      <w:r w:rsidR="00F026E8" w:rsidRPr="00FE7622">
        <w:t xml:space="preserve">life score, grip strength, quadriceps strength, </w:t>
      </w:r>
      <w:r w:rsidR="00125D3A" w:rsidRPr="00FE7622">
        <w:t>6</w:t>
      </w:r>
      <w:r w:rsidR="00F026E8" w:rsidRPr="00FE7622">
        <w:t>-minute walk distance, activities of daily living, hip bone mineral density and insulin resistance. All adverse events and falls were recorded. Protein</w:t>
      </w:r>
      <w:r w:rsidR="009A1C6E" w:rsidRPr="00FE7622">
        <w:t>-</w:t>
      </w:r>
      <w:r w:rsidR="00F026E8" w:rsidRPr="00FE7622">
        <w:t>, DNA</w:t>
      </w:r>
      <w:r w:rsidR="005C0916">
        <w:t xml:space="preserve"> (deoxyribonucle</w:t>
      </w:r>
      <w:r w:rsidR="00A26A2D">
        <w:t>ic acid)</w:t>
      </w:r>
      <w:r w:rsidR="009A1C6E" w:rsidRPr="00FE7622">
        <w:t>-</w:t>
      </w:r>
      <w:r w:rsidR="00F026E8" w:rsidRPr="00FE7622">
        <w:t xml:space="preserve"> and </w:t>
      </w:r>
      <w:r w:rsidR="00F026E8" w:rsidRPr="00842651">
        <w:t>RNA</w:t>
      </w:r>
      <w:r w:rsidR="00C33667" w:rsidRPr="00842651">
        <w:t xml:space="preserve"> (</w:t>
      </w:r>
      <w:r w:rsidR="00C33667" w:rsidRPr="00FE7622">
        <w:t>ribonucleic acid</w:t>
      </w:r>
      <w:r w:rsidR="00C33667">
        <w:t>)</w:t>
      </w:r>
      <w:r w:rsidR="00F026E8" w:rsidRPr="00FE7622">
        <w:t>-based biomarkers were collected at baseline</w:t>
      </w:r>
      <w:r w:rsidR="00125D3A" w:rsidRPr="00FE7622">
        <w:t xml:space="preserve"> and at</w:t>
      </w:r>
      <w:r w:rsidR="00F026E8" w:rsidRPr="00FE7622">
        <w:t xml:space="preserve"> 3 and 12 months.</w:t>
      </w:r>
    </w:p>
    <w:p w14:paraId="03F90C82" w14:textId="40C91543" w:rsidR="00F026E8" w:rsidRPr="00FE7622" w:rsidRDefault="00E038BF" w:rsidP="004D1B7D">
      <w:pPr>
        <w:pStyle w:val="154AbstracttextfoPrelimsPrelimsstyles"/>
      </w:pPr>
      <w:r w:rsidRPr="00FE7622">
        <w:rPr>
          <w:b/>
        </w:rPr>
        <w:lastRenderedPageBreak/>
        <w:t>Results:</w:t>
      </w:r>
      <w:r w:rsidR="00F026E8" w:rsidRPr="00FE7622">
        <w:t xml:space="preserve"> We screened 320 people and randomised 145 participants</w:t>
      </w:r>
      <w:r w:rsidR="00125D3A" w:rsidRPr="00FE7622">
        <w:t>. Participants had a</w:t>
      </w:r>
      <w:r w:rsidR="00F026E8" w:rsidRPr="00FE7622">
        <w:t xml:space="preserve"> mean age </w:t>
      </w:r>
      <w:r w:rsidR="00125D3A" w:rsidRPr="00FE7622">
        <w:t xml:space="preserve">of </w:t>
      </w:r>
      <w:r w:rsidR="00F026E8" w:rsidRPr="00FE7622">
        <w:t>79 (</w:t>
      </w:r>
      <w:r w:rsidR="001777F8" w:rsidRPr="00FE7622">
        <w:t>standard deviation</w:t>
      </w:r>
      <w:r w:rsidR="00F026E8" w:rsidRPr="00FE7622">
        <w:t xml:space="preserve"> 6) years</w:t>
      </w:r>
      <w:r w:rsidR="00125D3A" w:rsidRPr="00FE7622">
        <w:t>,</w:t>
      </w:r>
      <w:r w:rsidR="00F026E8" w:rsidRPr="00FE7622">
        <w:t xml:space="preserve"> 78 (54%) were women and the mean </w:t>
      </w:r>
      <w:r w:rsidR="00F026E8" w:rsidRPr="00842651">
        <w:t>SPPB</w:t>
      </w:r>
      <w:r w:rsidR="00F026E8" w:rsidRPr="00FE7622">
        <w:t xml:space="preserve"> was 7.0 (</w:t>
      </w:r>
      <w:r w:rsidR="001777F8" w:rsidRPr="00FE7622">
        <w:t xml:space="preserve">standard deviation </w:t>
      </w:r>
      <w:r w:rsidR="00F026E8" w:rsidRPr="00FE7622">
        <w:t xml:space="preserve">2.4). </w:t>
      </w:r>
      <w:r w:rsidR="00313344" w:rsidRPr="00FE7622">
        <w:t>The m</w:t>
      </w:r>
      <w:r w:rsidR="00F026E8" w:rsidRPr="00FE7622">
        <w:t>edian adherence was lower for perindopril than</w:t>
      </w:r>
      <w:r w:rsidR="00125D3A" w:rsidRPr="00FE7622">
        <w:t xml:space="preserve"> for</w:t>
      </w:r>
      <w:r w:rsidR="00F026E8" w:rsidRPr="00FE7622">
        <w:t xml:space="preserve"> placebo (76% vs</w:t>
      </w:r>
      <w:r w:rsidR="00125D3A" w:rsidRPr="00FE7622">
        <w:t>.</w:t>
      </w:r>
      <w:r w:rsidR="00F026E8" w:rsidRPr="00FE7622">
        <w:t xml:space="preserve"> 96%; </w:t>
      </w:r>
      <w:r w:rsidRPr="00FE7622">
        <w:rPr>
          <w:i/>
        </w:rPr>
        <w:t>p </w:t>
      </w:r>
      <w:r w:rsidR="00F026E8" w:rsidRPr="00FE7622">
        <w:t>&lt; 0.001). Perindopril did not improve the primary outcome (adjusted treatment effect –0.1 points</w:t>
      </w:r>
      <w:r w:rsidR="00125D3A" w:rsidRPr="00FE7622">
        <w:t>,</w:t>
      </w:r>
      <w:r w:rsidR="00F026E8" w:rsidRPr="00FE7622">
        <w:t xml:space="preserve"> 95%</w:t>
      </w:r>
      <w:r w:rsidR="00125D3A" w:rsidRPr="00FE7622">
        <w:t xml:space="preserve"> confidence interval</w:t>
      </w:r>
      <w:r w:rsidR="00F026E8" w:rsidRPr="00FE7622">
        <w:t xml:space="preserve"> –1.2 to 1.0</w:t>
      </w:r>
      <w:r w:rsidR="00125D3A" w:rsidRPr="00FE7622">
        <w:t xml:space="preserve"> points</w:t>
      </w:r>
      <w:r w:rsidR="00F026E8" w:rsidRPr="00FE7622">
        <w:t>). Quality of life was worse in the perindopril group (treatment effect –12 points</w:t>
      </w:r>
      <w:r w:rsidR="00125D3A" w:rsidRPr="00FE7622">
        <w:t>,</w:t>
      </w:r>
      <w:r w:rsidR="00F026E8" w:rsidRPr="00FE7622">
        <w:t xml:space="preserve"> 95%</w:t>
      </w:r>
      <w:r w:rsidR="00125D3A" w:rsidRPr="00FE7622">
        <w:t xml:space="preserve"> confidence interval</w:t>
      </w:r>
      <w:r w:rsidR="00F026E8" w:rsidRPr="00FE7622">
        <w:t xml:space="preserve"> –21 to –3</w:t>
      </w:r>
      <w:r w:rsidR="00125D3A" w:rsidRPr="00FE7622">
        <w:t xml:space="preserve"> points</w:t>
      </w:r>
      <w:r w:rsidR="00F026E8" w:rsidRPr="00FE7622">
        <w:t>) and more adverse events occurred in the perindopril group (</w:t>
      </w:r>
      <w:r w:rsidRPr="00FE7622">
        <w:rPr>
          <w:i/>
          <w:iCs/>
        </w:rPr>
        <w:t>n</w:t>
      </w:r>
      <w:r w:rsidR="00313344" w:rsidRPr="00FE7622">
        <w:t> = </w:t>
      </w:r>
      <w:r w:rsidR="00F026E8" w:rsidRPr="00FE7622">
        <w:t>218 vs</w:t>
      </w:r>
      <w:r w:rsidR="00125D3A" w:rsidRPr="00FE7622">
        <w:t>.</w:t>
      </w:r>
      <w:r w:rsidR="00F026E8" w:rsidRPr="00FE7622">
        <w:t xml:space="preserve"> </w:t>
      </w:r>
      <w:r w:rsidRPr="00FE7622">
        <w:rPr>
          <w:i/>
          <w:iCs/>
        </w:rPr>
        <w:t>n</w:t>
      </w:r>
      <w:r w:rsidR="00313344" w:rsidRPr="00FE7622">
        <w:t> = </w:t>
      </w:r>
      <w:r w:rsidR="00F026E8" w:rsidRPr="00FE7622">
        <w:t>165). Falls rates</w:t>
      </w:r>
      <w:r w:rsidR="00602708" w:rsidRPr="00FE7622">
        <w:t xml:space="preserve"> between the groups</w:t>
      </w:r>
      <w:r w:rsidR="00F026E8" w:rsidRPr="00FE7622">
        <w:t xml:space="preserve"> were similar and other secondary outcomes showed no significant treatment effect. For leucine </w:t>
      </w:r>
      <w:r w:rsidR="00125D3A" w:rsidRPr="00FE7622">
        <w:t>compared with</w:t>
      </w:r>
      <w:r w:rsidR="00F026E8" w:rsidRPr="00FE7622">
        <w:t xml:space="preserve"> placebo</w:t>
      </w:r>
      <w:r w:rsidR="00125D3A" w:rsidRPr="00FE7622">
        <w:t>,</w:t>
      </w:r>
      <w:r w:rsidR="00F026E8" w:rsidRPr="00FE7622">
        <w:t xml:space="preserve"> median adherence was the same in both groups (76% vs</w:t>
      </w:r>
      <w:r w:rsidR="00125D3A" w:rsidRPr="00FE7622">
        <w:t>.</w:t>
      </w:r>
      <w:r w:rsidR="00F026E8" w:rsidRPr="00FE7622">
        <w:t xml:space="preserve"> 76%; </w:t>
      </w:r>
      <w:r w:rsidRPr="00FE7622">
        <w:rPr>
          <w:i/>
        </w:rPr>
        <w:t>p</w:t>
      </w:r>
      <w:r w:rsidR="00A32B70" w:rsidRPr="00FE7622">
        <w:t> = </w:t>
      </w:r>
      <w:r w:rsidR="00F026E8" w:rsidRPr="00FE7622">
        <w:t>0.99). Leucine did not improve the primary outcome (adjusted treatment effect 0.1 point</w:t>
      </w:r>
      <w:r w:rsidR="00125D3A" w:rsidRPr="00FE7622">
        <w:t>,</w:t>
      </w:r>
      <w:r w:rsidR="00F026E8" w:rsidRPr="00FE7622">
        <w:t xml:space="preserve"> 95%</w:t>
      </w:r>
      <w:r w:rsidR="00125D3A" w:rsidRPr="00FE7622">
        <w:t xml:space="preserve"> confidence interval</w:t>
      </w:r>
      <w:r w:rsidR="00F026E8" w:rsidRPr="00FE7622">
        <w:t xml:space="preserve"> –1.0 to 1.1</w:t>
      </w:r>
      <w:r w:rsidR="00125D3A" w:rsidRPr="00FE7622">
        <w:t xml:space="preserve"> points</w:t>
      </w:r>
      <w:r w:rsidR="00F026E8" w:rsidRPr="00FE7622">
        <w:t xml:space="preserve">). No significant treatment effect was </w:t>
      </w:r>
      <w:r w:rsidR="00DD66FE" w:rsidRPr="00FE7622">
        <w:t>found</w:t>
      </w:r>
      <w:r w:rsidR="00F026E8" w:rsidRPr="00FE7622">
        <w:t xml:space="preserve"> for any secondary outcome. There were similar numbers of adverse events and falls in both groups.</w:t>
      </w:r>
    </w:p>
    <w:p w14:paraId="04618397" w14:textId="7D4180FB" w:rsidR="00F026E8" w:rsidRPr="00FE7622" w:rsidRDefault="00E038BF" w:rsidP="004D1B7D">
      <w:pPr>
        <w:pStyle w:val="154AbstracttextfoPrelimsPrelimsstyles"/>
      </w:pPr>
      <w:r w:rsidRPr="00FE7622">
        <w:rPr>
          <w:b/>
        </w:rPr>
        <w:t>Limitations:</w:t>
      </w:r>
      <w:r w:rsidR="00F026E8" w:rsidRPr="00FE7622">
        <w:t xml:space="preserve"> The trial did not reach its original recruitment target; this trial alone cannot confidently exclude clinically important effects of either perindopril or leucine</w:t>
      </w:r>
      <w:r w:rsidR="00125D3A" w:rsidRPr="00FE7622">
        <w:t>.</w:t>
      </w:r>
    </w:p>
    <w:p w14:paraId="2C01D95A" w14:textId="54FE0EA0" w:rsidR="00F026E8" w:rsidRPr="00FE7622" w:rsidRDefault="00E038BF" w:rsidP="004D1B7D">
      <w:pPr>
        <w:pStyle w:val="154AbstracttextfoPrelimsPrelimsstyles"/>
      </w:pPr>
      <w:r w:rsidRPr="00FE7622">
        <w:rPr>
          <w:b/>
        </w:rPr>
        <w:t>Future work:</w:t>
      </w:r>
      <w:r w:rsidR="00F026E8" w:rsidRPr="00FE7622">
        <w:t xml:space="preserve"> Further exploration of biomarkers predicting response to sarcopenia interventions is warranted</w:t>
      </w:r>
      <w:r w:rsidR="00125D3A" w:rsidRPr="00FE7622">
        <w:t>.</w:t>
      </w:r>
    </w:p>
    <w:p w14:paraId="5DFC0C96" w14:textId="3183EA44" w:rsidR="00F026E8" w:rsidRPr="00FE7622" w:rsidRDefault="00E038BF" w:rsidP="004D1B7D">
      <w:pPr>
        <w:pStyle w:val="154AbstracttextfoPrelimsPrelimsstyles"/>
      </w:pPr>
      <w:r w:rsidRPr="00FE7622">
        <w:rPr>
          <w:b/>
        </w:rPr>
        <w:t>Conclusions:</w:t>
      </w:r>
      <w:r w:rsidR="00F026E8" w:rsidRPr="00FE7622">
        <w:t xml:space="preserve"> Neither perindopril nor leucine improved physical performance or muscle mass in this trial; meta-analysis confirmed </w:t>
      </w:r>
      <w:r w:rsidR="00125D3A" w:rsidRPr="00FE7622">
        <w:t xml:space="preserve">the </w:t>
      </w:r>
      <w:r w:rsidR="00F026E8" w:rsidRPr="00FE7622">
        <w:t xml:space="preserve">lack of efficacy of both treatments </w:t>
      </w:r>
      <w:r w:rsidR="00125D3A" w:rsidRPr="00FE7622">
        <w:t>in</w:t>
      </w:r>
      <w:r w:rsidR="00F026E8" w:rsidRPr="00FE7622">
        <w:t xml:space="preserve"> improv</w:t>
      </w:r>
      <w:r w:rsidR="00125D3A" w:rsidRPr="00FE7622">
        <w:t>ing</w:t>
      </w:r>
      <w:r w:rsidR="00F026E8" w:rsidRPr="00FE7622">
        <w:t xml:space="preserve"> physical performance</w:t>
      </w:r>
      <w:r w:rsidR="00125D3A" w:rsidRPr="00FE7622">
        <w:t>.</w:t>
      </w:r>
    </w:p>
    <w:p w14:paraId="297BCDDB" w14:textId="2CBEF9E3" w:rsidR="00F026E8" w:rsidRPr="00FE7622" w:rsidRDefault="00E038BF" w:rsidP="004D1B7D">
      <w:pPr>
        <w:pStyle w:val="154AbstracttextfoPrelimsPrelimsstyles"/>
      </w:pPr>
      <w:bookmarkStart w:id="3" w:name="_Hlk68694733"/>
      <w:r w:rsidRPr="00FE7622">
        <w:rPr>
          <w:b/>
        </w:rPr>
        <w:t>Study registration:</w:t>
      </w:r>
      <w:r w:rsidR="00F026E8" w:rsidRPr="00FE7622">
        <w:t xml:space="preserve"> </w:t>
      </w:r>
      <w:r w:rsidR="001F3057" w:rsidRPr="00FE7622">
        <w:t>This trial is registered as</w:t>
      </w:r>
      <w:r w:rsidR="00F026E8" w:rsidRPr="00FE7622">
        <w:t xml:space="preserve"> ISRCTN90094835</w:t>
      </w:r>
      <w:r w:rsidR="001D063C" w:rsidRPr="00FE7622">
        <w:t xml:space="preserve"> and</w:t>
      </w:r>
      <w:r w:rsidR="00F026E8" w:rsidRPr="00FE7622">
        <w:t xml:space="preserve"> EudraCT 2014</w:t>
      </w:r>
      <w:r w:rsidR="00315120" w:rsidRPr="00FE7622">
        <w:t>-</w:t>
      </w:r>
      <w:r w:rsidR="00F026E8" w:rsidRPr="00FE7622">
        <w:t>003455</w:t>
      </w:r>
      <w:r w:rsidR="00315120" w:rsidRPr="00FE7622">
        <w:t>-</w:t>
      </w:r>
      <w:r w:rsidR="00F026E8" w:rsidRPr="00FE7622">
        <w:t>61. The systematic review is registered as PROSPERO CRD42014013398</w:t>
      </w:r>
      <w:r w:rsidR="00315120" w:rsidRPr="00FE7622">
        <w:t>.</w:t>
      </w:r>
    </w:p>
    <w:p w14:paraId="3A4CAA6F" w14:textId="3585425F" w:rsidR="00201228" w:rsidRPr="00FE7622" w:rsidRDefault="00E038BF" w:rsidP="004D1B7D">
      <w:pPr>
        <w:pStyle w:val="154AbstracttextfoPrelimsPrelimsstyles"/>
      </w:pPr>
      <w:r w:rsidRPr="00FE7622">
        <w:rPr>
          <w:b/>
        </w:rPr>
        <w:t xml:space="preserve">Funding: </w:t>
      </w:r>
      <w:r w:rsidR="00201228" w:rsidRPr="00FE7622">
        <w:rPr>
          <w:lang w:val="en-US"/>
        </w:rPr>
        <w:t>This project was funded by the Efficacy and Mechanism Evaluation (EME) programme, a MRC and National Institute for Health</w:t>
      </w:r>
      <w:r w:rsidR="004D1B7D" w:rsidRPr="00FE7622">
        <w:rPr>
          <w:lang w:val="en-US"/>
        </w:rPr>
        <w:t xml:space="preserve"> and Care</w:t>
      </w:r>
      <w:r w:rsidR="00201228" w:rsidRPr="00FE7622">
        <w:rPr>
          <w:lang w:val="en-US"/>
        </w:rPr>
        <w:t xml:space="preserve"> Research (</w:t>
      </w:r>
      <w:r w:rsidR="00201228" w:rsidRPr="00842651">
        <w:rPr>
          <w:lang w:val="en-US"/>
        </w:rPr>
        <w:t>NIHR</w:t>
      </w:r>
      <w:r w:rsidR="00201228" w:rsidRPr="00FE7622">
        <w:rPr>
          <w:lang w:val="en-US"/>
        </w:rPr>
        <w:t xml:space="preserve">) partnership. This will be published in full in </w:t>
      </w:r>
      <w:r w:rsidRPr="00FE7622">
        <w:rPr>
          <w:i/>
          <w:iCs/>
          <w:lang w:val="en-US"/>
        </w:rPr>
        <w:t>Efficacy and Mechanism Evaluation</w:t>
      </w:r>
      <w:r w:rsidR="00201228" w:rsidRPr="00FE7622">
        <w:rPr>
          <w:lang w:val="en-US"/>
        </w:rPr>
        <w:t xml:space="preserve">; Vol. 9, No. X. See the </w:t>
      </w:r>
      <w:r w:rsidR="00201228" w:rsidRPr="00842651">
        <w:rPr>
          <w:lang w:val="en-US"/>
        </w:rPr>
        <w:t>NIHR</w:t>
      </w:r>
      <w:r w:rsidR="00201228" w:rsidRPr="00FE7622">
        <w:rPr>
          <w:lang w:val="en-US"/>
        </w:rPr>
        <w:t xml:space="preserve"> Journals Library website for further project information.</w:t>
      </w:r>
    </w:p>
    <w:p w14:paraId="29EAB989" w14:textId="77777777" w:rsidR="00F026E8" w:rsidRPr="00FE7622" w:rsidRDefault="00F026E8" w:rsidP="00A32B70">
      <w:pPr>
        <w:pStyle w:val="43PrelimtitleHeadingsHeadingstyles"/>
      </w:pPr>
      <w:bookmarkStart w:id="4" w:name="_Toc79684461"/>
      <w:bookmarkEnd w:id="3"/>
      <w:r w:rsidRPr="00FE7622">
        <w:t>Contents</w:t>
      </w:r>
    </w:p>
    <w:p w14:paraId="67A5D667" w14:textId="7CEFC1B5" w:rsidR="00E038BF" w:rsidRPr="00FE7622" w:rsidRDefault="00E038BF" w:rsidP="00A32B70">
      <w:pPr>
        <w:pStyle w:val="602TextfoTextstylesTextstyles"/>
        <w:rPr>
          <w:i/>
          <w:color w:val="FF0000"/>
        </w:rPr>
      </w:pPr>
      <w:r w:rsidRPr="00FE7622">
        <w:rPr>
          <w:i/>
          <w:color w:val="FF0000"/>
        </w:rPr>
        <w:t>&lt;&lt;Typesetter insert Contents list &gt;&gt;</w:t>
      </w:r>
    </w:p>
    <w:p w14:paraId="22ECEE7B" w14:textId="3D0A41F1" w:rsidR="00F026E8" w:rsidRPr="00FE7622" w:rsidRDefault="00F026E8" w:rsidP="00A32B70">
      <w:pPr>
        <w:pStyle w:val="43PrelimtitleHeadingsHeadingstyles"/>
      </w:pPr>
      <w:r w:rsidRPr="00FE7622">
        <w:t>List of tables</w:t>
      </w:r>
    </w:p>
    <w:p w14:paraId="71ADBCF5" w14:textId="14E7407B" w:rsidR="00E038BF" w:rsidRPr="00FE7622" w:rsidRDefault="00E038BF" w:rsidP="00A32B70">
      <w:pPr>
        <w:pStyle w:val="602TextfoTextstylesTextstyles"/>
        <w:rPr>
          <w:i/>
          <w:color w:val="FF0000"/>
        </w:rPr>
      </w:pPr>
      <w:r w:rsidRPr="00FE7622">
        <w:rPr>
          <w:i/>
          <w:color w:val="FF0000"/>
        </w:rPr>
        <w:t>&lt;&lt;Typesetter insert List of tables&gt;&gt;</w:t>
      </w:r>
    </w:p>
    <w:p w14:paraId="7E450D66" w14:textId="4D9083D5" w:rsidR="00F026E8" w:rsidRPr="00FE7622" w:rsidRDefault="00F026E8" w:rsidP="00A32B70">
      <w:pPr>
        <w:pStyle w:val="43PrelimtitleHeadingsHeadingstyles"/>
      </w:pPr>
      <w:bookmarkStart w:id="5" w:name="_Toc79684463"/>
      <w:bookmarkEnd w:id="4"/>
      <w:r w:rsidRPr="00FE7622">
        <w:t>List of figures</w:t>
      </w:r>
    </w:p>
    <w:p w14:paraId="7461034E" w14:textId="06A16EC0" w:rsidR="00E038BF" w:rsidRPr="00FE7622" w:rsidRDefault="00E038BF" w:rsidP="00A32B70">
      <w:pPr>
        <w:pStyle w:val="602TextfoTextstylesTextstyles"/>
        <w:rPr>
          <w:i/>
          <w:color w:val="FF0000"/>
        </w:rPr>
      </w:pPr>
      <w:r w:rsidRPr="00FE7622">
        <w:rPr>
          <w:i/>
          <w:color w:val="FF0000"/>
        </w:rPr>
        <w:t>&lt;&lt;Typesetter insert List of figures&gt;&gt;</w:t>
      </w:r>
    </w:p>
    <w:p w14:paraId="7925EE2B" w14:textId="3C1E4E95" w:rsidR="00F026E8" w:rsidRPr="00FE7622" w:rsidRDefault="00F026E8" w:rsidP="00A32B70">
      <w:pPr>
        <w:pStyle w:val="43PrelimtitleHeadingsHeadingstyles"/>
      </w:pPr>
      <w:r w:rsidRPr="00FE7622">
        <w:t xml:space="preserve">List of </w:t>
      </w:r>
      <w:r w:rsidR="000E50F0" w:rsidRPr="00FE7622">
        <w:t>a</w:t>
      </w:r>
      <w:r w:rsidRPr="00FE7622">
        <w:t>bbreviations</w:t>
      </w:r>
      <w:bookmarkEnd w:id="5"/>
    </w:p>
    <w:p w14:paraId="407900E7" w14:textId="5770765D" w:rsidR="00E82432" w:rsidRPr="00FE7622" w:rsidRDefault="00E82432" w:rsidP="00E82432">
      <w:pPr>
        <w:pStyle w:val="19AbbreviationslistPrelimsstyles"/>
        <w:rPr>
          <w:color w:val="auto"/>
        </w:rPr>
      </w:pPr>
      <w:r w:rsidRPr="00842651">
        <w:rPr>
          <w:color w:val="auto"/>
        </w:rPr>
        <w:t>ACEi</w:t>
      </w:r>
      <w:r w:rsidRPr="00FE7622">
        <w:rPr>
          <w:color w:val="auto"/>
        </w:rPr>
        <w:tab/>
      </w:r>
      <w:r w:rsidR="0067393C" w:rsidRPr="00FE7622">
        <w:rPr>
          <w:color w:val="auto"/>
        </w:rPr>
        <w:t>a</w:t>
      </w:r>
      <w:r w:rsidRPr="00FE7622">
        <w:rPr>
          <w:color w:val="auto"/>
        </w:rPr>
        <w:t>ngiotensin-converting enzyme inhibitor</w:t>
      </w:r>
    </w:p>
    <w:p w14:paraId="790AD68E" w14:textId="14F93E12" w:rsidR="00E82432" w:rsidRPr="00FE7622" w:rsidRDefault="00E82432" w:rsidP="00E82432">
      <w:pPr>
        <w:pStyle w:val="19AbbreviationslistPrelimsstyles"/>
        <w:rPr>
          <w:color w:val="auto"/>
        </w:rPr>
      </w:pPr>
      <w:r w:rsidRPr="00842651">
        <w:rPr>
          <w:color w:val="auto"/>
        </w:rPr>
        <w:t>ARB</w:t>
      </w:r>
      <w:r w:rsidRPr="00FE7622">
        <w:rPr>
          <w:color w:val="auto"/>
        </w:rPr>
        <w:tab/>
      </w:r>
      <w:r w:rsidR="001777F8" w:rsidRPr="00FE7622">
        <w:rPr>
          <w:color w:val="auto"/>
        </w:rPr>
        <w:t>angiotensin receptor blocker</w:t>
      </w:r>
    </w:p>
    <w:p w14:paraId="2FD5F00F" w14:textId="377ED9F2" w:rsidR="00E82432" w:rsidRPr="00FE7622" w:rsidRDefault="00E82432" w:rsidP="00E82432">
      <w:pPr>
        <w:pStyle w:val="19AbbreviationslistPrelimsstyles"/>
        <w:rPr>
          <w:color w:val="auto"/>
        </w:rPr>
      </w:pPr>
      <w:r w:rsidRPr="00842651">
        <w:rPr>
          <w:color w:val="auto"/>
        </w:rPr>
        <w:lastRenderedPageBreak/>
        <w:t>ASMM</w:t>
      </w:r>
      <w:r w:rsidRPr="00FE7622">
        <w:rPr>
          <w:color w:val="auto"/>
        </w:rPr>
        <w:tab/>
      </w:r>
      <w:r w:rsidR="00CD43EB" w:rsidRPr="00FE7622">
        <w:rPr>
          <w:color w:val="auto"/>
        </w:rPr>
        <w:t>appendicular skeletal muscle mass</w:t>
      </w:r>
    </w:p>
    <w:p w14:paraId="3D674DA2" w14:textId="0D358D8A" w:rsidR="00E82432" w:rsidRPr="00FE7622" w:rsidRDefault="00E82432" w:rsidP="00E82432">
      <w:pPr>
        <w:pStyle w:val="19AbbreviationslistPrelimsstyles"/>
        <w:rPr>
          <w:color w:val="auto"/>
        </w:rPr>
      </w:pPr>
      <w:r w:rsidRPr="00842651">
        <w:rPr>
          <w:color w:val="auto"/>
        </w:rPr>
        <w:t>BIA</w:t>
      </w:r>
      <w:r w:rsidRPr="00FE7622">
        <w:rPr>
          <w:color w:val="auto"/>
        </w:rPr>
        <w:tab/>
      </w:r>
      <w:r w:rsidR="00CD43EB" w:rsidRPr="00FE7622">
        <w:rPr>
          <w:color w:val="auto"/>
        </w:rPr>
        <w:t>bioimpedance assessment</w:t>
      </w:r>
    </w:p>
    <w:p w14:paraId="3F1A260E" w14:textId="6E5559AF" w:rsidR="00E82432" w:rsidRPr="00FE7622" w:rsidRDefault="00E82432" w:rsidP="00E82432">
      <w:pPr>
        <w:pStyle w:val="19AbbreviationslistPrelimsstyles"/>
        <w:rPr>
          <w:color w:val="auto"/>
        </w:rPr>
      </w:pPr>
      <w:r w:rsidRPr="00842651">
        <w:rPr>
          <w:color w:val="auto"/>
        </w:rPr>
        <w:t>BMI</w:t>
      </w:r>
      <w:r w:rsidRPr="00FE7622">
        <w:rPr>
          <w:color w:val="auto"/>
        </w:rPr>
        <w:tab/>
      </w:r>
      <w:r w:rsidR="001777F8" w:rsidRPr="00FE7622">
        <w:rPr>
          <w:color w:val="auto"/>
        </w:rPr>
        <w:t>body mass index</w:t>
      </w:r>
    </w:p>
    <w:p w14:paraId="55D73C98" w14:textId="798831CF" w:rsidR="00721A55" w:rsidRPr="00FE7622" w:rsidRDefault="00721A55" w:rsidP="00E82432">
      <w:pPr>
        <w:pStyle w:val="19AbbreviationslistPrelimsstyles"/>
        <w:rPr>
          <w:color w:val="auto"/>
        </w:rPr>
      </w:pPr>
      <w:r w:rsidRPr="00842651">
        <w:rPr>
          <w:color w:val="auto"/>
        </w:rPr>
        <w:t>CI</w:t>
      </w:r>
      <w:r w:rsidRPr="00FE7622">
        <w:rPr>
          <w:color w:val="auto"/>
        </w:rPr>
        <w:tab/>
        <w:t>confidence interval</w:t>
      </w:r>
    </w:p>
    <w:p w14:paraId="39068031" w14:textId="762BA223" w:rsidR="00654138" w:rsidRPr="00FE7622" w:rsidRDefault="00654138" w:rsidP="00E82432">
      <w:pPr>
        <w:pStyle w:val="19AbbreviationslistPrelimsstyles"/>
        <w:rPr>
          <w:color w:val="auto"/>
        </w:rPr>
      </w:pPr>
      <w:r w:rsidRPr="00842651">
        <w:rPr>
          <w:color w:val="auto"/>
        </w:rPr>
        <w:t>CONSORT</w:t>
      </w:r>
      <w:r w:rsidRPr="00FE7622">
        <w:rPr>
          <w:color w:val="auto"/>
        </w:rPr>
        <w:tab/>
        <w:t>Consolidated Standards of Reporting Trials</w:t>
      </w:r>
    </w:p>
    <w:p w14:paraId="59BBA5CE" w14:textId="4628B001" w:rsidR="00E82432" w:rsidRPr="00FE7622" w:rsidRDefault="00E82432" w:rsidP="00E82432">
      <w:pPr>
        <w:pStyle w:val="19AbbreviationslistPrelimsstyles"/>
        <w:rPr>
          <w:color w:val="auto"/>
        </w:rPr>
      </w:pPr>
      <w:r w:rsidRPr="00842651">
        <w:rPr>
          <w:color w:val="auto"/>
        </w:rPr>
        <w:t>COPD</w:t>
      </w:r>
      <w:r w:rsidRPr="00FE7622">
        <w:rPr>
          <w:color w:val="auto"/>
        </w:rPr>
        <w:tab/>
      </w:r>
      <w:r w:rsidR="0067393C" w:rsidRPr="00FE7622">
        <w:rPr>
          <w:color w:val="auto"/>
        </w:rPr>
        <w:t>chronic obstructive pulmonary disease</w:t>
      </w:r>
    </w:p>
    <w:p w14:paraId="11444F17" w14:textId="77777777" w:rsidR="00E82432" w:rsidRPr="00FE7622" w:rsidRDefault="00E82432" w:rsidP="00E82432">
      <w:pPr>
        <w:pStyle w:val="19AbbreviationslistPrelimsstyles"/>
        <w:rPr>
          <w:color w:val="auto"/>
        </w:rPr>
      </w:pPr>
      <w:r w:rsidRPr="00842651">
        <w:rPr>
          <w:color w:val="auto"/>
        </w:rPr>
        <w:t>DMC</w:t>
      </w:r>
      <w:r w:rsidRPr="00FE7622">
        <w:rPr>
          <w:color w:val="auto"/>
        </w:rPr>
        <w:tab/>
        <w:t>Data Monitoring Committee</w:t>
      </w:r>
    </w:p>
    <w:p w14:paraId="049AD96F" w14:textId="7D312D9F" w:rsidR="00E82432" w:rsidRPr="00FE7622" w:rsidRDefault="00E82432" w:rsidP="00E82432">
      <w:pPr>
        <w:pStyle w:val="19AbbreviationslistPrelimsstyles"/>
        <w:rPr>
          <w:color w:val="auto"/>
        </w:rPr>
      </w:pPr>
      <w:r w:rsidRPr="00842651">
        <w:rPr>
          <w:color w:val="auto"/>
        </w:rPr>
        <w:t>DXA</w:t>
      </w:r>
      <w:r w:rsidRPr="00FE7622">
        <w:rPr>
          <w:color w:val="auto"/>
        </w:rPr>
        <w:tab/>
      </w:r>
      <w:r w:rsidR="00CD43EB" w:rsidRPr="00FE7622">
        <w:rPr>
          <w:color w:val="auto"/>
        </w:rPr>
        <w:t>d</w:t>
      </w:r>
      <w:r w:rsidRPr="00FE7622">
        <w:rPr>
          <w:color w:val="auto"/>
        </w:rPr>
        <w:t xml:space="preserve">ual-energy X-ray </w:t>
      </w:r>
      <w:r w:rsidR="00CD43EB" w:rsidRPr="00FE7622">
        <w:rPr>
          <w:color w:val="auto"/>
        </w:rPr>
        <w:t>a</w:t>
      </w:r>
      <w:r w:rsidRPr="00FE7622">
        <w:rPr>
          <w:color w:val="auto"/>
        </w:rPr>
        <w:t>bsorptiometry</w:t>
      </w:r>
    </w:p>
    <w:p w14:paraId="0DEF82F2" w14:textId="4BF7E62D" w:rsidR="00B048FE" w:rsidRPr="00FE7622" w:rsidRDefault="00B048FE" w:rsidP="00E82432">
      <w:pPr>
        <w:pStyle w:val="19AbbreviationslistPrelimsstyles"/>
        <w:rPr>
          <w:color w:val="auto"/>
        </w:rPr>
      </w:pPr>
      <w:r w:rsidRPr="00842651">
        <w:rPr>
          <w:color w:val="auto"/>
        </w:rPr>
        <w:t>EQ-5D</w:t>
      </w:r>
      <w:r w:rsidRPr="00FE7622">
        <w:rPr>
          <w:color w:val="auto"/>
        </w:rPr>
        <w:tab/>
        <w:t>EuroQol-5 Dimensions</w:t>
      </w:r>
    </w:p>
    <w:p w14:paraId="7FA16840" w14:textId="3069E4B3" w:rsidR="00F371E9" w:rsidRPr="00FE7622" w:rsidRDefault="00F371E9" w:rsidP="00E82432">
      <w:pPr>
        <w:pStyle w:val="19AbbreviationslistPrelimsstyles"/>
        <w:rPr>
          <w:color w:val="auto"/>
        </w:rPr>
      </w:pPr>
      <w:r w:rsidRPr="00842651">
        <w:rPr>
          <w:color w:val="auto"/>
        </w:rPr>
        <w:t>EQ-5D-3L</w:t>
      </w:r>
      <w:r w:rsidRPr="00FE7622">
        <w:rPr>
          <w:color w:val="auto"/>
        </w:rPr>
        <w:tab/>
        <w:t>EuroQol-5 Dimensions, three-level version</w:t>
      </w:r>
    </w:p>
    <w:p w14:paraId="279C5C3D" w14:textId="77777777" w:rsidR="00E82432" w:rsidRPr="00FE7622" w:rsidRDefault="00E82432" w:rsidP="00E82432">
      <w:pPr>
        <w:pStyle w:val="19AbbreviationslistPrelimsstyles"/>
        <w:rPr>
          <w:color w:val="auto"/>
        </w:rPr>
      </w:pPr>
      <w:r w:rsidRPr="00842651">
        <w:rPr>
          <w:color w:val="auto"/>
        </w:rPr>
        <w:t>EWGSOP</w:t>
      </w:r>
      <w:r w:rsidRPr="00FE7622">
        <w:rPr>
          <w:color w:val="auto"/>
        </w:rPr>
        <w:tab/>
        <w:t>European Working Group on Sarcopenia in Older People</w:t>
      </w:r>
    </w:p>
    <w:p w14:paraId="50F6534F" w14:textId="6EB2D17F" w:rsidR="00D9367A" w:rsidRPr="00FE7622" w:rsidRDefault="00D9367A" w:rsidP="00E82432">
      <w:pPr>
        <w:pStyle w:val="19AbbreviationslistPrelimsstyles"/>
        <w:rPr>
          <w:color w:val="auto"/>
        </w:rPr>
      </w:pPr>
      <w:r w:rsidRPr="00842651">
        <w:rPr>
          <w:color w:val="auto"/>
        </w:rPr>
        <w:t>FNIH</w:t>
      </w:r>
      <w:r w:rsidRPr="00FE7622">
        <w:rPr>
          <w:color w:val="auto"/>
        </w:rPr>
        <w:tab/>
        <w:t>Foundation for the National Institutes of Health</w:t>
      </w:r>
    </w:p>
    <w:p w14:paraId="6223C28B" w14:textId="77777777" w:rsidR="00E82432" w:rsidRPr="00FE7622" w:rsidRDefault="00E82432" w:rsidP="00E82432">
      <w:pPr>
        <w:pStyle w:val="19AbbreviationslistPrelimsstyles"/>
        <w:rPr>
          <w:color w:val="auto"/>
        </w:rPr>
      </w:pPr>
      <w:r w:rsidRPr="00842651">
        <w:rPr>
          <w:color w:val="auto"/>
        </w:rPr>
        <w:t>HOMA-IR</w:t>
      </w:r>
      <w:r w:rsidRPr="00FE7622">
        <w:rPr>
          <w:color w:val="auto"/>
        </w:rPr>
        <w:tab/>
        <w:t>HOmeostatic Model Assessment – Insulin Resistance</w:t>
      </w:r>
    </w:p>
    <w:p w14:paraId="10EB3573" w14:textId="4B458E31" w:rsidR="00E82432" w:rsidRPr="00FE7622" w:rsidRDefault="00E82432" w:rsidP="00E82432">
      <w:pPr>
        <w:pStyle w:val="19AbbreviationslistPrelimsstyles"/>
        <w:rPr>
          <w:color w:val="auto"/>
        </w:rPr>
      </w:pPr>
      <w:r w:rsidRPr="00842651">
        <w:rPr>
          <w:color w:val="auto"/>
        </w:rPr>
        <w:t>IGF</w:t>
      </w:r>
      <w:r w:rsidR="00CB0916" w:rsidRPr="00842651">
        <w:rPr>
          <w:color w:val="auto"/>
        </w:rPr>
        <w:t>-1</w:t>
      </w:r>
      <w:r w:rsidRPr="00FE7622">
        <w:rPr>
          <w:color w:val="auto"/>
        </w:rPr>
        <w:tab/>
      </w:r>
      <w:r w:rsidR="0067393C" w:rsidRPr="00FE7622">
        <w:rPr>
          <w:color w:val="auto"/>
        </w:rPr>
        <w:t>insulin-like growth factor</w:t>
      </w:r>
      <w:r w:rsidR="00CB0916" w:rsidRPr="00FE7622">
        <w:rPr>
          <w:color w:val="auto"/>
        </w:rPr>
        <w:t xml:space="preserve"> 1</w:t>
      </w:r>
    </w:p>
    <w:p w14:paraId="2A6E4649" w14:textId="5721F5BA" w:rsidR="00E82432" w:rsidRPr="00FE7622" w:rsidRDefault="00E82432" w:rsidP="00E82432">
      <w:pPr>
        <w:pStyle w:val="19AbbreviationslistPrelimsstyles"/>
        <w:rPr>
          <w:color w:val="auto"/>
        </w:rPr>
      </w:pPr>
      <w:r w:rsidRPr="00842651">
        <w:rPr>
          <w:color w:val="auto"/>
        </w:rPr>
        <w:t>IL</w:t>
      </w:r>
      <w:r w:rsidRPr="00FE7622">
        <w:rPr>
          <w:color w:val="auto"/>
        </w:rPr>
        <w:tab/>
      </w:r>
      <w:r w:rsidR="00B63EFE" w:rsidRPr="00FE7622">
        <w:rPr>
          <w:color w:val="auto"/>
        </w:rPr>
        <w:t>i</w:t>
      </w:r>
      <w:r w:rsidRPr="00FE7622">
        <w:rPr>
          <w:color w:val="auto"/>
        </w:rPr>
        <w:t>nterleukin</w:t>
      </w:r>
    </w:p>
    <w:p w14:paraId="4526AFC1" w14:textId="2FCE1A39" w:rsidR="00EF0C39" w:rsidRPr="00FE7622" w:rsidRDefault="00EF0C39" w:rsidP="00E82432">
      <w:pPr>
        <w:pStyle w:val="19AbbreviationslistPrelimsstyles"/>
        <w:rPr>
          <w:color w:val="auto"/>
        </w:rPr>
      </w:pPr>
      <w:r w:rsidRPr="00842651">
        <w:rPr>
          <w:color w:val="auto"/>
        </w:rPr>
        <w:t>IQR</w:t>
      </w:r>
      <w:r w:rsidRPr="00FE7622">
        <w:rPr>
          <w:color w:val="auto"/>
        </w:rPr>
        <w:tab/>
        <w:t>interquartile range</w:t>
      </w:r>
    </w:p>
    <w:p w14:paraId="6A5508C3" w14:textId="77777777" w:rsidR="00E82432" w:rsidRPr="00FE7622" w:rsidRDefault="00E82432" w:rsidP="00E82432">
      <w:pPr>
        <w:pStyle w:val="19AbbreviationslistPrelimsstyles"/>
        <w:rPr>
          <w:color w:val="auto"/>
        </w:rPr>
      </w:pPr>
      <w:r w:rsidRPr="00842651">
        <w:rPr>
          <w:color w:val="auto"/>
        </w:rPr>
        <w:t>LACE</w:t>
      </w:r>
      <w:r w:rsidRPr="00FE7622">
        <w:rPr>
          <w:color w:val="auto"/>
        </w:rPr>
        <w:tab/>
        <w:t>Leucine and Angiotensin-converting enzyme inhibitor</w:t>
      </w:r>
    </w:p>
    <w:p w14:paraId="5B3E107B" w14:textId="4A1EE8DE" w:rsidR="00E82432" w:rsidRPr="00FE7622" w:rsidRDefault="00E82432" w:rsidP="00E82432">
      <w:pPr>
        <w:pStyle w:val="19AbbreviationslistPrelimsstyles"/>
        <w:rPr>
          <w:color w:val="auto"/>
        </w:rPr>
      </w:pPr>
      <w:r w:rsidRPr="00842651">
        <w:rPr>
          <w:color w:val="auto"/>
        </w:rPr>
        <w:t>LCN2</w:t>
      </w:r>
      <w:r w:rsidRPr="00FE7622">
        <w:rPr>
          <w:color w:val="auto"/>
        </w:rPr>
        <w:tab/>
      </w:r>
      <w:r w:rsidR="00B63EFE" w:rsidRPr="00FE7622">
        <w:rPr>
          <w:color w:val="auto"/>
        </w:rPr>
        <w:t>l</w:t>
      </w:r>
      <w:r w:rsidRPr="00FE7622">
        <w:rPr>
          <w:color w:val="auto"/>
        </w:rPr>
        <w:t>ipocalin-2</w:t>
      </w:r>
    </w:p>
    <w:p w14:paraId="036D33AE" w14:textId="330F004B" w:rsidR="00E82432" w:rsidRPr="00FE7622" w:rsidRDefault="00E82432" w:rsidP="00E82432">
      <w:pPr>
        <w:pStyle w:val="19AbbreviationslistPrelimsstyles"/>
        <w:rPr>
          <w:color w:val="auto"/>
        </w:rPr>
      </w:pPr>
      <w:r w:rsidRPr="00842651">
        <w:rPr>
          <w:color w:val="auto"/>
        </w:rPr>
        <w:t>MCID</w:t>
      </w:r>
      <w:r w:rsidRPr="00FE7622">
        <w:rPr>
          <w:color w:val="auto"/>
        </w:rPr>
        <w:tab/>
      </w:r>
      <w:r w:rsidR="00B63EFE" w:rsidRPr="00FE7622">
        <w:rPr>
          <w:color w:val="auto"/>
        </w:rPr>
        <w:t>minimum clinically important difference</w:t>
      </w:r>
    </w:p>
    <w:p w14:paraId="2915DD2B" w14:textId="00F62BBD" w:rsidR="007C7DFF" w:rsidRPr="00FE7622" w:rsidRDefault="007C7DFF" w:rsidP="00E82432">
      <w:pPr>
        <w:pStyle w:val="19AbbreviationslistPrelimsstyles"/>
        <w:rPr>
          <w:color w:val="auto"/>
        </w:rPr>
      </w:pPr>
      <w:r w:rsidRPr="00842651">
        <w:rPr>
          <w:color w:val="auto"/>
        </w:rPr>
        <w:t>MedDRA</w:t>
      </w:r>
      <w:r w:rsidRPr="00842651">
        <w:rPr>
          <w:color w:val="auto"/>
        </w:rPr>
        <w:tab/>
      </w:r>
      <w:r w:rsidRPr="00FE7622">
        <w:rPr>
          <w:color w:val="auto"/>
        </w:rPr>
        <w:t>Medical Dictionary for Regulatory Activities</w:t>
      </w:r>
    </w:p>
    <w:p w14:paraId="135EC922" w14:textId="3CCFFEE1" w:rsidR="00E82432" w:rsidRPr="00FE7622" w:rsidRDefault="00E82432" w:rsidP="00E82432">
      <w:pPr>
        <w:pStyle w:val="19AbbreviationslistPrelimsstyles"/>
        <w:rPr>
          <w:color w:val="auto"/>
        </w:rPr>
      </w:pPr>
      <w:r w:rsidRPr="00842651">
        <w:rPr>
          <w:color w:val="auto"/>
        </w:rPr>
        <w:t>miRNA</w:t>
      </w:r>
      <w:r w:rsidRPr="00FE7622">
        <w:rPr>
          <w:color w:val="auto"/>
        </w:rPr>
        <w:tab/>
        <w:t>micro</w:t>
      </w:r>
      <w:r w:rsidRPr="00842651">
        <w:rPr>
          <w:color w:val="auto"/>
        </w:rPr>
        <w:t>RNA</w:t>
      </w:r>
    </w:p>
    <w:p w14:paraId="3D8A502F" w14:textId="17B018B7" w:rsidR="00E82432" w:rsidRPr="00FE7622" w:rsidRDefault="00E82432" w:rsidP="00E82432">
      <w:pPr>
        <w:pStyle w:val="19AbbreviationslistPrelimsstyles"/>
        <w:rPr>
          <w:color w:val="auto"/>
        </w:rPr>
      </w:pPr>
      <w:r w:rsidRPr="00842651">
        <w:rPr>
          <w:color w:val="auto"/>
        </w:rPr>
        <w:t>NIHR</w:t>
      </w:r>
      <w:r w:rsidRPr="00FE7622">
        <w:rPr>
          <w:color w:val="auto"/>
        </w:rPr>
        <w:tab/>
        <w:t>National Institute for Health</w:t>
      </w:r>
      <w:r w:rsidR="00FA438F" w:rsidRPr="00FE7622">
        <w:rPr>
          <w:color w:val="auto"/>
        </w:rPr>
        <w:t xml:space="preserve"> and Care</w:t>
      </w:r>
      <w:r w:rsidRPr="00FE7622">
        <w:rPr>
          <w:color w:val="auto"/>
        </w:rPr>
        <w:t xml:space="preserve"> Research</w:t>
      </w:r>
    </w:p>
    <w:p w14:paraId="53974358" w14:textId="4F07A7ED" w:rsidR="00854C98" w:rsidRPr="00FE7622" w:rsidRDefault="00854C98" w:rsidP="00E82432">
      <w:pPr>
        <w:pStyle w:val="19AbbreviationslistPrelimsstyles"/>
        <w:rPr>
          <w:color w:val="auto"/>
        </w:rPr>
      </w:pPr>
      <w:r w:rsidRPr="00842651">
        <w:rPr>
          <w:color w:val="auto"/>
        </w:rPr>
        <w:t>PRISMA</w:t>
      </w:r>
      <w:r w:rsidRPr="00FE7622">
        <w:rPr>
          <w:color w:val="auto"/>
        </w:rPr>
        <w:tab/>
        <w:t>Preferred Reporting Items for Systematic Review and Meta-Analysis</w:t>
      </w:r>
    </w:p>
    <w:p w14:paraId="0D1CA7DF" w14:textId="41FBF09A" w:rsidR="00C47AFF" w:rsidRPr="00FE7622" w:rsidRDefault="00C47AFF" w:rsidP="00E82432">
      <w:pPr>
        <w:pStyle w:val="19AbbreviationslistPrelimsstyles"/>
        <w:rPr>
          <w:color w:val="auto"/>
        </w:rPr>
      </w:pPr>
      <w:r w:rsidRPr="00842651">
        <w:rPr>
          <w:color w:val="auto"/>
        </w:rPr>
        <w:t>RNA</w:t>
      </w:r>
      <w:r w:rsidRPr="00FE7622">
        <w:rPr>
          <w:color w:val="auto"/>
        </w:rPr>
        <w:tab/>
        <w:t>ribonucleic acid</w:t>
      </w:r>
    </w:p>
    <w:p w14:paraId="02C0E3D3" w14:textId="1B0E667F" w:rsidR="00E82432" w:rsidRPr="00FE7622" w:rsidRDefault="00E82432" w:rsidP="00E82432">
      <w:pPr>
        <w:pStyle w:val="19AbbreviationslistPrelimsstyles"/>
        <w:rPr>
          <w:color w:val="auto"/>
        </w:rPr>
      </w:pPr>
      <w:r w:rsidRPr="00842651">
        <w:rPr>
          <w:color w:val="auto"/>
        </w:rPr>
        <w:t>SARC-F</w:t>
      </w:r>
      <w:r w:rsidRPr="00FE7622">
        <w:rPr>
          <w:color w:val="auto"/>
        </w:rPr>
        <w:tab/>
        <w:t>Strength Assistance Rise Climb – Falls</w:t>
      </w:r>
    </w:p>
    <w:p w14:paraId="18C5739C" w14:textId="312BB0E3" w:rsidR="00121D3B" w:rsidRPr="00FE7622" w:rsidRDefault="00121D3B" w:rsidP="00E82432">
      <w:pPr>
        <w:pStyle w:val="19AbbreviationslistPrelimsstyles"/>
        <w:rPr>
          <w:color w:val="auto"/>
        </w:rPr>
      </w:pPr>
      <w:r w:rsidRPr="00842651">
        <w:rPr>
          <w:color w:val="auto"/>
        </w:rPr>
        <w:t>SD</w:t>
      </w:r>
      <w:r w:rsidRPr="00FE7622">
        <w:rPr>
          <w:color w:val="auto"/>
        </w:rPr>
        <w:tab/>
        <w:t>standard deviation</w:t>
      </w:r>
    </w:p>
    <w:p w14:paraId="3CF0D950" w14:textId="77777777" w:rsidR="00E82432" w:rsidRPr="00FE7622" w:rsidRDefault="00E82432" w:rsidP="00E82432">
      <w:pPr>
        <w:pStyle w:val="19AbbreviationslistPrelimsstyles"/>
        <w:rPr>
          <w:color w:val="auto"/>
        </w:rPr>
      </w:pPr>
      <w:r w:rsidRPr="00842651">
        <w:rPr>
          <w:color w:val="auto"/>
        </w:rPr>
        <w:t>SPPB</w:t>
      </w:r>
      <w:r w:rsidRPr="00FE7622">
        <w:rPr>
          <w:color w:val="auto"/>
        </w:rPr>
        <w:tab/>
        <w:t>Short Physical Performance Battery</w:t>
      </w:r>
    </w:p>
    <w:p w14:paraId="7ECDACB9" w14:textId="77777777" w:rsidR="00E82432" w:rsidRPr="00FE7622" w:rsidRDefault="00E82432" w:rsidP="00E82432">
      <w:pPr>
        <w:pStyle w:val="19AbbreviationslistPrelimsstyles"/>
        <w:rPr>
          <w:color w:val="auto"/>
        </w:rPr>
      </w:pPr>
      <w:r w:rsidRPr="00842651">
        <w:rPr>
          <w:color w:val="auto"/>
        </w:rPr>
        <w:t>TMG</w:t>
      </w:r>
      <w:r w:rsidRPr="00FE7622">
        <w:rPr>
          <w:color w:val="auto"/>
        </w:rPr>
        <w:tab/>
        <w:t>Trial Management Group</w:t>
      </w:r>
    </w:p>
    <w:p w14:paraId="76C5963D" w14:textId="74ED4240" w:rsidR="00DA2F6D" w:rsidRPr="00FE7622" w:rsidRDefault="00DA2F6D" w:rsidP="00E82432">
      <w:pPr>
        <w:pStyle w:val="19AbbreviationslistPrelimsstyles"/>
        <w:rPr>
          <w:color w:val="auto"/>
        </w:rPr>
      </w:pPr>
      <w:r w:rsidRPr="00842651">
        <w:rPr>
          <w:color w:val="auto"/>
        </w:rPr>
        <w:t>TNF-a</w:t>
      </w:r>
      <w:r w:rsidRPr="00842651">
        <w:rPr>
          <w:color w:val="auto"/>
        </w:rPr>
        <w:tab/>
      </w:r>
      <w:r w:rsidRPr="00FE7622">
        <w:rPr>
          <w:color w:val="auto"/>
        </w:rPr>
        <w:t>tumour necrosis factor-alpha</w:t>
      </w:r>
    </w:p>
    <w:p w14:paraId="3368442C" w14:textId="77777777" w:rsidR="00E82432" w:rsidRPr="00FE7622" w:rsidRDefault="00E82432" w:rsidP="00E82432">
      <w:pPr>
        <w:pStyle w:val="19AbbreviationslistPrelimsstyles"/>
        <w:rPr>
          <w:color w:val="auto"/>
        </w:rPr>
      </w:pPr>
      <w:r w:rsidRPr="00842651">
        <w:rPr>
          <w:color w:val="auto"/>
        </w:rPr>
        <w:t>TSC</w:t>
      </w:r>
      <w:r w:rsidRPr="00FE7622">
        <w:rPr>
          <w:color w:val="auto"/>
        </w:rPr>
        <w:tab/>
        <w:t>Trial Steering Committee</w:t>
      </w:r>
    </w:p>
    <w:p w14:paraId="1A08BA28" w14:textId="7BEF7C8E" w:rsidR="00F026E8" w:rsidRPr="00FE7622" w:rsidRDefault="00F026E8" w:rsidP="00E82432">
      <w:pPr>
        <w:pStyle w:val="43PrelimtitleHeadingsHeadingstyles"/>
      </w:pPr>
      <w:bookmarkStart w:id="6" w:name="_Toc79684464"/>
      <w:r w:rsidRPr="00FE7622">
        <w:t xml:space="preserve">Plain English </w:t>
      </w:r>
      <w:r w:rsidR="008E5915" w:rsidRPr="00FE7622">
        <w:t>s</w:t>
      </w:r>
      <w:r w:rsidRPr="00FE7622">
        <w:t>ummary</w:t>
      </w:r>
      <w:bookmarkEnd w:id="6"/>
    </w:p>
    <w:p w14:paraId="5BDA4E7F" w14:textId="38962E45" w:rsidR="00F026E8" w:rsidRPr="00FE7622" w:rsidRDefault="00F026E8" w:rsidP="00E82432">
      <w:pPr>
        <w:pStyle w:val="601TextdropcapTextstylesTextstyles"/>
        <w:rPr>
          <w:color w:val="auto"/>
        </w:rPr>
      </w:pPr>
      <w:r w:rsidRPr="00FE7622">
        <w:rPr>
          <w:color w:val="auto"/>
        </w:rPr>
        <w:t>Sarcopenia (</w:t>
      </w:r>
      <w:r w:rsidR="00615AEB" w:rsidRPr="00FE7622">
        <w:rPr>
          <w:color w:val="auto"/>
        </w:rPr>
        <w:t xml:space="preserve">the </w:t>
      </w:r>
      <w:r w:rsidRPr="00FE7622">
        <w:rPr>
          <w:color w:val="auto"/>
        </w:rPr>
        <w:t>loss of muscle size and strength that is common as we age) causes falls,</w:t>
      </w:r>
      <w:r w:rsidR="00D24119" w:rsidRPr="00FE7622">
        <w:rPr>
          <w:color w:val="auto"/>
        </w:rPr>
        <w:t xml:space="preserve"> results in</w:t>
      </w:r>
      <w:r w:rsidRPr="00FE7622">
        <w:rPr>
          <w:color w:val="auto"/>
        </w:rPr>
        <w:t xml:space="preserve"> difficulty undertaking daily activities and can lead to longer hospital stays, a need for more care, and earlier death</w:t>
      </w:r>
      <w:r w:rsidR="002B0C6C" w:rsidRPr="00FE7622">
        <w:rPr>
          <w:color w:val="auto"/>
        </w:rPr>
        <w:t xml:space="preserve"> than for people without sarcopenia</w:t>
      </w:r>
      <w:r w:rsidRPr="00FE7622">
        <w:rPr>
          <w:color w:val="auto"/>
        </w:rPr>
        <w:t xml:space="preserve">. Resistance exercise (weight training) can help, but no other medicines or nutritional supplements are proven to help prevent or treat sarcopenia. Earlier </w:t>
      </w:r>
      <w:r w:rsidRPr="00FE7622">
        <w:rPr>
          <w:color w:val="auto"/>
        </w:rPr>
        <w:lastRenderedPageBreak/>
        <w:t>research suggested that leucine (a building block for proteins, found in the diet) or perindopril (a medicine use</w:t>
      </w:r>
      <w:r w:rsidR="00532206" w:rsidRPr="00FE7622">
        <w:rPr>
          <w:color w:val="auto"/>
        </w:rPr>
        <w:t>d</w:t>
      </w:r>
      <w:r w:rsidRPr="00FE7622">
        <w:rPr>
          <w:color w:val="auto"/>
        </w:rPr>
        <w:t xml:space="preserve"> to treat high blood pressure and heart problems) might be able to improve muscle function. The aim of this trial was to test whether</w:t>
      </w:r>
      <w:r w:rsidR="00D24119" w:rsidRPr="00FE7622">
        <w:rPr>
          <w:color w:val="auto"/>
        </w:rPr>
        <w:t xml:space="preserve"> or not</w:t>
      </w:r>
      <w:r w:rsidRPr="00FE7622">
        <w:rPr>
          <w:color w:val="auto"/>
        </w:rPr>
        <w:t xml:space="preserve"> leucine and perindopril can improve physical performance and </w:t>
      </w:r>
      <w:r w:rsidR="00D24119" w:rsidRPr="00FE7622">
        <w:rPr>
          <w:color w:val="auto"/>
        </w:rPr>
        <w:t xml:space="preserve">increase </w:t>
      </w:r>
      <w:r w:rsidRPr="00FE7622">
        <w:rPr>
          <w:color w:val="auto"/>
        </w:rPr>
        <w:t>muscle size in older people with sarcopenia.</w:t>
      </w:r>
    </w:p>
    <w:p w14:paraId="6102404B" w14:textId="1DF29050" w:rsidR="00F026E8" w:rsidRPr="00FE7622" w:rsidRDefault="00F026E8" w:rsidP="00E82432">
      <w:pPr>
        <w:pStyle w:val="602TextfoTextstylesTextstyles"/>
        <w:rPr>
          <w:color w:val="auto"/>
        </w:rPr>
      </w:pPr>
      <w:r w:rsidRPr="00FE7622">
        <w:rPr>
          <w:color w:val="auto"/>
        </w:rPr>
        <w:t xml:space="preserve">We recruited 145 people with sarcopenia aged 70 </w:t>
      </w:r>
      <w:r w:rsidR="00D4442C" w:rsidRPr="00FE7622">
        <w:rPr>
          <w:color w:val="auto"/>
        </w:rPr>
        <w:t xml:space="preserve">years </w:t>
      </w:r>
      <w:r w:rsidR="007B22D4" w:rsidRPr="00FE7622">
        <w:rPr>
          <w:color w:val="auto"/>
        </w:rPr>
        <w:t>or</w:t>
      </w:r>
      <w:r w:rsidRPr="00FE7622">
        <w:rPr>
          <w:color w:val="auto"/>
        </w:rPr>
        <w:t xml:space="preserve"> over from 14 hospitals across the UK. Participants were allocated at random to receive perindopril or a matching dummy tablet once </w:t>
      </w:r>
      <w:r w:rsidR="007B22D4" w:rsidRPr="00FE7622">
        <w:rPr>
          <w:color w:val="auto"/>
        </w:rPr>
        <w:t>per</w:t>
      </w:r>
      <w:r w:rsidRPr="00FE7622">
        <w:rPr>
          <w:color w:val="auto"/>
        </w:rPr>
        <w:t xml:space="preserve"> day, plus leucine powder or a matching dummy powder to be taken three times </w:t>
      </w:r>
      <w:r w:rsidR="007B22D4" w:rsidRPr="00FE7622">
        <w:rPr>
          <w:color w:val="auto"/>
        </w:rPr>
        <w:t>per</w:t>
      </w:r>
      <w:r w:rsidRPr="00FE7622">
        <w:rPr>
          <w:color w:val="auto"/>
        </w:rPr>
        <w:t xml:space="preserve"> day with meals. Both treatments were given for </w:t>
      </w:r>
      <w:r w:rsidR="007B22D4" w:rsidRPr="00FE7622">
        <w:rPr>
          <w:color w:val="auto"/>
        </w:rPr>
        <w:t>1</w:t>
      </w:r>
      <w:r w:rsidRPr="00FE7622">
        <w:rPr>
          <w:color w:val="auto"/>
        </w:rPr>
        <w:t xml:space="preserve"> year.</w:t>
      </w:r>
    </w:p>
    <w:p w14:paraId="2E695523" w14:textId="3253127F" w:rsidR="00F026E8" w:rsidRPr="00FE7622" w:rsidRDefault="00F026E8" w:rsidP="00E82432">
      <w:pPr>
        <w:pStyle w:val="602TextfoTextstylesTextstyles"/>
        <w:rPr>
          <w:color w:val="auto"/>
        </w:rPr>
      </w:pPr>
      <w:r w:rsidRPr="00FE7622">
        <w:rPr>
          <w:color w:val="auto"/>
        </w:rPr>
        <w:t xml:space="preserve">Neither leucine </w:t>
      </w:r>
      <w:r w:rsidR="007B22D4" w:rsidRPr="00FE7622">
        <w:rPr>
          <w:color w:val="auto"/>
        </w:rPr>
        <w:t>n</w:t>
      </w:r>
      <w:r w:rsidRPr="00FE7622">
        <w:rPr>
          <w:color w:val="auto"/>
        </w:rPr>
        <w:t>or perindopril improved physical performance, muscle size, quality of life or activities of daily living. More patients taking perindopril had side</w:t>
      </w:r>
      <w:r w:rsidR="007B22D4" w:rsidRPr="00FE7622">
        <w:rPr>
          <w:color w:val="auto"/>
        </w:rPr>
        <w:t xml:space="preserve"> </w:t>
      </w:r>
      <w:r w:rsidRPr="00FE7622">
        <w:rPr>
          <w:color w:val="auto"/>
        </w:rPr>
        <w:t>effects than those taking the dummy tablet, but there was no difference in side effects between those taking leucine and those taking the dummy powder. The number of falls was not affected by perindopril or leucine. Although sarcopenia is common, it was difficult to find participants with sarcopenia as the condition is not often recorded in hospitals or general practice. We created a more efficient way to find people with sarcopenia and screen them for entry into future clinical trials.</w:t>
      </w:r>
    </w:p>
    <w:p w14:paraId="19F3FC07" w14:textId="37EC2E3C" w:rsidR="00F026E8" w:rsidRPr="00FE7622" w:rsidRDefault="00F026E8" w:rsidP="00E82432">
      <w:pPr>
        <w:pStyle w:val="602TextfoTextstylesTextstyles"/>
        <w:rPr>
          <w:color w:val="auto"/>
        </w:rPr>
      </w:pPr>
      <w:r w:rsidRPr="00FE7622">
        <w:rPr>
          <w:color w:val="auto"/>
        </w:rPr>
        <w:t xml:space="preserve">Neither perindopril </w:t>
      </w:r>
      <w:r w:rsidR="007B22D4" w:rsidRPr="00FE7622">
        <w:rPr>
          <w:color w:val="auto"/>
        </w:rPr>
        <w:t>n</w:t>
      </w:r>
      <w:r w:rsidRPr="00FE7622">
        <w:rPr>
          <w:color w:val="auto"/>
        </w:rPr>
        <w:t xml:space="preserve">or leucine </w:t>
      </w:r>
      <w:r w:rsidR="007B22D4" w:rsidRPr="00FE7622">
        <w:rPr>
          <w:color w:val="auto"/>
        </w:rPr>
        <w:t>was</w:t>
      </w:r>
      <w:r w:rsidRPr="00FE7622">
        <w:rPr>
          <w:color w:val="auto"/>
        </w:rPr>
        <w:t xml:space="preserve"> effective </w:t>
      </w:r>
      <w:r w:rsidR="00C44BCA" w:rsidRPr="00FE7622">
        <w:rPr>
          <w:color w:val="auto"/>
        </w:rPr>
        <w:t>in</w:t>
      </w:r>
      <w:r w:rsidRPr="00FE7622">
        <w:rPr>
          <w:color w:val="auto"/>
        </w:rPr>
        <w:t xml:space="preserve"> improving physical performance or muscle size in older people with sarcopenia and </w:t>
      </w:r>
      <w:r w:rsidR="004B39C7" w:rsidRPr="00FE7622">
        <w:rPr>
          <w:color w:val="auto"/>
        </w:rPr>
        <w:t xml:space="preserve">they </w:t>
      </w:r>
      <w:r w:rsidRPr="00FE7622">
        <w:rPr>
          <w:color w:val="auto"/>
        </w:rPr>
        <w:t>are unlikely to be useful as treatments for this condition.</w:t>
      </w:r>
    </w:p>
    <w:p w14:paraId="401869FE" w14:textId="4941D2AC" w:rsidR="00F026E8" w:rsidRPr="00FE7622" w:rsidRDefault="00F026E8" w:rsidP="00E82432">
      <w:pPr>
        <w:pStyle w:val="43PrelimtitleHeadingsHeadingstyles"/>
      </w:pPr>
      <w:bookmarkStart w:id="7" w:name="_Toc79684465"/>
      <w:r w:rsidRPr="00FE7622">
        <w:t xml:space="preserve">Scientific </w:t>
      </w:r>
      <w:r w:rsidR="006C4FC2" w:rsidRPr="00FE7622">
        <w:t>s</w:t>
      </w:r>
      <w:r w:rsidRPr="00FE7622">
        <w:t>ummary</w:t>
      </w:r>
      <w:bookmarkEnd w:id="7"/>
    </w:p>
    <w:p w14:paraId="390B5A17" w14:textId="12EECAAD" w:rsidR="00E038BF" w:rsidRPr="00FE7622" w:rsidRDefault="00E038BF" w:rsidP="00E82432">
      <w:pPr>
        <w:pStyle w:val="52AheadHeadingsHeadingstyles"/>
      </w:pPr>
      <w:bookmarkStart w:id="8" w:name="_Toc79684466"/>
      <w:r w:rsidRPr="00FE7622">
        <w:t>Background</w:t>
      </w:r>
      <w:bookmarkEnd w:id="8"/>
    </w:p>
    <w:p w14:paraId="37C86211" w14:textId="00BEC7E8" w:rsidR="00F026E8" w:rsidRPr="00FE7622" w:rsidRDefault="00F026E8" w:rsidP="00E82432">
      <w:pPr>
        <w:pStyle w:val="602TextfoTextstylesTextstyles"/>
        <w:rPr>
          <w:color w:val="auto"/>
        </w:rPr>
      </w:pPr>
      <w:r w:rsidRPr="00FE7622">
        <w:rPr>
          <w:color w:val="auto"/>
        </w:rPr>
        <w:t>Sarcopenia, defined as the age-related loss of muscle mass and strength, is a major health problem. The condition is common, affecting between 5</w:t>
      </w:r>
      <w:r w:rsidR="006C4FC2" w:rsidRPr="00FE7622">
        <w:rPr>
          <w:color w:val="auto"/>
        </w:rPr>
        <w:t>%</w:t>
      </w:r>
      <w:r w:rsidRPr="00FE7622">
        <w:rPr>
          <w:color w:val="auto"/>
        </w:rPr>
        <w:t xml:space="preserve"> and 10% of community-dwelling people aged </w:t>
      </w:r>
      <w:r w:rsidR="00262641" w:rsidRPr="00FE7622">
        <w:rPr>
          <w:color w:val="auto"/>
        </w:rPr>
        <w:t>&gt; </w:t>
      </w:r>
      <w:r w:rsidRPr="00FE7622">
        <w:rPr>
          <w:color w:val="auto"/>
        </w:rPr>
        <w:t>65</w:t>
      </w:r>
      <w:r w:rsidR="006C4FC2" w:rsidRPr="00FE7622">
        <w:rPr>
          <w:color w:val="auto"/>
        </w:rPr>
        <w:t xml:space="preserve"> years</w:t>
      </w:r>
      <w:r w:rsidRPr="00FE7622">
        <w:rPr>
          <w:color w:val="auto"/>
        </w:rPr>
        <w:t>. It is a major cause of multiple adverse outcomes for older people</w:t>
      </w:r>
      <w:r w:rsidR="006C4FC2" w:rsidRPr="00FE7622">
        <w:rPr>
          <w:color w:val="auto"/>
        </w:rPr>
        <w:t>,</w:t>
      </w:r>
      <w:r w:rsidRPr="00FE7622">
        <w:rPr>
          <w:color w:val="auto"/>
        </w:rPr>
        <w:t xml:space="preserve"> including falls, fractures, hospital admission, prolonged length of stay, need for care and reduced survival.</w:t>
      </w:r>
    </w:p>
    <w:p w14:paraId="2B2633F1" w14:textId="431F6728" w:rsidR="00E038BF" w:rsidRPr="00FE7622" w:rsidRDefault="00E038BF" w:rsidP="00E82432">
      <w:pPr>
        <w:pStyle w:val="52AheadHeadingsHeadingstyles"/>
      </w:pPr>
      <w:bookmarkStart w:id="9" w:name="_Toc79684467"/>
      <w:r w:rsidRPr="00FE7622">
        <w:t>Objectives</w:t>
      </w:r>
      <w:bookmarkEnd w:id="9"/>
    </w:p>
    <w:p w14:paraId="1130E562" w14:textId="3207B5F2" w:rsidR="00F026E8" w:rsidRPr="00FE7622" w:rsidRDefault="00F026E8" w:rsidP="00E82432">
      <w:pPr>
        <w:pStyle w:val="602TextfoTextstylesTextstyles"/>
        <w:rPr>
          <w:color w:val="auto"/>
        </w:rPr>
      </w:pPr>
      <w:r w:rsidRPr="00FE7622">
        <w:rPr>
          <w:color w:val="auto"/>
        </w:rPr>
        <w:t xml:space="preserve">The primary objective of the </w:t>
      </w:r>
      <w:r w:rsidRPr="00842651">
        <w:rPr>
          <w:color w:val="auto"/>
        </w:rPr>
        <w:t>LACE</w:t>
      </w:r>
      <w:r w:rsidR="008475CF" w:rsidRPr="00FE7622">
        <w:rPr>
          <w:color w:val="auto"/>
        </w:rPr>
        <w:t xml:space="preserve"> (Leucine and Angiotensin-Converting Enzyme inhibitor)</w:t>
      </w:r>
      <w:r w:rsidRPr="00FE7622">
        <w:rPr>
          <w:color w:val="auto"/>
        </w:rPr>
        <w:t xml:space="preserve"> trial was to determine the efficacy of leucine and perindopril in improving physical function in older people diagnosed with sarcopenia.</w:t>
      </w:r>
    </w:p>
    <w:p w14:paraId="1BDC8C36" w14:textId="77777777" w:rsidR="00F026E8" w:rsidRPr="00FE7622" w:rsidRDefault="00F026E8" w:rsidP="00E82432">
      <w:pPr>
        <w:pStyle w:val="602TextfoTextstylesTextstyles"/>
        <w:rPr>
          <w:color w:val="auto"/>
        </w:rPr>
      </w:pPr>
      <w:r w:rsidRPr="00FE7622">
        <w:rPr>
          <w:color w:val="auto"/>
        </w:rPr>
        <w:t>The secondary objectives were to:</w:t>
      </w:r>
    </w:p>
    <w:p w14:paraId="76FBC283" w14:textId="033D3A7C" w:rsidR="00F026E8" w:rsidRPr="00FE7622" w:rsidRDefault="006C4FC2" w:rsidP="00E82432">
      <w:pPr>
        <w:pStyle w:val="625TextsimplelistTextstyles"/>
        <w:rPr>
          <w:color w:val="auto"/>
        </w:rPr>
      </w:pPr>
      <w:r w:rsidRPr="00FE7622">
        <w:rPr>
          <w:color w:val="auto"/>
        </w:rPr>
        <w:t>e</w:t>
      </w:r>
      <w:r w:rsidR="00F026E8" w:rsidRPr="00FE7622">
        <w:rPr>
          <w:color w:val="auto"/>
        </w:rPr>
        <w:t>valuate the effect of leucine and perindopril on muscle mass</w:t>
      </w:r>
    </w:p>
    <w:p w14:paraId="3362260F" w14:textId="1CA5B44A" w:rsidR="00F026E8" w:rsidRPr="00FE7622" w:rsidRDefault="006C4FC2" w:rsidP="00E82432">
      <w:pPr>
        <w:pStyle w:val="6251TextsimplelistlastTextstyles"/>
        <w:rPr>
          <w:color w:val="auto"/>
        </w:rPr>
      </w:pPr>
      <w:r w:rsidRPr="00FE7622">
        <w:rPr>
          <w:color w:val="auto"/>
        </w:rPr>
        <w:t>e</w:t>
      </w:r>
      <w:r w:rsidR="00F026E8" w:rsidRPr="00FE7622">
        <w:rPr>
          <w:color w:val="auto"/>
        </w:rPr>
        <w:t>valuate the ability of biomarkers to predict response to therapy in patients with sarcopenia</w:t>
      </w:r>
      <w:r w:rsidRPr="00FE7622">
        <w:rPr>
          <w:color w:val="auto"/>
        </w:rPr>
        <w:t>.</w:t>
      </w:r>
    </w:p>
    <w:p w14:paraId="575ADAB3" w14:textId="15185F8E" w:rsidR="00F026E8" w:rsidRPr="00FE7622" w:rsidRDefault="00F026E8" w:rsidP="00E82432">
      <w:pPr>
        <w:pStyle w:val="602TextfoTextstylesTextstyles"/>
        <w:rPr>
          <w:color w:val="auto"/>
        </w:rPr>
      </w:pPr>
      <w:r w:rsidRPr="00FE7622">
        <w:rPr>
          <w:color w:val="auto"/>
        </w:rPr>
        <w:t xml:space="preserve">In addition, the </w:t>
      </w:r>
      <w:r w:rsidRPr="00842651">
        <w:rPr>
          <w:color w:val="auto"/>
        </w:rPr>
        <w:t>LACE</w:t>
      </w:r>
      <w:r w:rsidRPr="00FE7622">
        <w:rPr>
          <w:color w:val="auto"/>
        </w:rPr>
        <w:t xml:space="preserve"> programme of work sought to improve the effectiveness of screening and recruitment pathways for sarcopenia trials to facilitate </w:t>
      </w:r>
      <w:r w:rsidR="007022A2" w:rsidRPr="00FE7622">
        <w:rPr>
          <w:color w:val="auto"/>
        </w:rPr>
        <w:t xml:space="preserve">the </w:t>
      </w:r>
      <w:r w:rsidRPr="00FE7622">
        <w:rPr>
          <w:color w:val="auto"/>
        </w:rPr>
        <w:t>delivery of future trials in this disease area.</w:t>
      </w:r>
    </w:p>
    <w:p w14:paraId="02C81933" w14:textId="110A99CD" w:rsidR="00E038BF" w:rsidRPr="00FE7622" w:rsidRDefault="00E038BF" w:rsidP="00E82432">
      <w:pPr>
        <w:pStyle w:val="52AheadHeadingsHeadingstyles"/>
      </w:pPr>
      <w:bookmarkStart w:id="10" w:name="_Toc79684468"/>
      <w:r w:rsidRPr="00FE7622">
        <w:t>Methods</w:t>
      </w:r>
      <w:bookmarkEnd w:id="10"/>
    </w:p>
    <w:p w14:paraId="2CF64A58" w14:textId="6CDBD443" w:rsidR="00F026E8" w:rsidRPr="00FE7622" w:rsidRDefault="00F026E8" w:rsidP="00E82432">
      <w:pPr>
        <w:pStyle w:val="602TextfoTextstylesTextstyles"/>
        <w:rPr>
          <w:color w:val="auto"/>
        </w:rPr>
      </w:pPr>
      <w:r w:rsidRPr="00FE7622">
        <w:rPr>
          <w:color w:val="auto"/>
        </w:rPr>
        <w:t xml:space="preserve">The </w:t>
      </w:r>
      <w:r w:rsidRPr="00842651">
        <w:rPr>
          <w:color w:val="auto"/>
        </w:rPr>
        <w:t>LACE</w:t>
      </w:r>
      <w:r w:rsidRPr="00FE7622">
        <w:rPr>
          <w:color w:val="auto"/>
        </w:rPr>
        <w:t xml:space="preserve"> trial was a placebo-controlled, parallel</w:t>
      </w:r>
      <w:r w:rsidR="00D8274A" w:rsidRPr="00FE7622">
        <w:rPr>
          <w:color w:val="auto"/>
        </w:rPr>
        <w:t>-</w:t>
      </w:r>
      <w:r w:rsidRPr="00FE7622">
        <w:rPr>
          <w:color w:val="auto"/>
        </w:rPr>
        <w:t xml:space="preserve">group, double-blind, randomised </w:t>
      </w:r>
      <w:r w:rsidR="00D8274A" w:rsidRPr="00FE7622">
        <w:rPr>
          <w:color w:val="auto"/>
        </w:rPr>
        <w:t xml:space="preserve">2 × 2 </w:t>
      </w:r>
      <w:r w:rsidRPr="00FE7622">
        <w:rPr>
          <w:color w:val="auto"/>
        </w:rPr>
        <w:t xml:space="preserve">factorial trial. Participants were recruited from primary care and geriatric medicine secondary care departments in </w:t>
      </w:r>
      <w:r w:rsidR="000009FD" w:rsidRPr="00FE7622">
        <w:rPr>
          <w:color w:val="auto"/>
        </w:rPr>
        <w:t xml:space="preserve">14 </w:t>
      </w:r>
      <w:r w:rsidRPr="00FE7622">
        <w:rPr>
          <w:color w:val="auto"/>
        </w:rPr>
        <w:t xml:space="preserve">UK hospitals. Participants were eligible for inclusion if they were aged ≥ 70 years </w:t>
      </w:r>
      <w:r w:rsidR="00BA40DB" w:rsidRPr="00FE7622">
        <w:rPr>
          <w:color w:val="auto"/>
        </w:rPr>
        <w:t>and had</w:t>
      </w:r>
      <w:r w:rsidRPr="00FE7622">
        <w:rPr>
          <w:color w:val="auto"/>
        </w:rPr>
        <w:t xml:space="preserve"> low muscle strength (handgrip </w:t>
      </w:r>
      <w:r w:rsidR="007022A2" w:rsidRPr="00FE7622">
        <w:rPr>
          <w:color w:val="auto"/>
        </w:rPr>
        <w:t xml:space="preserve">of </w:t>
      </w:r>
      <w:r w:rsidRPr="00FE7622">
        <w:rPr>
          <w:color w:val="auto"/>
        </w:rPr>
        <w:t>&lt; 30 kg for men</w:t>
      </w:r>
      <w:r w:rsidR="007022A2" w:rsidRPr="00FE7622">
        <w:rPr>
          <w:color w:val="auto"/>
        </w:rPr>
        <w:t xml:space="preserve"> and</w:t>
      </w:r>
      <w:r w:rsidRPr="00FE7622">
        <w:rPr>
          <w:color w:val="auto"/>
        </w:rPr>
        <w:t xml:space="preserve"> &lt; 20 kg for women, or</w:t>
      </w:r>
      <w:r w:rsidR="00D8274A" w:rsidRPr="00FE7622">
        <w:rPr>
          <w:color w:val="auto"/>
        </w:rPr>
        <w:t xml:space="preserve"> a</w:t>
      </w:r>
      <w:r w:rsidRPr="00FE7622">
        <w:rPr>
          <w:color w:val="auto"/>
        </w:rPr>
        <w:t xml:space="preserve"> 4</w:t>
      </w:r>
      <w:r w:rsidR="00D8274A" w:rsidRPr="00FE7622">
        <w:rPr>
          <w:color w:val="auto"/>
        </w:rPr>
        <w:t>-</w:t>
      </w:r>
      <w:r w:rsidRPr="00FE7622">
        <w:rPr>
          <w:color w:val="auto"/>
        </w:rPr>
        <w:t>metre walk speed</w:t>
      </w:r>
      <w:r w:rsidR="007022A2" w:rsidRPr="00FE7622">
        <w:rPr>
          <w:color w:val="auto"/>
        </w:rPr>
        <w:t xml:space="preserve"> of</w:t>
      </w:r>
      <w:r w:rsidRPr="00FE7622">
        <w:rPr>
          <w:color w:val="auto"/>
        </w:rPr>
        <w:t xml:space="preserve"> &lt; 0.8 m/s</w:t>
      </w:r>
      <w:r w:rsidR="006C4FC2" w:rsidRPr="00FE7622">
        <w:rPr>
          <w:color w:val="auto"/>
        </w:rPr>
        <w:t>econd</w:t>
      </w:r>
      <w:r w:rsidRPr="00FE7622">
        <w:rPr>
          <w:color w:val="auto"/>
        </w:rPr>
        <w:t xml:space="preserve">) and low muscle mass </w:t>
      </w:r>
      <w:r w:rsidR="00D8274A" w:rsidRPr="00FE7622">
        <w:rPr>
          <w:color w:val="auto"/>
        </w:rPr>
        <w:t xml:space="preserve">as determined </w:t>
      </w:r>
      <w:r w:rsidRPr="00FE7622">
        <w:rPr>
          <w:color w:val="auto"/>
        </w:rPr>
        <w:t xml:space="preserve">by bioimpedance assessment. Exclusion criteria </w:t>
      </w:r>
      <w:r w:rsidRPr="00FE7622">
        <w:rPr>
          <w:color w:val="auto"/>
        </w:rPr>
        <w:lastRenderedPageBreak/>
        <w:t>included contraindications or existing indications to angiotensin-converting enzyme inhibitors (aortic stenosis, chronic heart failure, hypotension or symptomatic postural hypotension, hyperkalemia, hyponatr</w:t>
      </w:r>
      <w:r w:rsidR="00A667FB" w:rsidRPr="00FE7622">
        <w:rPr>
          <w:color w:val="auto"/>
        </w:rPr>
        <w:t>a</w:t>
      </w:r>
      <w:r w:rsidRPr="00FE7622">
        <w:rPr>
          <w:color w:val="auto"/>
        </w:rPr>
        <w:t xml:space="preserve">emia, serum creatinine </w:t>
      </w:r>
      <w:r w:rsidR="009A7024" w:rsidRPr="00FE7622">
        <w:rPr>
          <w:color w:val="auto"/>
        </w:rPr>
        <w:t xml:space="preserve">level of </w:t>
      </w:r>
      <w:r w:rsidRPr="00FE7622">
        <w:rPr>
          <w:color w:val="auto"/>
        </w:rPr>
        <w:t>&gt; 170</w:t>
      </w:r>
      <w:r w:rsidR="006C4FC2" w:rsidRPr="00FE7622">
        <w:rPr>
          <w:color w:val="auto"/>
        </w:rPr>
        <w:t> </w:t>
      </w:r>
      <w:r w:rsidR="009A7024" w:rsidRPr="00FE7622">
        <w:rPr>
          <w:color w:val="auto"/>
        </w:rPr>
        <w:t>μ</w:t>
      </w:r>
      <w:r w:rsidRPr="00FE7622">
        <w:rPr>
          <w:color w:val="auto"/>
        </w:rPr>
        <w:t>mol/</w:t>
      </w:r>
      <w:r w:rsidR="006C4FC2" w:rsidRPr="00FE7622">
        <w:rPr>
          <w:color w:val="auto"/>
        </w:rPr>
        <w:t>l</w:t>
      </w:r>
      <w:r w:rsidRPr="00FE7622">
        <w:rPr>
          <w:color w:val="auto"/>
        </w:rPr>
        <w:t xml:space="preserve">, current use of oral </w:t>
      </w:r>
      <w:r w:rsidR="00CD2253" w:rsidRPr="00FE7622">
        <w:rPr>
          <w:color w:val="auto"/>
        </w:rPr>
        <w:t>non-steroidal anti-inflammatory drugs</w:t>
      </w:r>
      <w:r w:rsidRPr="00FE7622">
        <w:rPr>
          <w:color w:val="auto"/>
        </w:rPr>
        <w:t xml:space="preserve">, potassium supplements, aliskiren, spironolactone or other potassium-sparing diuretics); contraindications to undertaking study procedures (implantable cardioverter defibrillator or pacemaker with atrial sensing lead, peripheral oedema present above knee level, </w:t>
      </w:r>
      <w:r w:rsidR="00B5607E" w:rsidRPr="00FE7622">
        <w:rPr>
          <w:color w:val="auto"/>
        </w:rPr>
        <w:t>in</w:t>
      </w:r>
      <w:r w:rsidRPr="00FE7622">
        <w:rPr>
          <w:color w:val="auto"/>
        </w:rPr>
        <w:t>ab</w:t>
      </w:r>
      <w:r w:rsidR="00B5607E" w:rsidRPr="00FE7622">
        <w:rPr>
          <w:color w:val="auto"/>
        </w:rPr>
        <w:t>i</w:t>
      </w:r>
      <w:r w:rsidRPr="00FE7622">
        <w:rPr>
          <w:color w:val="auto"/>
        </w:rPr>
        <w:t>l</w:t>
      </w:r>
      <w:r w:rsidR="00B5607E" w:rsidRPr="00FE7622">
        <w:rPr>
          <w:color w:val="auto"/>
        </w:rPr>
        <w:t>ity</w:t>
      </w:r>
      <w:r w:rsidRPr="00FE7622">
        <w:rPr>
          <w:color w:val="auto"/>
        </w:rPr>
        <w:t xml:space="preserve"> to mobilise without human assistance, </w:t>
      </w:r>
      <w:r w:rsidR="00B5607E" w:rsidRPr="00FE7622">
        <w:rPr>
          <w:color w:val="auto"/>
        </w:rPr>
        <w:t xml:space="preserve">inability </w:t>
      </w:r>
      <w:r w:rsidRPr="00FE7622">
        <w:rPr>
          <w:color w:val="auto"/>
        </w:rPr>
        <w:t xml:space="preserve">to give written informed consent), other causes of myopathy (severe </w:t>
      </w:r>
      <w:r w:rsidR="00C97EC3" w:rsidRPr="00FE7622">
        <w:rPr>
          <w:color w:val="auto"/>
        </w:rPr>
        <w:t>chronic obstructive pulmonary disease</w:t>
      </w:r>
      <w:r w:rsidRPr="00FE7622">
        <w:rPr>
          <w:color w:val="auto"/>
        </w:rPr>
        <w:t xml:space="preserve">, known myositis or other established myopathy, self-reported weight loss of &gt; 10% in last 6 months, uncontrolled thyrotoxicosis, </w:t>
      </w:r>
      <w:r w:rsidR="00773743" w:rsidRPr="00FE7622">
        <w:rPr>
          <w:color w:val="auto"/>
        </w:rPr>
        <w:t>use of ≥ </w:t>
      </w:r>
      <w:r w:rsidRPr="00FE7622">
        <w:rPr>
          <w:color w:val="auto"/>
        </w:rPr>
        <w:t>7.5</w:t>
      </w:r>
      <w:r w:rsidR="006C4FC2" w:rsidRPr="00FE7622">
        <w:rPr>
          <w:color w:val="auto"/>
        </w:rPr>
        <w:t> </w:t>
      </w:r>
      <w:r w:rsidRPr="00FE7622">
        <w:rPr>
          <w:color w:val="auto"/>
        </w:rPr>
        <w:t xml:space="preserve">mg/day prednisolone or equivalent), currently enrolled in a time-limited exercise-based rehabilitation programme, </w:t>
      </w:r>
      <w:r w:rsidR="00773743" w:rsidRPr="00FE7622">
        <w:rPr>
          <w:color w:val="auto"/>
        </w:rPr>
        <w:t>and</w:t>
      </w:r>
      <w:r w:rsidRPr="00FE7622">
        <w:rPr>
          <w:color w:val="auto"/>
        </w:rPr>
        <w:t xml:space="preserve"> presence of any progressive neurological or malignant condition with</w:t>
      </w:r>
      <w:r w:rsidR="007D065F" w:rsidRPr="00FE7622">
        <w:rPr>
          <w:color w:val="auto"/>
        </w:rPr>
        <w:t xml:space="preserve"> a</w:t>
      </w:r>
      <w:r w:rsidRPr="00FE7622">
        <w:rPr>
          <w:color w:val="auto"/>
        </w:rPr>
        <w:t xml:space="preserve"> life expectancy </w:t>
      </w:r>
      <w:r w:rsidR="006C4FC2" w:rsidRPr="00FE7622">
        <w:rPr>
          <w:color w:val="auto"/>
        </w:rPr>
        <w:t xml:space="preserve">of </w:t>
      </w:r>
      <w:r w:rsidRPr="00FE7622">
        <w:rPr>
          <w:color w:val="auto"/>
        </w:rPr>
        <w:t>&lt; 6 months.</w:t>
      </w:r>
    </w:p>
    <w:p w14:paraId="7F8EEDFA" w14:textId="57A21765" w:rsidR="00F026E8" w:rsidRPr="00FE7622" w:rsidRDefault="00F026E8" w:rsidP="00E82432">
      <w:pPr>
        <w:pStyle w:val="602TextfoTextstylesTextstyles"/>
        <w:rPr>
          <w:color w:val="auto"/>
        </w:rPr>
      </w:pPr>
      <w:r w:rsidRPr="00FE7622">
        <w:rPr>
          <w:color w:val="auto"/>
        </w:rPr>
        <w:t>Eligible participants were randomised 1</w:t>
      </w:r>
      <w:r w:rsidR="006C4FC2" w:rsidRPr="00FE7622">
        <w:rPr>
          <w:color w:val="auto"/>
        </w:rPr>
        <w:t> </w:t>
      </w:r>
      <w:r w:rsidRPr="00FE7622">
        <w:rPr>
          <w:color w:val="auto"/>
        </w:rPr>
        <w:t>:</w:t>
      </w:r>
      <w:r w:rsidR="006C4FC2" w:rsidRPr="00FE7622">
        <w:rPr>
          <w:color w:val="auto"/>
        </w:rPr>
        <w:t> </w:t>
      </w:r>
      <w:r w:rsidRPr="00FE7622">
        <w:rPr>
          <w:color w:val="auto"/>
        </w:rPr>
        <w:t>1 to</w:t>
      </w:r>
      <w:r w:rsidR="00C97EC3" w:rsidRPr="00FE7622">
        <w:rPr>
          <w:color w:val="auto"/>
        </w:rPr>
        <w:t xml:space="preserve"> receive </w:t>
      </w:r>
      <w:r w:rsidRPr="00FE7622">
        <w:rPr>
          <w:color w:val="auto"/>
        </w:rPr>
        <w:t xml:space="preserve">perindopril or </w:t>
      </w:r>
      <w:r w:rsidR="00C97EC3" w:rsidRPr="00FE7622">
        <w:rPr>
          <w:color w:val="auto"/>
        </w:rPr>
        <w:t xml:space="preserve">a </w:t>
      </w:r>
      <w:r w:rsidRPr="00FE7622">
        <w:rPr>
          <w:color w:val="auto"/>
        </w:rPr>
        <w:t>matching placebo and</w:t>
      </w:r>
      <w:r w:rsidR="00F74174" w:rsidRPr="00FE7622">
        <w:rPr>
          <w:color w:val="auto"/>
        </w:rPr>
        <w:t>,</w:t>
      </w:r>
      <w:r w:rsidRPr="00FE7622">
        <w:rPr>
          <w:color w:val="auto"/>
        </w:rPr>
        <w:t xml:space="preserve"> separately</w:t>
      </w:r>
      <w:r w:rsidR="00F74174" w:rsidRPr="00FE7622">
        <w:rPr>
          <w:color w:val="auto"/>
        </w:rPr>
        <w:t>,</w:t>
      </w:r>
      <w:r w:rsidRPr="00FE7622">
        <w:rPr>
          <w:color w:val="auto"/>
        </w:rPr>
        <w:t xml:space="preserve"> </w:t>
      </w:r>
      <w:r w:rsidR="00C97EC3" w:rsidRPr="00FE7622">
        <w:rPr>
          <w:color w:val="auto"/>
        </w:rPr>
        <w:t xml:space="preserve">were </w:t>
      </w:r>
      <w:r w:rsidRPr="00FE7622">
        <w:rPr>
          <w:color w:val="auto"/>
        </w:rPr>
        <w:t>randomised 1</w:t>
      </w:r>
      <w:r w:rsidR="006C4FC2" w:rsidRPr="00FE7622">
        <w:rPr>
          <w:color w:val="auto"/>
        </w:rPr>
        <w:t> </w:t>
      </w:r>
      <w:r w:rsidRPr="00FE7622">
        <w:rPr>
          <w:color w:val="auto"/>
        </w:rPr>
        <w:t>:</w:t>
      </w:r>
      <w:r w:rsidR="006C4FC2" w:rsidRPr="00FE7622">
        <w:rPr>
          <w:color w:val="auto"/>
        </w:rPr>
        <w:t> </w:t>
      </w:r>
      <w:r w:rsidRPr="00FE7622">
        <w:rPr>
          <w:color w:val="auto"/>
        </w:rPr>
        <w:t xml:space="preserve">1 to </w:t>
      </w:r>
      <w:r w:rsidR="00C97EC3" w:rsidRPr="00FE7622">
        <w:rPr>
          <w:color w:val="auto"/>
        </w:rPr>
        <w:t xml:space="preserve">receive </w:t>
      </w:r>
      <w:r w:rsidRPr="00FE7622">
        <w:rPr>
          <w:color w:val="auto"/>
        </w:rPr>
        <w:t xml:space="preserve">leucine or </w:t>
      </w:r>
      <w:r w:rsidR="00C97EC3" w:rsidRPr="00FE7622">
        <w:rPr>
          <w:color w:val="auto"/>
        </w:rPr>
        <w:t xml:space="preserve">a </w:t>
      </w:r>
      <w:r w:rsidRPr="00FE7622">
        <w:rPr>
          <w:color w:val="auto"/>
        </w:rPr>
        <w:t>matching placebo</w:t>
      </w:r>
      <w:r w:rsidR="00C97EC3" w:rsidRPr="00FE7622">
        <w:rPr>
          <w:color w:val="auto"/>
        </w:rPr>
        <w:t>.</w:t>
      </w:r>
      <w:r w:rsidRPr="00FE7622">
        <w:rPr>
          <w:color w:val="auto"/>
        </w:rPr>
        <w:t xml:space="preserve"> </w:t>
      </w:r>
      <w:r w:rsidR="00C97EC3" w:rsidRPr="00FE7622">
        <w:rPr>
          <w:color w:val="auto"/>
        </w:rPr>
        <w:t>A</w:t>
      </w:r>
      <w:r w:rsidRPr="00FE7622">
        <w:rPr>
          <w:color w:val="auto"/>
        </w:rPr>
        <w:t xml:space="preserve"> web-based randomisation system </w:t>
      </w:r>
      <w:r w:rsidR="00C97EC3" w:rsidRPr="00FE7622">
        <w:rPr>
          <w:color w:val="auto"/>
        </w:rPr>
        <w:t xml:space="preserve">was used </w:t>
      </w:r>
      <w:r w:rsidRPr="00FE7622">
        <w:rPr>
          <w:color w:val="auto"/>
        </w:rPr>
        <w:t xml:space="preserve">to conceal treatment allocation. Perindopril was commenced orally at 2 mg once daily and uptitrated to 4 mg once daily </w:t>
      </w:r>
      <w:r w:rsidR="00AA264F" w:rsidRPr="00FE7622">
        <w:rPr>
          <w:color w:val="auto"/>
        </w:rPr>
        <w:t>after</w:t>
      </w:r>
      <w:r w:rsidRPr="00FE7622">
        <w:rPr>
          <w:color w:val="auto"/>
        </w:rPr>
        <w:t xml:space="preserve"> 2 weeks if tolerated. Leucine was administered orally as 2.5 g of leucine powder three times </w:t>
      </w:r>
      <w:r w:rsidR="00F74174" w:rsidRPr="00FE7622">
        <w:rPr>
          <w:color w:val="auto"/>
        </w:rPr>
        <w:t>per</w:t>
      </w:r>
      <w:r w:rsidRPr="00FE7622">
        <w:rPr>
          <w:color w:val="auto"/>
        </w:rPr>
        <w:t xml:space="preserve"> day with meals.</w:t>
      </w:r>
    </w:p>
    <w:p w14:paraId="294C921F" w14:textId="73957222" w:rsidR="00F026E8" w:rsidRPr="00FE7622" w:rsidRDefault="00F026E8" w:rsidP="00E82432">
      <w:pPr>
        <w:pStyle w:val="602TextfoTextstylesTextstyles"/>
        <w:rPr>
          <w:color w:val="auto"/>
        </w:rPr>
      </w:pPr>
      <w:r w:rsidRPr="00FE7622">
        <w:rPr>
          <w:color w:val="auto"/>
        </w:rPr>
        <w:t>Outcomes were collected at baseline</w:t>
      </w:r>
      <w:r w:rsidR="008E5915" w:rsidRPr="00FE7622">
        <w:rPr>
          <w:color w:val="auto"/>
        </w:rPr>
        <w:t xml:space="preserve"> and at</w:t>
      </w:r>
      <w:r w:rsidRPr="00FE7622">
        <w:rPr>
          <w:color w:val="auto"/>
        </w:rPr>
        <w:t xml:space="preserve"> </w:t>
      </w:r>
      <w:r w:rsidR="008E5915" w:rsidRPr="00FE7622">
        <w:rPr>
          <w:color w:val="auto"/>
        </w:rPr>
        <w:t>6</w:t>
      </w:r>
      <w:r w:rsidRPr="00FE7622">
        <w:rPr>
          <w:color w:val="auto"/>
        </w:rPr>
        <w:t xml:space="preserve"> and </w:t>
      </w:r>
      <w:r w:rsidR="008E5915" w:rsidRPr="00FE7622">
        <w:rPr>
          <w:color w:val="auto"/>
        </w:rPr>
        <w:t>12</w:t>
      </w:r>
      <w:r w:rsidRPr="00FE7622">
        <w:rPr>
          <w:color w:val="auto"/>
        </w:rPr>
        <w:t xml:space="preserve"> months, with additional investigational biomarkers collected at </w:t>
      </w:r>
      <w:r w:rsidR="008E5915" w:rsidRPr="00FE7622">
        <w:rPr>
          <w:color w:val="auto"/>
        </w:rPr>
        <w:t>3</w:t>
      </w:r>
      <w:r w:rsidRPr="00FE7622">
        <w:rPr>
          <w:color w:val="auto"/>
        </w:rPr>
        <w:t xml:space="preserve"> months. The primary outcome was the between-group difference in the Short Physical Performance Battery</w:t>
      </w:r>
      <w:r w:rsidR="00887C5A" w:rsidRPr="00FE7622">
        <w:rPr>
          <w:color w:val="auto"/>
        </w:rPr>
        <w:t xml:space="preserve"> (</w:t>
      </w:r>
      <w:r w:rsidR="00887C5A" w:rsidRPr="00842651">
        <w:rPr>
          <w:color w:val="auto"/>
        </w:rPr>
        <w:t>SPPB</w:t>
      </w:r>
      <w:r w:rsidR="00887C5A" w:rsidRPr="00FE7622">
        <w:rPr>
          <w:color w:val="auto"/>
        </w:rPr>
        <w:t>)</w:t>
      </w:r>
      <w:r w:rsidRPr="00FE7622">
        <w:rPr>
          <w:color w:val="auto"/>
        </w:rPr>
        <w:t xml:space="preserve"> score by repeated measures over the 12</w:t>
      </w:r>
      <w:r w:rsidR="008E5915" w:rsidRPr="00FE7622">
        <w:rPr>
          <w:color w:val="auto"/>
        </w:rPr>
        <w:t>-</w:t>
      </w:r>
      <w:r w:rsidRPr="00FE7622">
        <w:rPr>
          <w:color w:val="auto"/>
        </w:rPr>
        <w:t>month follow-up period, adjusted for baseline values. The initial sample size calculation estimated that 440 participants were needed to detect a 0.5</w:t>
      </w:r>
      <w:r w:rsidR="008E5915" w:rsidRPr="00FE7622">
        <w:rPr>
          <w:color w:val="auto"/>
        </w:rPr>
        <w:t>-</w:t>
      </w:r>
      <w:r w:rsidRPr="00FE7622">
        <w:rPr>
          <w:color w:val="auto"/>
        </w:rPr>
        <w:t xml:space="preserve">point difference in the </w:t>
      </w:r>
      <w:r w:rsidR="00887C5A" w:rsidRPr="00842651">
        <w:rPr>
          <w:color w:val="auto"/>
        </w:rPr>
        <w:t>SPPB</w:t>
      </w:r>
      <w:r w:rsidRPr="00FE7622">
        <w:rPr>
          <w:color w:val="auto"/>
        </w:rPr>
        <w:t>, assuming a power of 90%, alpha of 0.05, standard deviation of 2.7, correlation of 0.7 between time</w:t>
      </w:r>
      <w:r w:rsidR="008E5915" w:rsidRPr="00FE7622">
        <w:rPr>
          <w:color w:val="auto"/>
        </w:rPr>
        <w:t xml:space="preserve"> </w:t>
      </w:r>
      <w:r w:rsidRPr="00FE7622">
        <w:rPr>
          <w:color w:val="auto"/>
        </w:rPr>
        <w:t>points and dropout rate of 20% at 12 months. Secondary outcome measures included appendicular muscle mass by dual X-ray absorptiometry</w:t>
      </w:r>
      <w:r w:rsidR="00E60511" w:rsidRPr="00FE7622">
        <w:rPr>
          <w:color w:val="auto"/>
        </w:rPr>
        <w:t>;</w:t>
      </w:r>
      <w:r w:rsidRPr="00FE7622">
        <w:rPr>
          <w:color w:val="auto"/>
        </w:rPr>
        <w:t xml:space="preserve"> health-related quality of life</w:t>
      </w:r>
      <w:r w:rsidR="008E5915" w:rsidRPr="00FE7622">
        <w:rPr>
          <w:color w:val="auto"/>
        </w:rPr>
        <w:t>,</w:t>
      </w:r>
      <w:r w:rsidRPr="00FE7622">
        <w:rPr>
          <w:color w:val="auto"/>
        </w:rPr>
        <w:t xml:space="preserve"> measured using the </w:t>
      </w:r>
      <w:r w:rsidRPr="00842651">
        <w:rPr>
          <w:color w:val="auto"/>
        </w:rPr>
        <w:t>EQ</w:t>
      </w:r>
      <w:r w:rsidR="00E60511" w:rsidRPr="00842651">
        <w:rPr>
          <w:color w:val="auto"/>
        </w:rPr>
        <w:t>-</w:t>
      </w:r>
      <w:r w:rsidRPr="00842651">
        <w:rPr>
          <w:color w:val="auto"/>
        </w:rPr>
        <w:t>5D-3L</w:t>
      </w:r>
      <w:r w:rsidRPr="00FE7622">
        <w:rPr>
          <w:color w:val="auto"/>
        </w:rPr>
        <w:t xml:space="preserve"> </w:t>
      </w:r>
      <w:r w:rsidR="007A6C71" w:rsidRPr="00FE7622">
        <w:rPr>
          <w:color w:val="auto"/>
        </w:rPr>
        <w:t xml:space="preserve">(EuroQol-5 Dimensions, three-level version) </w:t>
      </w:r>
      <w:r w:rsidRPr="00FE7622">
        <w:rPr>
          <w:color w:val="auto"/>
        </w:rPr>
        <w:t>measure</w:t>
      </w:r>
      <w:r w:rsidR="00E60511" w:rsidRPr="00FE7622">
        <w:rPr>
          <w:color w:val="auto"/>
        </w:rPr>
        <w:t>;</w:t>
      </w:r>
      <w:r w:rsidRPr="00FE7622">
        <w:rPr>
          <w:color w:val="auto"/>
        </w:rPr>
        <w:t xml:space="preserve"> maximal handgrip strength</w:t>
      </w:r>
      <w:r w:rsidR="00E60511" w:rsidRPr="00FE7622">
        <w:rPr>
          <w:color w:val="auto"/>
        </w:rPr>
        <w:t>;</w:t>
      </w:r>
      <w:r w:rsidRPr="00FE7622">
        <w:rPr>
          <w:color w:val="auto"/>
        </w:rPr>
        <w:t xml:space="preserve"> quadriceps strength</w:t>
      </w:r>
      <w:r w:rsidR="000204CB" w:rsidRPr="00FE7622">
        <w:rPr>
          <w:color w:val="auto"/>
        </w:rPr>
        <w:t>;</w:t>
      </w:r>
      <w:r w:rsidRPr="00FE7622">
        <w:rPr>
          <w:color w:val="auto"/>
        </w:rPr>
        <w:t xml:space="preserve"> </w:t>
      </w:r>
      <w:r w:rsidR="00E60511" w:rsidRPr="00FE7622">
        <w:rPr>
          <w:color w:val="auto"/>
        </w:rPr>
        <w:t>6</w:t>
      </w:r>
      <w:r w:rsidRPr="00FE7622">
        <w:rPr>
          <w:color w:val="auto"/>
        </w:rPr>
        <w:t xml:space="preserve">-minute walk </w:t>
      </w:r>
      <w:r w:rsidR="00AA264F" w:rsidRPr="00FE7622">
        <w:rPr>
          <w:color w:val="auto"/>
        </w:rPr>
        <w:t>distance</w:t>
      </w:r>
      <w:r w:rsidR="000204CB" w:rsidRPr="00FE7622">
        <w:rPr>
          <w:color w:val="auto"/>
        </w:rPr>
        <w:t>;</w:t>
      </w:r>
      <w:r w:rsidRPr="00FE7622">
        <w:rPr>
          <w:color w:val="auto"/>
        </w:rPr>
        <w:t xml:space="preserve"> activities of daily living</w:t>
      </w:r>
      <w:r w:rsidR="000204CB" w:rsidRPr="00FE7622">
        <w:rPr>
          <w:color w:val="auto"/>
        </w:rPr>
        <w:t>,</w:t>
      </w:r>
      <w:r w:rsidRPr="00FE7622">
        <w:rPr>
          <w:color w:val="auto"/>
        </w:rPr>
        <w:t xml:space="preserve"> measured using the Nottingham </w:t>
      </w:r>
      <w:r w:rsidR="00626641" w:rsidRPr="00FE7622">
        <w:rPr>
          <w:color w:val="auto"/>
        </w:rPr>
        <w:t>E</w:t>
      </w:r>
      <w:r w:rsidRPr="00FE7622">
        <w:rPr>
          <w:color w:val="auto"/>
        </w:rPr>
        <w:t xml:space="preserve">xtended </w:t>
      </w:r>
      <w:r w:rsidR="00626641" w:rsidRPr="00FE7622">
        <w:rPr>
          <w:color w:val="auto"/>
        </w:rPr>
        <w:t xml:space="preserve">Activities of Daily Living </w:t>
      </w:r>
      <w:r w:rsidRPr="00FE7622">
        <w:rPr>
          <w:color w:val="auto"/>
        </w:rPr>
        <w:t>score</w:t>
      </w:r>
      <w:r w:rsidR="000204CB" w:rsidRPr="00FE7622">
        <w:rPr>
          <w:color w:val="auto"/>
        </w:rPr>
        <w:t>;</w:t>
      </w:r>
      <w:r w:rsidRPr="00FE7622">
        <w:rPr>
          <w:color w:val="auto"/>
        </w:rPr>
        <w:t xml:space="preserve"> hip bone mineral density</w:t>
      </w:r>
      <w:r w:rsidR="006C4FC2" w:rsidRPr="00FE7622">
        <w:rPr>
          <w:color w:val="auto"/>
        </w:rPr>
        <w:t xml:space="preserve">, </w:t>
      </w:r>
      <w:r w:rsidRPr="00FE7622">
        <w:rPr>
          <w:color w:val="auto"/>
        </w:rPr>
        <w:t xml:space="preserve">measured by </w:t>
      </w:r>
      <w:r w:rsidR="00626641" w:rsidRPr="00FE7622">
        <w:rPr>
          <w:color w:val="auto"/>
        </w:rPr>
        <w:t xml:space="preserve">dual X-ray absorptiometry </w:t>
      </w:r>
      <w:r w:rsidRPr="00FE7622">
        <w:rPr>
          <w:color w:val="auto"/>
        </w:rPr>
        <w:t>scanning</w:t>
      </w:r>
      <w:r w:rsidR="000204CB" w:rsidRPr="00FE7622">
        <w:rPr>
          <w:color w:val="auto"/>
        </w:rPr>
        <w:t>;</w:t>
      </w:r>
      <w:r w:rsidRPr="00FE7622">
        <w:rPr>
          <w:color w:val="auto"/>
        </w:rPr>
        <w:t xml:space="preserve"> and insulin resistance</w:t>
      </w:r>
      <w:r w:rsidR="008E5915" w:rsidRPr="00FE7622">
        <w:rPr>
          <w:color w:val="auto"/>
        </w:rPr>
        <w:t>,</w:t>
      </w:r>
      <w:r w:rsidRPr="00FE7622">
        <w:rPr>
          <w:color w:val="auto"/>
        </w:rPr>
        <w:t xml:space="preserve"> measured using </w:t>
      </w:r>
      <w:r w:rsidRPr="00842651">
        <w:rPr>
          <w:color w:val="auto"/>
        </w:rPr>
        <w:t>HOMA-IR</w:t>
      </w:r>
      <w:r w:rsidR="00626641" w:rsidRPr="00FE7622">
        <w:rPr>
          <w:color w:val="auto"/>
        </w:rPr>
        <w:t xml:space="preserve"> (HOmeostatic Model Assessment – Insulin Resistance)</w:t>
      </w:r>
      <w:r w:rsidRPr="00FE7622">
        <w:rPr>
          <w:color w:val="auto"/>
        </w:rPr>
        <w:t xml:space="preserve">. </w:t>
      </w:r>
      <w:r w:rsidR="00E038BF" w:rsidRPr="00E038BF">
        <w:rPr>
          <w:color w:val="FF00FF"/>
          <w:sz w:val="24"/>
        </w:rPr>
        <w:t>[2]</w:t>
      </w:r>
      <w:commentRangeStart w:id="11"/>
      <w:r w:rsidRPr="00FE7622">
        <w:rPr>
          <w:color w:val="auto"/>
        </w:rPr>
        <w:t>All adverse events were recorded</w:t>
      </w:r>
      <w:r w:rsidR="000204CB" w:rsidRPr="00FE7622">
        <w:rPr>
          <w:color w:val="auto"/>
        </w:rPr>
        <w:t>,</w:t>
      </w:r>
      <w:r w:rsidRPr="00FE7622">
        <w:rPr>
          <w:color w:val="auto"/>
        </w:rPr>
        <w:t xml:space="preserve"> together with</w:t>
      </w:r>
      <w:r w:rsidR="00626641" w:rsidRPr="00FE7622">
        <w:rPr>
          <w:color w:val="auto"/>
        </w:rPr>
        <w:t xml:space="preserve"> the n</w:t>
      </w:r>
      <w:r w:rsidR="004D1B7D" w:rsidRPr="00FE7622">
        <w:rPr>
          <w:color w:val="auto"/>
        </w:rPr>
        <w:t>umber of</w:t>
      </w:r>
      <w:r w:rsidRPr="00FE7622">
        <w:rPr>
          <w:color w:val="auto"/>
        </w:rPr>
        <w:t xml:space="preserve"> falls</w:t>
      </w:r>
      <w:commentRangeEnd w:id="11"/>
      <w:r w:rsidR="004D1B7D" w:rsidRPr="00FE7622">
        <w:rPr>
          <w:rStyle w:val="CommentReference"/>
          <w:rFonts w:ascii="Times New Roman" w:hAnsi="Times New Roman" w:cs="Times New Roman"/>
          <w:color w:val="auto"/>
          <w:lang w:val="en-US"/>
        </w:rPr>
        <w:commentReference w:id="11"/>
      </w:r>
      <w:r w:rsidRPr="00FE7622">
        <w:rPr>
          <w:color w:val="auto"/>
        </w:rPr>
        <w:t>. Protein</w:t>
      </w:r>
      <w:r w:rsidR="007B4D2A" w:rsidRPr="00FE7622">
        <w:rPr>
          <w:color w:val="auto"/>
        </w:rPr>
        <w:t>-</w:t>
      </w:r>
      <w:r w:rsidRPr="00FE7622">
        <w:rPr>
          <w:color w:val="auto"/>
        </w:rPr>
        <w:t>, DNA</w:t>
      </w:r>
      <w:r w:rsidR="00A26A2D">
        <w:rPr>
          <w:color w:val="auto"/>
        </w:rPr>
        <w:t xml:space="preserve"> (deoxy</w:t>
      </w:r>
      <w:r w:rsidR="00A26A2D" w:rsidRPr="00FE7622">
        <w:rPr>
          <w:color w:val="auto"/>
        </w:rPr>
        <w:t>ribonucleic acid</w:t>
      </w:r>
      <w:r w:rsidR="00A26A2D">
        <w:rPr>
          <w:color w:val="auto"/>
        </w:rPr>
        <w:t>)</w:t>
      </w:r>
      <w:r w:rsidR="007B4D2A" w:rsidRPr="00FE7622">
        <w:rPr>
          <w:color w:val="auto"/>
        </w:rPr>
        <w:t>-</w:t>
      </w:r>
      <w:r w:rsidRPr="00FE7622">
        <w:rPr>
          <w:color w:val="auto"/>
        </w:rPr>
        <w:t xml:space="preserve"> and </w:t>
      </w:r>
      <w:r w:rsidRPr="00842651">
        <w:rPr>
          <w:color w:val="auto"/>
        </w:rPr>
        <w:t>RNA</w:t>
      </w:r>
      <w:r w:rsidR="00A26A2D" w:rsidRPr="00842651">
        <w:rPr>
          <w:color w:val="auto"/>
        </w:rPr>
        <w:t xml:space="preserve"> (</w:t>
      </w:r>
      <w:r w:rsidR="00A26A2D" w:rsidRPr="00FE7622">
        <w:rPr>
          <w:color w:val="auto"/>
        </w:rPr>
        <w:t>ribonucleic acid</w:t>
      </w:r>
      <w:r w:rsidR="00A26A2D">
        <w:rPr>
          <w:color w:val="auto"/>
        </w:rPr>
        <w:t>)</w:t>
      </w:r>
      <w:r w:rsidRPr="00FE7622">
        <w:rPr>
          <w:color w:val="auto"/>
        </w:rPr>
        <w:t>-based biomarkers were collected at baseline</w:t>
      </w:r>
      <w:r w:rsidR="008E5915" w:rsidRPr="00FE7622">
        <w:rPr>
          <w:color w:val="auto"/>
        </w:rPr>
        <w:t xml:space="preserve"> and at</w:t>
      </w:r>
      <w:r w:rsidRPr="00FE7622">
        <w:rPr>
          <w:color w:val="auto"/>
        </w:rPr>
        <w:t xml:space="preserve"> 3 and 12 months.</w:t>
      </w:r>
    </w:p>
    <w:p w14:paraId="798E844D" w14:textId="0B1085BA" w:rsidR="00F026E8" w:rsidRPr="00FE7622" w:rsidRDefault="00F026E8" w:rsidP="00E82432">
      <w:pPr>
        <w:pStyle w:val="602TextfoTextstylesTextstyles"/>
        <w:rPr>
          <w:color w:val="auto"/>
        </w:rPr>
      </w:pPr>
      <w:r w:rsidRPr="00FE7622">
        <w:rPr>
          <w:color w:val="auto"/>
        </w:rPr>
        <w:t>Analyses were prespecified in a Statistical Analysis Plan and conducted according to intention-to-treat principles. The primary outcome (</w:t>
      </w:r>
      <w:r w:rsidR="008E5915" w:rsidRPr="00FE7622">
        <w:rPr>
          <w:color w:val="auto"/>
        </w:rPr>
        <w:t xml:space="preserve">the </w:t>
      </w:r>
      <w:r w:rsidRPr="00FE7622">
        <w:rPr>
          <w:color w:val="auto"/>
        </w:rPr>
        <w:t>between</w:t>
      </w:r>
      <w:r w:rsidR="008E5915" w:rsidRPr="00FE7622">
        <w:rPr>
          <w:color w:val="auto"/>
        </w:rPr>
        <w:t>-</w:t>
      </w:r>
      <w:r w:rsidRPr="00FE7622">
        <w:rPr>
          <w:color w:val="auto"/>
        </w:rPr>
        <w:t xml:space="preserve">group difference in </w:t>
      </w:r>
      <w:r w:rsidRPr="00842651">
        <w:rPr>
          <w:color w:val="auto"/>
        </w:rPr>
        <w:t>SPPB</w:t>
      </w:r>
      <w:r w:rsidRPr="00FE7622">
        <w:rPr>
          <w:color w:val="auto"/>
        </w:rPr>
        <w:t xml:space="preserve"> across the 12 months of follow</w:t>
      </w:r>
      <w:r w:rsidR="008E5915" w:rsidRPr="00FE7622">
        <w:rPr>
          <w:color w:val="auto"/>
        </w:rPr>
        <w:t>-</w:t>
      </w:r>
      <w:r w:rsidRPr="00FE7622">
        <w:rPr>
          <w:color w:val="auto"/>
        </w:rPr>
        <w:t>up) was analysed using repeated</w:t>
      </w:r>
      <w:r w:rsidR="00887C5A" w:rsidRPr="00FE7622">
        <w:rPr>
          <w:color w:val="auto"/>
        </w:rPr>
        <w:t xml:space="preserve"> </w:t>
      </w:r>
      <w:r w:rsidRPr="00FE7622">
        <w:rPr>
          <w:color w:val="auto"/>
        </w:rPr>
        <w:t>measures mixed models, both unadjusted and adjusted for baseline values of the variable under test, age, sex and minimisation variables. An initial test for treatment interaction showed no evidence of interaction and</w:t>
      </w:r>
      <w:r w:rsidR="006D5A4B" w:rsidRPr="00FE7622">
        <w:rPr>
          <w:color w:val="auto"/>
        </w:rPr>
        <w:t>,</w:t>
      </w:r>
      <w:r w:rsidRPr="00FE7622">
        <w:rPr>
          <w:color w:val="auto"/>
        </w:rPr>
        <w:t xml:space="preserve"> thus</w:t>
      </w:r>
      <w:r w:rsidR="006D5A4B" w:rsidRPr="00FE7622">
        <w:rPr>
          <w:color w:val="auto"/>
        </w:rPr>
        <w:t>,</w:t>
      </w:r>
      <w:r w:rsidRPr="00FE7622">
        <w:rPr>
          <w:color w:val="auto"/>
        </w:rPr>
        <w:t xml:space="preserve"> the </w:t>
      </w:r>
      <w:r w:rsidR="006D5A4B" w:rsidRPr="00FE7622">
        <w:rPr>
          <w:color w:val="auto"/>
        </w:rPr>
        <w:t xml:space="preserve">comparisons of </w:t>
      </w:r>
      <w:r w:rsidRPr="00FE7622">
        <w:rPr>
          <w:color w:val="auto"/>
        </w:rPr>
        <w:t xml:space="preserve">perindopril </w:t>
      </w:r>
      <w:r w:rsidR="006D5A4B" w:rsidRPr="00FE7622">
        <w:rPr>
          <w:color w:val="auto"/>
        </w:rPr>
        <w:t>with</w:t>
      </w:r>
      <w:r w:rsidRPr="00FE7622">
        <w:rPr>
          <w:color w:val="auto"/>
        </w:rPr>
        <w:t xml:space="preserve"> placebo and leucine </w:t>
      </w:r>
      <w:r w:rsidR="006D5A4B" w:rsidRPr="00FE7622">
        <w:rPr>
          <w:color w:val="auto"/>
        </w:rPr>
        <w:t>with</w:t>
      </w:r>
      <w:r w:rsidRPr="00FE7622">
        <w:rPr>
          <w:color w:val="auto"/>
        </w:rPr>
        <w:t xml:space="preserve"> placebo were conducted separately. Prespecified subgroup analyses for the primary outcome were conducted for the following categories: age </w:t>
      </w:r>
      <w:r w:rsidR="006D5A4B" w:rsidRPr="00FE7622">
        <w:rPr>
          <w:color w:val="auto"/>
        </w:rPr>
        <w:t>≤ </w:t>
      </w:r>
      <w:r w:rsidRPr="00FE7622">
        <w:rPr>
          <w:color w:val="auto"/>
        </w:rPr>
        <w:t xml:space="preserve">80 years </w:t>
      </w:r>
      <w:r w:rsidR="006D5A4B" w:rsidRPr="00FE7622">
        <w:rPr>
          <w:color w:val="auto"/>
        </w:rPr>
        <w:t>versus</w:t>
      </w:r>
      <w:r w:rsidRPr="00FE7622">
        <w:rPr>
          <w:color w:val="auto"/>
        </w:rPr>
        <w:t xml:space="preserve"> &gt; 80 years, male </w:t>
      </w:r>
      <w:r w:rsidR="006D5A4B" w:rsidRPr="00FE7622">
        <w:rPr>
          <w:color w:val="auto"/>
        </w:rPr>
        <w:t>versus</w:t>
      </w:r>
      <w:r w:rsidRPr="00FE7622">
        <w:rPr>
          <w:color w:val="auto"/>
        </w:rPr>
        <w:t xml:space="preserve"> female, and above </w:t>
      </w:r>
      <w:r w:rsidR="006D5A4B" w:rsidRPr="00FE7622">
        <w:rPr>
          <w:color w:val="auto"/>
        </w:rPr>
        <w:t>versus</w:t>
      </w:r>
      <w:r w:rsidRPr="00FE7622">
        <w:rPr>
          <w:color w:val="auto"/>
        </w:rPr>
        <w:t xml:space="preserve"> below </w:t>
      </w:r>
      <w:r w:rsidR="006D5A4B" w:rsidRPr="00FE7622">
        <w:rPr>
          <w:color w:val="auto"/>
        </w:rPr>
        <w:t xml:space="preserve">the </w:t>
      </w:r>
      <w:r w:rsidRPr="00FE7622">
        <w:rPr>
          <w:color w:val="auto"/>
        </w:rPr>
        <w:t xml:space="preserve">median total protein intake. Secondary outcomes were also analysed using repeated measures mixed models. Correlations between baseline biomarkers and baseline measures of physical performance and muscle mass, </w:t>
      </w:r>
      <w:r w:rsidR="00887C5A" w:rsidRPr="00FE7622">
        <w:rPr>
          <w:color w:val="auto"/>
        </w:rPr>
        <w:t xml:space="preserve">between </w:t>
      </w:r>
      <w:r w:rsidRPr="00FE7622">
        <w:rPr>
          <w:color w:val="auto"/>
        </w:rPr>
        <w:t>baseline biomarkers and change in physical performance and muscle mass, and between short-term change in biomarkers and changes in physical performance and muscle mass were calculated.</w:t>
      </w:r>
    </w:p>
    <w:p w14:paraId="65D70FE7" w14:textId="56A141CF" w:rsidR="00E038BF" w:rsidRPr="00FE7622" w:rsidRDefault="00E038BF" w:rsidP="00E82432">
      <w:pPr>
        <w:pStyle w:val="52AheadHeadingsHeadingstyles"/>
      </w:pPr>
      <w:bookmarkStart w:id="12" w:name="_Toc79684469"/>
      <w:r w:rsidRPr="00FE7622">
        <w:t>Results</w:t>
      </w:r>
      <w:bookmarkEnd w:id="12"/>
    </w:p>
    <w:p w14:paraId="3CC1EB70" w14:textId="486B0164" w:rsidR="00F026E8" w:rsidRPr="00FE7622" w:rsidRDefault="00A46943" w:rsidP="00E82432">
      <w:pPr>
        <w:pStyle w:val="602TextfoTextstylesTextstyles"/>
        <w:rPr>
          <w:color w:val="auto"/>
        </w:rPr>
      </w:pPr>
      <w:r w:rsidRPr="00FE7622">
        <w:rPr>
          <w:color w:val="auto"/>
        </w:rPr>
        <w:t xml:space="preserve">A total of </w:t>
      </w:r>
      <w:r w:rsidR="00F026E8" w:rsidRPr="00FE7622">
        <w:rPr>
          <w:color w:val="auto"/>
        </w:rPr>
        <w:t xml:space="preserve">320 potential </w:t>
      </w:r>
      <w:r w:rsidR="00E038BF" w:rsidRPr="00E038BF">
        <w:rPr>
          <w:color w:val="FF00FF"/>
          <w:sz w:val="24"/>
        </w:rPr>
        <w:t>[3]</w:t>
      </w:r>
      <w:commentRangeStart w:id="13"/>
      <w:r w:rsidR="00F026E8" w:rsidRPr="00FE7622">
        <w:rPr>
          <w:color w:val="auto"/>
        </w:rPr>
        <w:t xml:space="preserve">participants from 14 UK </w:t>
      </w:r>
      <w:r w:rsidR="00860CF2" w:rsidRPr="00FE7622">
        <w:rPr>
          <w:color w:val="auto"/>
        </w:rPr>
        <w:t>centres</w:t>
      </w:r>
      <w:r w:rsidR="00F026E8" w:rsidRPr="00FE7622">
        <w:rPr>
          <w:color w:val="auto"/>
        </w:rPr>
        <w:t xml:space="preserve"> </w:t>
      </w:r>
      <w:commentRangeEnd w:id="13"/>
      <w:r w:rsidR="00262E8F" w:rsidRPr="00FE7622">
        <w:rPr>
          <w:rStyle w:val="CommentReference"/>
          <w:rFonts w:ascii="Times New Roman" w:hAnsi="Times New Roman" w:cs="Times New Roman"/>
          <w:color w:val="auto"/>
          <w:lang w:val="en-US"/>
        </w:rPr>
        <w:commentReference w:id="13"/>
      </w:r>
      <w:r w:rsidR="00F026E8" w:rsidRPr="00FE7622">
        <w:rPr>
          <w:color w:val="auto"/>
        </w:rPr>
        <w:t>were screened between June 2016 and December 2018</w:t>
      </w:r>
      <w:r w:rsidR="00F37EAE" w:rsidRPr="00FE7622">
        <w:rPr>
          <w:color w:val="auto"/>
        </w:rPr>
        <w:t xml:space="preserve">, and </w:t>
      </w:r>
      <w:r w:rsidR="00F026E8" w:rsidRPr="00FE7622">
        <w:rPr>
          <w:color w:val="auto"/>
        </w:rPr>
        <w:t>145 participants were randomised. 73 were allocated to perindopril and 72 to the perindopril placebo; 72 were allocated to leucine and 73 to the leucine placebo. The mean age of participants was 79 years and 78</w:t>
      </w:r>
      <w:r w:rsidR="00BF1F57" w:rsidRPr="00FE7622">
        <w:rPr>
          <w:color w:val="auto"/>
        </w:rPr>
        <w:t xml:space="preserve"> out of the </w:t>
      </w:r>
      <w:r w:rsidR="00F026E8" w:rsidRPr="00FE7622">
        <w:rPr>
          <w:color w:val="auto"/>
        </w:rPr>
        <w:t xml:space="preserve">145 (54%) were women. The mean </w:t>
      </w:r>
      <w:r w:rsidR="00BF1F57" w:rsidRPr="00842651">
        <w:rPr>
          <w:color w:val="auto"/>
        </w:rPr>
        <w:t>SPPB</w:t>
      </w:r>
      <w:r w:rsidR="00F026E8" w:rsidRPr="00FE7622">
        <w:rPr>
          <w:color w:val="auto"/>
        </w:rPr>
        <w:t xml:space="preserve"> was 7.0 points </w:t>
      </w:r>
      <w:r w:rsidR="00F026E8" w:rsidRPr="00FE7622">
        <w:rPr>
          <w:color w:val="auto"/>
        </w:rPr>
        <w:lastRenderedPageBreak/>
        <w:t xml:space="preserve">(where best function is 12 points), denoting significantly impaired physical performance. </w:t>
      </w:r>
      <w:r w:rsidR="00BF1F57" w:rsidRPr="00FE7622">
        <w:rPr>
          <w:color w:val="auto"/>
        </w:rPr>
        <w:t xml:space="preserve">A total of </w:t>
      </w:r>
      <w:r w:rsidR="00F026E8" w:rsidRPr="00FE7622">
        <w:rPr>
          <w:color w:val="auto"/>
        </w:rPr>
        <w:t xml:space="preserve">96% of participants fulfilled the current European Working Group criteria for probable sarcopenia, although only 31% fulfilled the criteria for confirmed sarcopenia that includes low muscle mass. </w:t>
      </w:r>
      <w:r w:rsidR="000D0699" w:rsidRPr="00FE7622">
        <w:rPr>
          <w:color w:val="auto"/>
        </w:rPr>
        <w:t>The m</w:t>
      </w:r>
      <w:r w:rsidR="00F026E8" w:rsidRPr="00FE7622">
        <w:rPr>
          <w:color w:val="auto"/>
        </w:rPr>
        <w:t xml:space="preserve">edian adherence </w:t>
      </w:r>
      <w:r w:rsidR="000D0699" w:rsidRPr="00FE7622">
        <w:rPr>
          <w:color w:val="auto"/>
        </w:rPr>
        <w:t xml:space="preserve">rate </w:t>
      </w:r>
      <w:r w:rsidR="00F026E8" w:rsidRPr="00FE7622">
        <w:rPr>
          <w:color w:val="auto"/>
        </w:rPr>
        <w:t>was lower for perindopril than for the perindopril placebo (76% vs</w:t>
      </w:r>
      <w:r w:rsidR="000D0699" w:rsidRPr="00FE7622">
        <w:rPr>
          <w:color w:val="auto"/>
        </w:rPr>
        <w:t>.</w:t>
      </w:r>
      <w:r w:rsidR="00F026E8" w:rsidRPr="00FE7622">
        <w:rPr>
          <w:color w:val="auto"/>
        </w:rPr>
        <w:t xml:space="preserve"> 96%; </w:t>
      </w:r>
      <w:r w:rsidR="00E038BF" w:rsidRPr="00FE7622">
        <w:rPr>
          <w:i/>
          <w:color w:val="auto"/>
        </w:rPr>
        <w:t>p </w:t>
      </w:r>
      <w:r w:rsidR="00F026E8" w:rsidRPr="00FE7622">
        <w:rPr>
          <w:color w:val="auto"/>
        </w:rPr>
        <w:t xml:space="preserve">&lt; 0.001). </w:t>
      </w:r>
      <w:r w:rsidR="000D0699" w:rsidRPr="00FE7622">
        <w:rPr>
          <w:color w:val="auto"/>
        </w:rPr>
        <w:t>The m</w:t>
      </w:r>
      <w:r w:rsidR="00F026E8" w:rsidRPr="00FE7622">
        <w:rPr>
          <w:color w:val="auto"/>
        </w:rPr>
        <w:t xml:space="preserve">edian adherence </w:t>
      </w:r>
      <w:r w:rsidR="000D0699" w:rsidRPr="00FE7622">
        <w:rPr>
          <w:color w:val="auto"/>
        </w:rPr>
        <w:t xml:space="preserve">rate </w:t>
      </w:r>
      <w:r w:rsidR="00F026E8" w:rsidRPr="00FE7622">
        <w:rPr>
          <w:color w:val="auto"/>
        </w:rPr>
        <w:t>was the same in the leucine and the leucine placebo groups (76% vs</w:t>
      </w:r>
      <w:r w:rsidR="000D0699" w:rsidRPr="00FE7622">
        <w:rPr>
          <w:color w:val="auto"/>
        </w:rPr>
        <w:t>.</w:t>
      </w:r>
      <w:r w:rsidR="00F026E8" w:rsidRPr="00FE7622">
        <w:rPr>
          <w:color w:val="auto"/>
        </w:rPr>
        <w:t xml:space="preserve"> 76%; </w:t>
      </w:r>
      <w:r w:rsidR="00E038BF" w:rsidRPr="00FE7622">
        <w:rPr>
          <w:i/>
          <w:color w:val="auto"/>
        </w:rPr>
        <w:t>p </w:t>
      </w:r>
      <w:r w:rsidR="00F026E8" w:rsidRPr="00FE7622">
        <w:rPr>
          <w:color w:val="auto"/>
        </w:rPr>
        <w:t>&lt; 0.001).</w:t>
      </w:r>
    </w:p>
    <w:p w14:paraId="7671EBF2" w14:textId="6D52408E" w:rsidR="00F026E8" w:rsidRPr="00FE7622" w:rsidRDefault="00F026E8" w:rsidP="00E82432">
      <w:pPr>
        <w:pStyle w:val="602TextfoTextstylesTextstyles"/>
        <w:rPr>
          <w:color w:val="auto"/>
        </w:rPr>
      </w:pPr>
      <w:r w:rsidRPr="00FE7622">
        <w:rPr>
          <w:color w:val="auto"/>
        </w:rPr>
        <w:t xml:space="preserve">Perindopril had no significant effect on the primary outcome </w:t>
      </w:r>
      <w:r w:rsidR="008E1AC8" w:rsidRPr="00FE7622">
        <w:rPr>
          <w:color w:val="auto"/>
        </w:rPr>
        <w:t>[</w:t>
      </w:r>
      <w:r w:rsidRPr="00FE7622">
        <w:rPr>
          <w:color w:val="auto"/>
        </w:rPr>
        <w:t>adjusted treatment effect –0.1 points</w:t>
      </w:r>
      <w:r w:rsidR="008E1AC8" w:rsidRPr="00FE7622">
        <w:rPr>
          <w:color w:val="auto"/>
        </w:rPr>
        <w:t>,</w:t>
      </w:r>
      <w:r w:rsidRPr="00FE7622">
        <w:rPr>
          <w:color w:val="auto"/>
        </w:rPr>
        <w:t xml:space="preserve"> 95%</w:t>
      </w:r>
      <w:r w:rsidR="008E1AC8" w:rsidRPr="00FE7622">
        <w:rPr>
          <w:color w:val="auto"/>
        </w:rPr>
        <w:t xml:space="preserve"> confidence interval (</w:t>
      </w:r>
      <w:r w:rsidRPr="00842651">
        <w:rPr>
          <w:color w:val="auto"/>
        </w:rPr>
        <w:t>CI</w:t>
      </w:r>
      <w:r w:rsidR="008E1AC8" w:rsidRPr="00FE7622">
        <w:rPr>
          <w:color w:val="FFC000" w:themeColor="accent4"/>
        </w:rPr>
        <w:t>)</w:t>
      </w:r>
      <w:r w:rsidRPr="00FE7622">
        <w:rPr>
          <w:color w:val="auto"/>
        </w:rPr>
        <w:t xml:space="preserve"> –1.2 to 1.0</w:t>
      </w:r>
      <w:r w:rsidR="008E1AC8" w:rsidRPr="00FE7622">
        <w:rPr>
          <w:color w:val="auto"/>
        </w:rPr>
        <w:t xml:space="preserve"> points</w:t>
      </w:r>
      <w:r w:rsidRPr="00FE7622">
        <w:rPr>
          <w:color w:val="auto"/>
        </w:rPr>
        <w:t xml:space="preserve">]. </w:t>
      </w:r>
      <w:bookmarkStart w:id="14" w:name="_Hlk68694656"/>
      <w:r w:rsidRPr="00FE7622">
        <w:rPr>
          <w:color w:val="auto"/>
        </w:rPr>
        <w:t xml:space="preserve">Treatment effects across prespecified subgroups were similar, and treatment effect did not correlate significantly with adherence. </w:t>
      </w:r>
      <w:bookmarkEnd w:id="14"/>
      <w:r w:rsidRPr="00FE7622">
        <w:rPr>
          <w:color w:val="auto"/>
        </w:rPr>
        <w:t>No significant treatment effect was seen for any secondary outcome</w:t>
      </w:r>
      <w:r w:rsidR="008E1AC8" w:rsidRPr="00FE7622">
        <w:rPr>
          <w:color w:val="auto"/>
        </w:rPr>
        <w:t>,</w:t>
      </w:r>
      <w:r w:rsidRPr="00FE7622">
        <w:rPr>
          <w:color w:val="auto"/>
        </w:rPr>
        <w:t xml:space="preserve"> </w:t>
      </w:r>
      <w:r w:rsidR="00E038BF" w:rsidRPr="00E038BF">
        <w:rPr>
          <w:color w:val="FF00FF"/>
          <w:sz w:val="24"/>
        </w:rPr>
        <w:t>[4]</w:t>
      </w:r>
      <w:commentRangeStart w:id="15"/>
      <w:r w:rsidRPr="00FE7622">
        <w:rPr>
          <w:color w:val="auto"/>
        </w:rPr>
        <w:t xml:space="preserve">except worse </w:t>
      </w:r>
      <w:r w:rsidRPr="00842651">
        <w:rPr>
          <w:color w:val="auto"/>
        </w:rPr>
        <w:t>EQ</w:t>
      </w:r>
      <w:r w:rsidR="008E1AC8" w:rsidRPr="00842651">
        <w:rPr>
          <w:color w:val="auto"/>
        </w:rPr>
        <w:t>-</w:t>
      </w:r>
      <w:r w:rsidRPr="00842651">
        <w:rPr>
          <w:color w:val="auto"/>
        </w:rPr>
        <w:t>5D</w:t>
      </w:r>
      <w:r w:rsidR="007B4D2A" w:rsidRPr="00842651">
        <w:rPr>
          <w:color w:val="auto"/>
        </w:rPr>
        <w:t>-3L</w:t>
      </w:r>
      <w:r w:rsidRPr="00FE7622">
        <w:rPr>
          <w:color w:val="auto"/>
        </w:rPr>
        <w:t xml:space="preserve"> thermometer </w:t>
      </w:r>
      <w:commentRangeEnd w:id="15"/>
      <w:r w:rsidR="007B4D2A" w:rsidRPr="00FE7622">
        <w:rPr>
          <w:rStyle w:val="CommentReference"/>
          <w:rFonts w:ascii="Times New Roman" w:hAnsi="Times New Roman" w:cs="Times New Roman"/>
          <w:color w:val="auto"/>
          <w:lang w:val="en-US"/>
        </w:rPr>
        <w:commentReference w:id="15"/>
      </w:r>
      <w:r w:rsidRPr="00FE7622">
        <w:rPr>
          <w:color w:val="auto"/>
        </w:rPr>
        <w:t xml:space="preserve">scores for perindopril group </w:t>
      </w:r>
      <w:r w:rsidR="008E1AC8" w:rsidRPr="00FE7622">
        <w:rPr>
          <w:color w:val="auto"/>
        </w:rPr>
        <w:t>than for</w:t>
      </w:r>
      <w:r w:rsidR="000C5964" w:rsidRPr="00FE7622">
        <w:rPr>
          <w:color w:val="auto"/>
        </w:rPr>
        <w:t xml:space="preserve"> the perindopril</w:t>
      </w:r>
      <w:r w:rsidR="008E1AC8" w:rsidRPr="00FE7622">
        <w:rPr>
          <w:color w:val="auto"/>
        </w:rPr>
        <w:t xml:space="preserve"> </w:t>
      </w:r>
      <w:r w:rsidRPr="00FE7622">
        <w:rPr>
          <w:color w:val="auto"/>
        </w:rPr>
        <w:t>placebo (treatment effect –12 points</w:t>
      </w:r>
      <w:r w:rsidR="008E1AC8" w:rsidRPr="00FE7622">
        <w:rPr>
          <w:color w:val="auto"/>
        </w:rPr>
        <w:t>,</w:t>
      </w:r>
      <w:r w:rsidRPr="00FE7622">
        <w:rPr>
          <w:color w:val="auto"/>
        </w:rPr>
        <w:t xml:space="preserve"> 95%</w:t>
      </w:r>
      <w:r w:rsidR="008E1AC8" w:rsidRPr="00FE7622">
        <w:rPr>
          <w:color w:val="auto"/>
        </w:rPr>
        <w:t xml:space="preserve"> </w:t>
      </w:r>
      <w:r w:rsidRPr="00842651">
        <w:rPr>
          <w:color w:val="auto"/>
        </w:rPr>
        <w:t>CI</w:t>
      </w:r>
      <w:r w:rsidRPr="00FE7622">
        <w:rPr>
          <w:color w:val="auto"/>
        </w:rPr>
        <w:t xml:space="preserve"> –21 to –3</w:t>
      </w:r>
      <w:r w:rsidR="008E1AC8" w:rsidRPr="00FE7622">
        <w:rPr>
          <w:color w:val="auto"/>
        </w:rPr>
        <w:t xml:space="preserve"> points</w:t>
      </w:r>
      <w:r w:rsidRPr="00FE7622">
        <w:rPr>
          <w:color w:val="auto"/>
        </w:rPr>
        <w:t>). More adverse events were seen in the perindopril group (</w:t>
      </w:r>
      <w:r w:rsidR="00E038BF" w:rsidRPr="00FE7622">
        <w:rPr>
          <w:i/>
          <w:iCs/>
          <w:color w:val="auto"/>
        </w:rPr>
        <w:t>n</w:t>
      </w:r>
      <w:r w:rsidR="008E1AC8" w:rsidRPr="00FE7622">
        <w:rPr>
          <w:color w:val="auto"/>
        </w:rPr>
        <w:t> = </w:t>
      </w:r>
      <w:r w:rsidRPr="00FE7622">
        <w:rPr>
          <w:color w:val="auto"/>
        </w:rPr>
        <w:t>218 vs</w:t>
      </w:r>
      <w:r w:rsidR="008E1AC8" w:rsidRPr="00FE7622">
        <w:rPr>
          <w:color w:val="auto"/>
        </w:rPr>
        <w:t>.</w:t>
      </w:r>
      <w:r w:rsidRPr="00FE7622">
        <w:rPr>
          <w:color w:val="auto"/>
        </w:rPr>
        <w:t xml:space="preserve"> </w:t>
      </w:r>
      <w:r w:rsidR="00E038BF" w:rsidRPr="00FE7622">
        <w:rPr>
          <w:i/>
          <w:iCs/>
          <w:color w:val="auto"/>
        </w:rPr>
        <w:t>n</w:t>
      </w:r>
      <w:r w:rsidR="008E1AC8" w:rsidRPr="00FE7622">
        <w:rPr>
          <w:color w:val="auto"/>
        </w:rPr>
        <w:t> = </w:t>
      </w:r>
      <w:r w:rsidRPr="00FE7622">
        <w:rPr>
          <w:color w:val="auto"/>
        </w:rPr>
        <w:t>165)</w:t>
      </w:r>
      <w:r w:rsidR="008E1AC8" w:rsidRPr="00FE7622">
        <w:rPr>
          <w:color w:val="auto"/>
        </w:rPr>
        <w:t>,</w:t>
      </w:r>
      <w:r w:rsidRPr="00FE7622">
        <w:rPr>
          <w:color w:val="auto"/>
        </w:rPr>
        <w:t xml:space="preserve"> but falls rates were similar. Combining these results with </w:t>
      </w:r>
      <w:r w:rsidR="008E1AC8" w:rsidRPr="00FE7622">
        <w:rPr>
          <w:color w:val="auto"/>
        </w:rPr>
        <w:t xml:space="preserve">those of </w:t>
      </w:r>
      <w:r w:rsidRPr="00FE7622">
        <w:rPr>
          <w:color w:val="auto"/>
        </w:rPr>
        <w:t xml:space="preserve">previous trials of </w:t>
      </w:r>
      <w:r w:rsidR="0091662A" w:rsidRPr="00FE7622">
        <w:rPr>
          <w:color w:val="auto"/>
        </w:rPr>
        <w:t xml:space="preserve">angiotensin-converting enzyme inhibitor </w:t>
      </w:r>
      <w:r w:rsidRPr="00FE7622">
        <w:rPr>
          <w:color w:val="auto"/>
        </w:rPr>
        <w:t xml:space="preserve">inhibitors </w:t>
      </w:r>
      <w:r w:rsidR="00721A55" w:rsidRPr="00FE7622">
        <w:rPr>
          <w:color w:val="auto"/>
        </w:rPr>
        <w:t>(</w:t>
      </w:r>
      <w:r w:rsidR="00721A55" w:rsidRPr="00842651">
        <w:rPr>
          <w:color w:val="auto"/>
        </w:rPr>
        <w:t>ACEi</w:t>
      </w:r>
      <w:r w:rsidR="00721A55" w:rsidRPr="00FE7622">
        <w:rPr>
          <w:color w:val="auto"/>
        </w:rPr>
        <w:t xml:space="preserve">) </w:t>
      </w:r>
      <w:r w:rsidRPr="00FE7622">
        <w:rPr>
          <w:color w:val="auto"/>
        </w:rPr>
        <w:t xml:space="preserve">and angiotensin receptor blockers in a meta-analysis excluded a minimally clinically important benefit on </w:t>
      </w:r>
      <w:r w:rsidRPr="00842651">
        <w:rPr>
          <w:color w:val="auto"/>
        </w:rPr>
        <w:t>SPPB</w:t>
      </w:r>
      <w:r w:rsidRPr="00FE7622">
        <w:rPr>
          <w:color w:val="auto"/>
        </w:rPr>
        <w:t>, handgrip strength or leg strength.</w:t>
      </w:r>
    </w:p>
    <w:p w14:paraId="0B758EF7" w14:textId="57CA127F" w:rsidR="00F026E8" w:rsidRPr="00FE7622" w:rsidRDefault="00F026E8" w:rsidP="00E82432">
      <w:pPr>
        <w:pStyle w:val="602TextfoTextstylesTextstyles"/>
        <w:rPr>
          <w:color w:val="auto"/>
        </w:rPr>
      </w:pPr>
      <w:r w:rsidRPr="00FE7622">
        <w:rPr>
          <w:color w:val="auto"/>
        </w:rPr>
        <w:t>Leucine had no significant effect on the primary outcome (adjusted treatment effect 0.1 points</w:t>
      </w:r>
      <w:r w:rsidR="00C125E0" w:rsidRPr="00FE7622">
        <w:rPr>
          <w:color w:val="auto"/>
        </w:rPr>
        <w:t>,</w:t>
      </w:r>
      <w:r w:rsidRPr="00FE7622">
        <w:rPr>
          <w:color w:val="auto"/>
        </w:rPr>
        <w:t xml:space="preserve"> 95%</w:t>
      </w:r>
      <w:r w:rsidR="00C125E0" w:rsidRPr="00FE7622">
        <w:rPr>
          <w:color w:val="auto"/>
        </w:rPr>
        <w:t xml:space="preserve"> </w:t>
      </w:r>
      <w:r w:rsidRPr="00842651">
        <w:rPr>
          <w:color w:val="auto"/>
        </w:rPr>
        <w:t>CI</w:t>
      </w:r>
      <w:r w:rsidRPr="00FE7622">
        <w:rPr>
          <w:color w:val="auto"/>
        </w:rPr>
        <w:t xml:space="preserve"> –1.0 to 1.1</w:t>
      </w:r>
      <w:r w:rsidR="00C125E0" w:rsidRPr="00FE7622">
        <w:rPr>
          <w:color w:val="auto"/>
        </w:rPr>
        <w:t xml:space="preserve"> points</w:t>
      </w:r>
      <w:r w:rsidRPr="00FE7622">
        <w:rPr>
          <w:color w:val="auto"/>
        </w:rPr>
        <w:t xml:space="preserve">). Treatment effects did not differ by age or sex, and treatment effect did not correlate significantly with adherence. A greater increase in the </w:t>
      </w:r>
      <w:r w:rsidRPr="00842651">
        <w:rPr>
          <w:color w:val="auto"/>
        </w:rPr>
        <w:t>SPPB</w:t>
      </w:r>
      <w:r w:rsidRPr="00FE7622">
        <w:rPr>
          <w:color w:val="auto"/>
        </w:rPr>
        <w:t xml:space="preserve"> was noted in participants with protein intake below the median </w:t>
      </w:r>
      <w:r w:rsidR="00C125E0" w:rsidRPr="00FE7622">
        <w:rPr>
          <w:color w:val="auto"/>
        </w:rPr>
        <w:t>than in</w:t>
      </w:r>
      <w:r w:rsidRPr="00FE7622">
        <w:rPr>
          <w:color w:val="auto"/>
        </w:rPr>
        <w:t xml:space="preserve"> those with protein intake above the median (2.6</w:t>
      </w:r>
      <w:r w:rsidR="00EF05F7" w:rsidRPr="00FE7622">
        <w:rPr>
          <w:color w:val="auto"/>
        </w:rPr>
        <w:t>,</w:t>
      </w:r>
      <w:r w:rsidRPr="00FE7622">
        <w:rPr>
          <w:color w:val="auto"/>
        </w:rPr>
        <w:t xml:space="preserve"> 95%</w:t>
      </w:r>
      <w:r w:rsidR="00EF05F7" w:rsidRPr="00FE7622">
        <w:rPr>
          <w:color w:val="auto"/>
        </w:rPr>
        <w:t xml:space="preserve"> </w:t>
      </w:r>
      <w:r w:rsidRPr="00842651">
        <w:rPr>
          <w:color w:val="auto"/>
        </w:rPr>
        <w:t>CI</w:t>
      </w:r>
      <w:r w:rsidRPr="00FE7622">
        <w:rPr>
          <w:color w:val="auto"/>
        </w:rPr>
        <w:t xml:space="preserve"> 0.6 to 4.5</w:t>
      </w:r>
      <w:r w:rsidR="00EF05F7" w:rsidRPr="00FE7622">
        <w:rPr>
          <w:color w:val="auto"/>
        </w:rPr>
        <w:t>,</w:t>
      </w:r>
      <w:r w:rsidRPr="00FE7622">
        <w:rPr>
          <w:color w:val="auto"/>
        </w:rPr>
        <w:t xml:space="preserve"> vs</w:t>
      </w:r>
      <w:r w:rsidR="00EF05F7" w:rsidRPr="00FE7622">
        <w:rPr>
          <w:color w:val="auto"/>
        </w:rPr>
        <w:t>.</w:t>
      </w:r>
      <w:r w:rsidRPr="00FE7622">
        <w:rPr>
          <w:color w:val="auto"/>
        </w:rPr>
        <w:t xml:space="preserve"> –0.1</w:t>
      </w:r>
      <w:r w:rsidR="00EF05F7" w:rsidRPr="00FE7622">
        <w:rPr>
          <w:color w:val="auto"/>
        </w:rPr>
        <w:t>,</w:t>
      </w:r>
      <w:r w:rsidRPr="00FE7622">
        <w:rPr>
          <w:color w:val="auto"/>
        </w:rPr>
        <w:t xml:space="preserve"> 95%</w:t>
      </w:r>
      <w:r w:rsidR="0091662A" w:rsidRPr="00FE7622">
        <w:rPr>
          <w:color w:val="auto"/>
        </w:rPr>
        <w:t xml:space="preserve"> </w:t>
      </w:r>
      <w:r w:rsidRPr="00842651">
        <w:rPr>
          <w:color w:val="auto"/>
        </w:rPr>
        <w:t>CI</w:t>
      </w:r>
      <w:r w:rsidRPr="00FE7622">
        <w:rPr>
          <w:color w:val="auto"/>
        </w:rPr>
        <w:t xml:space="preserve"> –0.8 to 0.6)</w:t>
      </w:r>
      <w:r w:rsidR="00C125E0" w:rsidRPr="00FE7622">
        <w:rPr>
          <w:color w:val="auto"/>
        </w:rPr>
        <w:t>,</w:t>
      </w:r>
      <w:r w:rsidRPr="00FE7622">
        <w:rPr>
          <w:color w:val="auto"/>
        </w:rPr>
        <w:t xml:space="preserve"> although this was not significant on formal interaction testing (</w:t>
      </w:r>
      <w:r w:rsidR="00E038BF" w:rsidRPr="00FE7622">
        <w:rPr>
          <w:i/>
          <w:color w:val="auto"/>
        </w:rPr>
        <w:t>p</w:t>
      </w:r>
      <w:r w:rsidR="00E82432" w:rsidRPr="00FE7622">
        <w:rPr>
          <w:color w:val="auto"/>
        </w:rPr>
        <w:t> = </w:t>
      </w:r>
      <w:r w:rsidRPr="00FE7622">
        <w:rPr>
          <w:color w:val="auto"/>
        </w:rPr>
        <w:t xml:space="preserve">0.70). A greater increase in the </w:t>
      </w:r>
      <w:r w:rsidRPr="00842651">
        <w:rPr>
          <w:color w:val="auto"/>
        </w:rPr>
        <w:t>SPPB</w:t>
      </w:r>
      <w:r w:rsidRPr="00FE7622">
        <w:rPr>
          <w:color w:val="auto"/>
        </w:rPr>
        <w:t xml:space="preserve"> was also noted in those with confirmed sarcopenia (low muscle mass and strength) </w:t>
      </w:r>
      <w:r w:rsidR="00706C01" w:rsidRPr="00FE7622">
        <w:rPr>
          <w:color w:val="auto"/>
        </w:rPr>
        <w:t>than in</w:t>
      </w:r>
      <w:r w:rsidRPr="00FE7622">
        <w:rPr>
          <w:color w:val="auto"/>
        </w:rPr>
        <w:t xml:space="preserve"> those with low strength alone (1.7</w:t>
      </w:r>
      <w:r w:rsidR="00EF05F7" w:rsidRPr="00FE7622">
        <w:rPr>
          <w:color w:val="auto"/>
        </w:rPr>
        <w:t>,</w:t>
      </w:r>
      <w:r w:rsidRPr="00FE7622">
        <w:rPr>
          <w:color w:val="auto"/>
        </w:rPr>
        <w:t xml:space="preserve"> 95%</w:t>
      </w:r>
      <w:r w:rsidR="00EF05F7" w:rsidRPr="00FE7622">
        <w:rPr>
          <w:color w:val="auto"/>
        </w:rPr>
        <w:t xml:space="preserve"> </w:t>
      </w:r>
      <w:r w:rsidRPr="00842651">
        <w:rPr>
          <w:color w:val="auto"/>
        </w:rPr>
        <w:t>CI</w:t>
      </w:r>
      <w:r w:rsidRPr="00FE7622">
        <w:rPr>
          <w:color w:val="auto"/>
        </w:rPr>
        <w:t xml:space="preserve"> 0.7 to 2.7</w:t>
      </w:r>
      <w:r w:rsidR="00EF05F7" w:rsidRPr="00FE7622">
        <w:rPr>
          <w:color w:val="auto"/>
        </w:rPr>
        <w:t>,</w:t>
      </w:r>
      <w:r w:rsidRPr="00FE7622">
        <w:rPr>
          <w:color w:val="auto"/>
        </w:rPr>
        <w:t xml:space="preserve"> vs</w:t>
      </w:r>
      <w:r w:rsidR="00EF05F7" w:rsidRPr="00FE7622">
        <w:rPr>
          <w:color w:val="auto"/>
        </w:rPr>
        <w:t>.</w:t>
      </w:r>
      <w:r w:rsidRPr="00FE7622">
        <w:rPr>
          <w:color w:val="auto"/>
        </w:rPr>
        <w:t xml:space="preserve"> –0.5</w:t>
      </w:r>
      <w:r w:rsidR="00EF05F7" w:rsidRPr="00FE7622">
        <w:rPr>
          <w:color w:val="auto"/>
        </w:rPr>
        <w:t>,</w:t>
      </w:r>
      <w:r w:rsidRPr="00FE7622">
        <w:rPr>
          <w:color w:val="auto"/>
        </w:rPr>
        <w:t xml:space="preserve"> 95%</w:t>
      </w:r>
      <w:r w:rsidR="00EF05F7" w:rsidRPr="00FE7622">
        <w:rPr>
          <w:color w:val="auto"/>
        </w:rPr>
        <w:t xml:space="preserve"> </w:t>
      </w:r>
      <w:r w:rsidRPr="00842651">
        <w:rPr>
          <w:color w:val="auto"/>
        </w:rPr>
        <w:t>CI</w:t>
      </w:r>
      <w:r w:rsidRPr="00FE7622">
        <w:rPr>
          <w:color w:val="auto"/>
        </w:rPr>
        <w:t xml:space="preserve"> –1.4 to 0.3)</w:t>
      </w:r>
      <w:r w:rsidR="00EF05F7" w:rsidRPr="00FE7622">
        <w:rPr>
          <w:color w:val="auto"/>
        </w:rPr>
        <w:t>,</w:t>
      </w:r>
      <w:r w:rsidRPr="00FE7622">
        <w:rPr>
          <w:color w:val="auto"/>
        </w:rPr>
        <w:t xml:space="preserve"> although again this was not significant on formal interaction testing (</w:t>
      </w:r>
      <w:r w:rsidR="00E038BF" w:rsidRPr="00FE7622">
        <w:rPr>
          <w:i/>
          <w:color w:val="auto"/>
        </w:rPr>
        <w:t>p</w:t>
      </w:r>
      <w:r w:rsidR="00E82432" w:rsidRPr="00FE7622">
        <w:rPr>
          <w:color w:val="auto"/>
        </w:rPr>
        <w:t> = </w:t>
      </w:r>
      <w:r w:rsidRPr="00FE7622">
        <w:rPr>
          <w:color w:val="auto"/>
        </w:rPr>
        <w:t xml:space="preserve">0.06). No significant treatment effect was seen for any secondary outcome. There were similar numbers of adverse events (187 in the leucine </w:t>
      </w:r>
      <w:r w:rsidR="00706C01" w:rsidRPr="00FE7622">
        <w:rPr>
          <w:color w:val="auto"/>
        </w:rPr>
        <w:t>group</w:t>
      </w:r>
      <w:r w:rsidRPr="00FE7622">
        <w:rPr>
          <w:color w:val="auto"/>
        </w:rPr>
        <w:t xml:space="preserve">, 196 in the placebo </w:t>
      </w:r>
      <w:r w:rsidR="00706C01" w:rsidRPr="00FE7622">
        <w:rPr>
          <w:color w:val="auto"/>
        </w:rPr>
        <w:t>group</w:t>
      </w:r>
      <w:r w:rsidRPr="00FE7622">
        <w:rPr>
          <w:color w:val="auto"/>
        </w:rPr>
        <w:t xml:space="preserve">) and similar rates of falls in both groups. Combining these results with </w:t>
      </w:r>
      <w:r w:rsidR="00B37912" w:rsidRPr="00FE7622">
        <w:rPr>
          <w:color w:val="auto"/>
        </w:rPr>
        <w:t xml:space="preserve">those of </w:t>
      </w:r>
      <w:r w:rsidRPr="00FE7622">
        <w:rPr>
          <w:color w:val="auto"/>
        </w:rPr>
        <w:t>previous trials of leucine in a meta-analysis did not show evidence of a clinically important benefit on measures of physical performance or lean body mass.</w:t>
      </w:r>
    </w:p>
    <w:p w14:paraId="37FA4A82" w14:textId="50EA1CE2" w:rsidR="00F026E8" w:rsidRPr="00FE7622" w:rsidRDefault="00F026E8" w:rsidP="00E82432">
      <w:pPr>
        <w:pStyle w:val="602TextfoTextstylesTextstyles"/>
        <w:rPr>
          <w:color w:val="auto"/>
        </w:rPr>
      </w:pPr>
      <w:r w:rsidRPr="00FE7622">
        <w:rPr>
          <w:color w:val="auto"/>
        </w:rPr>
        <w:t xml:space="preserve">Analysis of screening and recruitment metrics showed higher response rates and </w:t>
      </w:r>
      <w:r w:rsidR="00E038BF" w:rsidRPr="00E038BF">
        <w:rPr>
          <w:color w:val="FF00FF"/>
          <w:sz w:val="24"/>
        </w:rPr>
        <w:t>[5]</w:t>
      </w:r>
      <w:commentRangeStart w:id="16"/>
      <w:r w:rsidR="00FE2D10" w:rsidRPr="00FE7622">
        <w:rPr>
          <w:color w:val="auto"/>
        </w:rPr>
        <w:t xml:space="preserve">higher </w:t>
      </w:r>
      <w:r w:rsidRPr="00FE7622">
        <w:rPr>
          <w:color w:val="auto"/>
        </w:rPr>
        <w:t xml:space="preserve">overall volumes </w:t>
      </w:r>
      <w:commentRangeEnd w:id="16"/>
      <w:r w:rsidR="00FE2D10" w:rsidRPr="00FE7622">
        <w:rPr>
          <w:rStyle w:val="CommentReference"/>
          <w:rFonts w:ascii="Times New Roman" w:hAnsi="Times New Roman" w:cs="Times New Roman"/>
          <w:color w:val="auto"/>
          <w:lang w:val="en-US"/>
        </w:rPr>
        <w:commentReference w:id="16"/>
      </w:r>
      <w:r w:rsidRPr="00FE7622">
        <w:rPr>
          <w:color w:val="auto"/>
        </w:rPr>
        <w:t xml:space="preserve">randomised through primary care recruitment than </w:t>
      </w:r>
      <w:r w:rsidR="005C2CC1" w:rsidRPr="00FE7622">
        <w:rPr>
          <w:color w:val="auto"/>
        </w:rPr>
        <w:t xml:space="preserve">through </w:t>
      </w:r>
      <w:r w:rsidRPr="00FE7622">
        <w:rPr>
          <w:color w:val="auto"/>
        </w:rPr>
        <w:t xml:space="preserve">secondary care recruitment </w:t>
      </w:r>
      <w:r w:rsidR="003E1490" w:rsidRPr="00FE7622">
        <w:rPr>
          <w:color w:val="auto"/>
        </w:rPr>
        <w:t>[</w:t>
      </w:r>
      <w:r w:rsidRPr="00FE7622">
        <w:rPr>
          <w:color w:val="auto"/>
        </w:rPr>
        <w:t>138/13</w:t>
      </w:r>
      <w:r w:rsidR="006C4FC2" w:rsidRPr="00FE7622">
        <w:rPr>
          <w:color w:val="auto"/>
        </w:rPr>
        <w:t>,</w:t>
      </w:r>
      <w:r w:rsidRPr="00FE7622">
        <w:rPr>
          <w:color w:val="auto"/>
        </w:rPr>
        <w:t xml:space="preserve">808 </w:t>
      </w:r>
      <w:r w:rsidR="003E1490" w:rsidRPr="00FE7622">
        <w:rPr>
          <w:color w:val="auto"/>
        </w:rPr>
        <w:t>(</w:t>
      </w:r>
      <w:r w:rsidRPr="00FE7622">
        <w:rPr>
          <w:color w:val="auto"/>
        </w:rPr>
        <w:t>1.0% of total invited</w:t>
      </w:r>
      <w:r w:rsidR="003E1490" w:rsidRPr="00FE7622">
        <w:rPr>
          <w:color w:val="auto"/>
        </w:rPr>
        <w:t>)</w:t>
      </w:r>
      <w:r w:rsidRPr="00FE7622">
        <w:rPr>
          <w:color w:val="auto"/>
        </w:rPr>
        <w:t xml:space="preserve"> vs</w:t>
      </w:r>
      <w:r w:rsidR="003E1490" w:rsidRPr="00FE7622">
        <w:rPr>
          <w:color w:val="auto"/>
        </w:rPr>
        <w:t>.</w:t>
      </w:r>
      <w:r w:rsidRPr="00FE7622">
        <w:rPr>
          <w:color w:val="auto"/>
        </w:rPr>
        <w:t xml:space="preserve"> 7/1202 (0.6% of total notes screened</w:t>
      </w:r>
      <w:r w:rsidR="003E1490" w:rsidRPr="00FE7622">
        <w:rPr>
          <w:color w:val="auto"/>
        </w:rPr>
        <w:t>)</w:t>
      </w:r>
      <w:r w:rsidRPr="00FE7622">
        <w:rPr>
          <w:color w:val="auto"/>
        </w:rPr>
        <w:t xml:space="preserve">]. At </w:t>
      </w:r>
      <w:r w:rsidR="00EF05F7" w:rsidRPr="00FE7622">
        <w:rPr>
          <w:color w:val="auto"/>
        </w:rPr>
        <w:t>10</w:t>
      </w:r>
      <w:r w:rsidRPr="00FE7622">
        <w:rPr>
          <w:color w:val="auto"/>
        </w:rPr>
        <w:t xml:space="preserve"> sites where </w:t>
      </w:r>
      <w:r w:rsidR="008011C5" w:rsidRPr="00FE7622">
        <w:rPr>
          <w:color w:val="auto"/>
        </w:rPr>
        <w:t xml:space="preserve">it was possible to compare </w:t>
      </w:r>
      <w:r w:rsidRPr="00FE7622">
        <w:rPr>
          <w:color w:val="auto"/>
        </w:rPr>
        <w:t>central and local pre-screening strategies, the conversion rate from pre-screening to randomisation was 18</w:t>
      </w:r>
      <w:r w:rsidR="003E1490" w:rsidRPr="00FE7622">
        <w:rPr>
          <w:color w:val="auto"/>
        </w:rPr>
        <w:t xml:space="preserve"> </w:t>
      </w:r>
      <w:r w:rsidR="00EF05F7" w:rsidRPr="00FE7622">
        <w:rPr>
          <w:color w:val="auto"/>
        </w:rPr>
        <w:t xml:space="preserve">out of </w:t>
      </w:r>
      <w:r w:rsidRPr="00FE7622">
        <w:rPr>
          <w:color w:val="auto"/>
        </w:rPr>
        <w:t xml:space="preserve">588 (3.1%) for centralised calls compared </w:t>
      </w:r>
      <w:r w:rsidR="00EF05F7" w:rsidRPr="00FE7622">
        <w:rPr>
          <w:color w:val="auto"/>
        </w:rPr>
        <w:t>with</w:t>
      </w:r>
      <w:r w:rsidRPr="00FE7622">
        <w:rPr>
          <w:color w:val="auto"/>
        </w:rPr>
        <w:t xml:space="preserve"> 73</w:t>
      </w:r>
      <w:r w:rsidR="00EF05F7" w:rsidRPr="00FE7622">
        <w:rPr>
          <w:color w:val="auto"/>
        </w:rPr>
        <w:t xml:space="preserve"> out of </w:t>
      </w:r>
      <w:r w:rsidRPr="00FE7622">
        <w:rPr>
          <w:color w:val="auto"/>
        </w:rPr>
        <w:t>1814 (4.0%) for local pre-screening calls (</w:t>
      </w:r>
      <w:r w:rsidR="00E038BF" w:rsidRPr="00FE7622">
        <w:rPr>
          <w:i/>
          <w:color w:val="auto"/>
        </w:rPr>
        <w:t>p</w:t>
      </w:r>
      <w:r w:rsidR="00E82432" w:rsidRPr="00FE7622">
        <w:rPr>
          <w:color w:val="auto"/>
        </w:rPr>
        <w:t> = </w:t>
      </w:r>
      <w:r w:rsidRPr="00FE7622">
        <w:rPr>
          <w:color w:val="auto"/>
        </w:rPr>
        <w:t xml:space="preserve">0.29). Only a weak relationship was seen between higher (worse) </w:t>
      </w:r>
      <w:r w:rsidR="00CB0916" w:rsidRPr="00FE7622">
        <w:rPr>
          <w:color w:val="auto"/>
        </w:rPr>
        <w:t xml:space="preserve">Strength Assistance Rise Climb – Falls </w:t>
      </w:r>
      <w:r w:rsidRPr="00FE7622">
        <w:rPr>
          <w:color w:val="auto"/>
        </w:rPr>
        <w:t>score at screening and lower likelihood of progression to randomisation (</w:t>
      </w:r>
      <w:r w:rsidR="00E038BF" w:rsidRPr="00FE7622">
        <w:rPr>
          <w:i/>
          <w:iCs/>
          <w:color w:val="auto"/>
        </w:rPr>
        <w:t>r</w:t>
      </w:r>
      <w:r w:rsidR="00E82432" w:rsidRPr="00FE7622">
        <w:rPr>
          <w:color w:val="auto"/>
        </w:rPr>
        <w:t> = </w:t>
      </w:r>
      <w:r w:rsidRPr="00FE7622">
        <w:rPr>
          <w:color w:val="auto"/>
        </w:rPr>
        <w:t>–0.08</w:t>
      </w:r>
      <w:r w:rsidR="00EF05F7" w:rsidRPr="00FE7622">
        <w:rPr>
          <w:color w:val="auto"/>
        </w:rPr>
        <w:t>;</w:t>
      </w:r>
      <w:r w:rsidRPr="00FE7622">
        <w:rPr>
          <w:color w:val="auto"/>
        </w:rPr>
        <w:t xml:space="preserve"> </w:t>
      </w:r>
      <w:r w:rsidR="00E038BF" w:rsidRPr="00FE7622">
        <w:rPr>
          <w:i/>
          <w:color w:val="auto"/>
        </w:rPr>
        <w:t>p</w:t>
      </w:r>
      <w:r w:rsidR="00E82432" w:rsidRPr="00FE7622">
        <w:rPr>
          <w:color w:val="auto"/>
        </w:rPr>
        <w:t> = </w:t>
      </w:r>
      <w:r w:rsidRPr="00FE7622">
        <w:rPr>
          <w:color w:val="auto"/>
        </w:rPr>
        <w:t xml:space="preserve">0.03). Muscle mass estimates generated using the Sergi equation were systematically biased, tending to underestimate </w:t>
      </w:r>
      <w:r w:rsidR="00A671FF" w:rsidRPr="00FE7622">
        <w:rPr>
          <w:color w:val="auto"/>
        </w:rPr>
        <w:t>dual-energy X-ray absorptiometry</w:t>
      </w:r>
      <w:r w:rsidRPr="00FE7622">
        <w:rPr>
          <w:color w:val="auto"/>
        </w:rPr>
        <w:t>-measured muscle mass in people with low muscle mass.</w:t>
      </w:r>
    </w:p>
    <w:p w14:paraId="18094096" w14:textId="77777777" w:rsidR="00F026E8" w:rsidRPr="00FE7622" w:rsidRDefault="00F026E8" w:rsidP="00E82432">
      <w:pPr>
        <w:pStyle w:val="602TextfoTextstylesTextstyles"/>
        <w:rPr>
          <w:color w:val="auto"/>
        </w:rPr>
      </w:pPr>
      <w:r w:rsidRPr="00FE7622">
        <w:rPr>
          <w:color w:val="auto"/>
        </w:rPr>
        <w:t>None of the biomarkers tested showed consistent or strong associations with either baseline muscle mass or physical performance, either in cross-sectional analyses at baseline, using baseline biomarkers to predict change in mass and performance over time, or using change in biomarkers to predict longer-term change in mass and performance.</w:t>
      </w:r>
    </w:p>
    <w:p w14:paraId="043DB4FD" w14:textId="5EC230F8" w:rsidR="00E038BF" w:rsidRPr="00FE7622" w:rsidRDefault="00E038BF" w:rsidP="00E82432">
      <w:pPr>
        <w:pStyle w:val="52AheadHeadingsHeadingstyles"/>
      </w:pPr>
      <w:bookmarkStart w:id="17" w:name="_Toc79684470"/>
      <w:r w:rsidRPr="00FE7622">
        <w:t>Conclusions: implications for health care</w:t>
      </w:r>
      <w:bookmarkEnd w:id="17"/>
    </w:p>
    <w:p w14:paraId="2255DE56" w14:textId="4C2142E7" w:rsidR="00F026E8" w:rsidRPr="00FE7622" w:rsidRDefault="00F026E8" w:rsidP="00E82432">
      <w:pPr>
        <w:pStyle w:val="602TextfoTextstylesTextstyles"/>
        <w:rPr>
          <w:color w:val="auto"/>
        </w:rPr>
      </w:pPr>
      <w:r w:rsidRPr="00FE7622">
        <w:rPr>
          <w:color w:val="auto"/>
        </w:rPr>
        <w:t xml:space="preserve">The results from this randomised controlled trial do not support the use of either 4 mg </w:t>
      </w:r>
      <w:r w:rsidR="00060716" w:rsidRPr="00FE7622">
        <w:rPr>
          <w:color w:val="auto"/>
        </w:rPr>
        <w:t xml:space="preserve">of </w:t>
      </w:r>
      <w:r w:rsidRPr="00FE7622">
        <w:rPr>
          <w:color w:val="auto"/>
        </w:rPr>
        <w:t xml:space="preserve">perindopril once daily or 2.5 g </w:t>
      </w:r>
      <w:r w:rsidR="00060716" w:rsidRPr="00FE7622">
        <w:rPr>
          <w:color w:val="auto"/>
        </w:rPr>
        <w:t xml:space="preserve">of </w:t>
      </w:r>
      <w:r w:rsidRPr="00FE7622">
        <w:rPr>
          <w:color w:val="auto"/>
        </w:rPr>
        <w:t xml:space="preserve">leucine three times </w:t>
      </w:r>
      <w:r w:rsidR="001B3DA9" w:rsidRPr="00FE7622">
        <w:rPr>
          <w:color w:val="auto"/>
        </w:rPr>
        <w:t>per</w:t>
      </w:r>
      <w:r w:rsidRPr="00FE7622">
        <w:rPr>
          <w:color w:val="auto"/>
        </w:rPr>
        <w:t xml:space="preserve"> day as standalone interventions to treat sarcopenia in older people. We did not find any biomarker able to predict change in muscle mass or physical performance in this study population.</w:t>
      </w:r>
    </w:p>
    <w:p w14:paraId="6EFE77C0" w14:textId="2774123A" w:rsidR="00E038BF" w:rsidRPr="00FE7622" w:rsidRDefault="00E038BF" w:rsidP="00E82432">
      <w:pPr>
        <w:pStyle w:val="52AheadHeadingsHeadingstyles"/>
      </w:pPr>
      <w:bookmarkStart w:id="18" w:name="_Toc79684471"/>
      <w:r w:rsidRPr="00FE7622">
        <w:lastRenderedPageBreak/>
        <w:t>Suggestions for further research</w:t>
      </w:r>
      <w:bookmarkEnd w:id="18"/>
    </w:p>
    <w:p w14:paraId="416CF270" w14:textId="33106F23" w:rsidR="00F026E8" w:rsidRPr="00FE7622" w:rsidRDefault="00F026E8" w:rsidP="00E82432">
      <w:pPr>
        <w:pStyle w:val="602TextfoTextstylesTextstyles"/>
        <w:rPr>
          <w:color w:val="auto"/>
        </w:rPr>
      </w:pPr>
      <w:r w:rsidRPr="00FE7622">
        <w:rPr>
          <w:color w:val="auto"/>
        </w:rPr>
        <w:t>Further trials are needed to test whether leucine could benefit subgroups</w:t>
      </w:r>
      <w:r w:rsidR="00E41B71" w:rsidRPr="00FE7622">
        <w:rPr>
          <w:color w:val="auto"/>
        </w:rPr>
        <w:t xml:space="preserve"> of patients</w:t>
      </w:r>
      <w:r w:rsidRPr="00FE7622">
        <w:rPr>
          <w:color w:val="auto"/>
        </w:rPr>
        <w:t xml:space="preserve"> with low muscle mass and/or low protein intake. In addition, trials comparing the effect of leucine as an adjunct to resistance training and trials comparing protein supplementation plus leucine with protein supplementation alone would help to delineate the role (if any) </w:t>
      </w:r>
      <w:r w:rsidR="00E41B71" w:rsidRPr="00FE7622">
        <w:rPr>
          <w:color w:val="auto"/>
        </w:rPr>
        <w:t>of</w:t>
      </w:r>
      <w:r w:rsidRPr="00FE7622">
        <w:rPr>
          <w:color w:val="auto"/>
        </w:rPr>
        <w:t xml:space="preserve"> leucine as a treatment for sarcopenia. It is unlikely that conducting further trials of </w:t>
      </w:r>
      <w:r w:rsidRPr="00842651">
        <w:rPr>
          <w:color w:val="auto"/>
        </w:rPr>
        <w:t>ACEi</w:t>
      </w:r>
      <w:r w:rsidRPr="00FE7622">
        <w:rPr>
          <w:color w:val="auto"/>
        </w:rPr>
        <w:t xml:space="preserve"> will lead to clinically significant benefits</w:t>
      </w:r>
      <w:r w:rsidR="00E41B71" w:rsidRPr="00FE7622">
        <w:rPr>
          <w:color w:val="auto"/>
        </w:rPr>
        <w:t>,</w:t>
      </w:r>
      <w:r w:rsidRPr="00FE7622">
        <w:rPr>
          <w:color w:val="auto"/>
        </w:rPr>
        <w:t xml:space="preserve"> and interventions exploiting alternative pathophysiological mechanisms should be prioritised. Further exploration of the </w:t>
      </w:r>
      <w:r w:rsidRPr="00842651">
        <w:rPr>
          <w:color w:val="auto"/>
        </w:rPr>
        <w:t>LACE</w:t>
      </w:r>
      <w:r w:rsidR="003E1490" w:rsidRPr="00FE7622">
        <w:rPr>
          <w:color w:val="auto"/>
        </w:rPr>
        <w:t xml:space="preserve"> trial</w:t>
      </w:r>
      <w:r w:rsidRPr="00FE7622">
        <w:rPr>
          <w:color w:val="auto"/>
        </w:rPr>
        <w:t xml:space="preserve"> data set will yield information on clusters of biomarkers that may predict disease trajectory and identify mechanistic subgroups for future intervention studies. Blood-borne biomarkers that can be used to easily confirm a diagnosis of sarcopenia should be sought</w:t>
      </w:r>
      <w:r w:rsidR="00E41B71" w:rsidRPr="00FE7622">
        <w:rPr>
          <w:color w:val="auto"/>
        </w:rPr>
        <w:t>,</w:t>
      </w:r>
      <w:r w:rsidRPr="00FE7622">
        <w:rPr>
          <w:color w:val="auto"/>
        </w:rPr>
        <w:t xml:space="preserve"> particularly biomarkers that can replace the need to measure muscle mass, </w:t>
      </w:r>
      <w:r w:rsidR="00E52423" w:rsidRPr="00FE7622">
        <w:rPr>
          <w:color w:val="auto"/>
        </w:rPr>
        <w:t>as this</w:t>
      </w:r>
      <w:r w:rsidRPr="00FE7622">
        <w:rPr>
          <w:color w:val="auto"/>
        </w:rPr>
        <w:t xml:space="preserve"> </w:t>
      </w:r>
      <w:r w:rsidR="0041344A" w:rsidRPr="00FE7622">
        <w:rPr>
          <w:color w:val="auto"/>
        </w:rPr>
        <w:t xml:space="preserve">requirement </w:t>
      </w:r>
      <w:r w:rsidRPr="00FE7622">
        <w:rPr>
          <w:color w:val="auto"/>
        </w:rPr>
        <w:t xml:space="preserve">remains an impediment to </w:t>
      </w:r>
      <w:r w:rsidR="00E41B71" w:rsidRPr="00FE7622">
        <w:rPr>
          <w:color w:val="auto"/>
        </w:rPr>
        <w:t xml:space="preserve">the </w:t>
      </w:r>
      <w:r w:rsidRPr="00FE7622">
        <w:rPr>
          <w:color w:val="auto"/>
        </w:rPr>
        <w:t>widespread diagnosis of sarcopenia in clinical practice.</w:t>
      </w:r>
    </w:p>
    <w:p w14:paraId="0B9D9CDD" w14:textId="11022E47" w:rsidR="00F026E8" w:rsidRPr="00FE7622" w:rsidRDefault="00F026E8" w:rsidP="00E82432">
      <w:pPr>
        <w:pStyle w:val="602TextfoTextstylesTextstyles"/>
        <w:rPr>
          <w:color w:val="auto"/>
        </w:rPr>
      </w:pPr>
      <w:r w:rsidRPr="00FE7622">
        <w:rPr>
          <w:color w:val="auto"/>
        </w:rPr>
        <w:t xml:space="preserve">There is a need to develop novel approaches to sarcopenia trials’ platforms to accelerate progress in this field. </w:t>
      </w:r>
      <w:r w:rsidR="000B1691" w:rsidRPr="00FE7622">
        <w:rPr>
          <w:color w:val="auto"/>
        </w:rPr>
        <w:t>The d</w:t>
      </w:r>
      <w:r w:rsidRPr="00FE7622">
        <w:rPr>
          <w:color w:val="auto"/>
        </w:rPr>
        <w:t>evelopment of these approaches should build on the knowledge gained in</w:t>
      </w:r>
      <w:r w:rsidR="003E1490" w:rsidRPr="00FE7622">
        <w:rPr>
          <w:color w:val="auto"/>
        </w:rPr>
        <w:t xml:space="preserve"> the</w:t>
      </w:r>
      <w:r w:rsidRPr="00FE7622">
        <w:rPr>
          <w:color w:val="auto"/>
        </w:rPr>
        <w:t xml:space="preserve"> </w:t>
      </w:r>
      <w:r w:rsidRPr="00842651">
        <w:rPr>
          <w:color w:val="auto"/>
        </w:rPr>
        <w:t>LACE</w:t>
      </w:r>
      <w:r w:rsidR="003E1490" w:rsidRPr="00FE7622">
        <w:rPr>
          <w:color w:val="auto"/>
        </w:rPr>
        <w:t xml:space="preserve"> trial</w:t>
      </w:r>
      <w:r w:rsidRPr="00FE7622">
        <w:rPr>
          <w:color w:val="auto"/>
        </w:rPr>
        <w:t xml:space="preserve"> on how to more efficiently find and recruit people with sarcopenia and can utilise the network of UK centres that have gained experience recruiting patients with sarcopenia in</w:t>
      </w:r>
      <w:r w:rsidR="003E1490" w:rsidRPr="00FE7622">
        <w:rPr>
          <w:color w:val="auto"/>
        </w:rPr>
        <w:t xml:space="preserve"> the</w:t>
      </w:r>
      <w:r w:rsidRPr="00FE7622">
        <w:rPr>
          <w:color w:val="auto"/>
        </w:rPr>
        <w:t xml:space="preserve"> </w:t>
      </w:r>
      <w:r w:rsidRPr="00842651">
        <w:rPr>
          <w:color w:val="auto"/>
        </w:rPr>
        <w:t>LACE</w:t>
      </w:r>
      <w:r w:rsidR="003E1490" w:rsidRPr="00FE7622">
        <w:rPr>
          <w:color w:val="auto"/>
        </w:rPr>
        <w:t xml:space="preserve"> trial</w:t>
      </w:r>
      <w:r w:rsidRPr="00FE7622">
        <w:rPr>
          <w:color w:val="auto"/>
        </w:rPr>
        <w:t>.</w:t>
      </w:r>
    </w:p>
    <w:p w14:paraId="4E0B4D4F" w14:textId="20070AB6" w:rsidR="00E038BF" w:rsidRPr="00FE7622" w:rsidRDefault="00E038BF" w:rsidP="00E82432">
      <w:pPr>
        <w:pStyle w:val="52AheadHeadingsHeadingstyles"/>
      </w:pPr>
      <w:bookmarkStart w:id="19" w:name="_Toc79684472"/>
      <w:r w:rsidRPr="00FE7622">
        <w:t>Study registration</w:t>
      </w:r>
      <w:bookmarkEnd w:id="19"/>
    </w:p>
    <w:p w14:paraId="28F6BA09" w14:textId="188455AD" w:rsidR="00F026E8" w:rsidRPr="00FE7622" w:rsidRDefault="00F026E8" w:rsidP="00E82432">
      <w:pPr>
        <w:pStyle w:val="602TextfoTextstylesTextstyles"/>
        <w:rPr>
          <w:color w:val="auto"/>
        </w:rPr>
      </w:pPr>
      <w:r w:rsidRPr="00FE7622">
        <w:rPr>
          <w:color w:val="auto"/>
        </w:rPr>
        <w:t>This trial is registered as ISRCTN90094835 and EudraCT 2014</w:t>
      </w:r>
      <w:r w:rsidR="006C4FC2" w:rsidRPr="00FE7622">
        <w:rPr>
          <w:color w:val="auto"/>
        </w:rPr>
        <w:t>-</w:t>
      </w:r>
      <w:r w:rsidRPr="00FE7622">
        <w:rPr>
          <w:color w:val="auto"/>
        </w:rPr>
        <w:t>003455</w:t>
      </w:r>
      <w:r w:rsidR="006C4FC2" w:rsidRPr="00FE7622">
        <w:rPr>
          <w:color w:val="auto"/>
        </w:rPr>
        <w:t>-</w:t>
      </w:r>
      <w:r w:rsidRPr="00FE7622">
        <w:rPr>
          <w:color w:val="auto"/>
        </w:rPr>
        <w:t>61. The systematic review is registered as PROSPERO CRD42014013398</w:t>
      </w:r>
      <w:r w:rsidR="006C4FC2" w:rsidRPr="00FE7622">
        <w:rPr>
          <w:color w:val="auto"/>
        </w:rPr>
        <w:t>.</w:t>
      </w:r>
    </w:p>
    <w:p w14:paraId="220AF476" w14:textId="47DA7185" w:rsidR="00E038BF" w:rsidRPr="00FE7622" w:rsidRDefault="00E038BF" w:rsidP="00E82432">
      <w:pPr>
        <w:pStyle w:val="52AheadHeadingsHeadingstyles"/>
      </w:pPr>
      <w:bookmarkStart w:id="20" w:name="_Toc79684473"/>
      <w:r w:rsidRPr="00FE7622">
        <w:t>Funding</w:t>
      </w:r>
      <w:bookmarkEnd w:id="20"/>
    </w:p>
    <w:p w14:paraId="20D5C05B" w14:textId="27D79E06" w:rsidR="00F026E8" w:rsidRPr="00FE7622" w:rsidRDefault="00B75ACD" w:rsidP="00B75ACD">
      <w:pPr>
        <w:pStyle w:val="602TextfoTextstylesTextstyles"/>
        <w:rPr>
          <w:color w:val="auto"/>
        </w:rPr>
      </w:pPr>
      <w:r w:rsidRPr="00FE7622">
        <w:rPr>
          <w:color w:val="auto"/>
        </w:rPr>
        <w:t>This project was funded by the Efficacy and Mechanism Evaluation (EME) programme, a MRC and National Institute for Health</w:t>
      </w:r>
      <w:r w:rsidR="004D1B7D" w:rsidRPr="00FE7622">
        <w:rPr>
          <w:color w:val="auto"/>
        </w:rPr>
        <w:t xml:space="preserve"> and Care Research</w:t>
      </w:r>
      <w:r w:rsidRPr="00FE7622">
        <w:rPr>
          <w:color w:val="auto"/>
        </w:rPr>
        <w:t xml:space="preserve"> (</w:t>
      </w:r>
      <w:r w:rsidRPr="00842651">
        <w:rPr>
          <w:color w:val="auto"/>
        </w:rPr>
        <w:t>NIHR</w:t>
      </w:r>
      <w:r w:rsidRPr="00FE7622">
        <w:rPr>
          <w:color w:val="auto"/>
        </w:rPr>
        <w:t xml:space="preserve">) partnership. This will be published in full in </w:t>
      </w:r>
      <w:r w:rsidR="00E038BF" w:rsidRPr="00FE7622">
        <w:rPr>
          <w:i/>
          <w:iCs/>
          <w:color w:val="auto"/>
        </w:rPr>
        <w:t>Efficacy and Mechanism Evaluation</w:t>
      </w:r>
      <w:r w:rsidRPr="00FE7622">
        <w:rPr>
          <w:color w:val="auto"/>
        </w:rPr>
        <w:t xml:space="preserve">; Vol. 9, No. X. See the </w:t>
      </w:r>
      <w:r w:rsidRPr="00842651">
        <w:rPr>
          <w:color w:val="auto"/>
        </w:rPr>
        <w:t>NIHR</w:t>
      </w:r>
      <w:r w:rsidRPr="00FE7622">
        <w:rPr>
          <w:color w:val="auto"/>
        </w:rPr>
        <w:t xml:space="preserve"> Journals Library website for further project information.</w:t>
      </w:r>
    </w:p>
    <w:p w14:paraId="09EB3B6D" w14:textId="61F2DF13" w:rsidR="00E038BF" w:rsidRPr="00FE7622" w:rsidRDefault="00E038BF" w:rsidP="008336A1">
      <w:pPr>
        <w:pStyle w:val="43ChaptertitleHeadingsHeadingstyles"/>
      </w:pPr>
      <w:bookmarkStart w:id="21" w:name="_Toc79684474"/>
      <w:r w:rsidRPr="00FE7622">
        <w:lastRenderedPageBreak/>
        <w:t>Chapter 1</w:t>
      </w:r>
      <w:r w:rsidRPr="00FE7622">
        <w:t> </w:t>
      </w:r>
      <w:r w:rsidRPr="00FE7622">
        <w:t>Introduction</w:t>
      </w:r>
      <w:bookmarkEnd w:id="21"/>
    </w:p>
    <w:p w14:paraId="205377DA" w14:textId="77777777" w:rsidR="00E038BF" w:rsidRPr="00FE7622" w:rsidRDefault="00E038BF" w:rsidP="005633CF">
      <w:pPr>
        <w:pStyle w:val="52AheadHeadingsHeadingstyles"/>
      </w:pPr>
      <w:bookmarkStart w:id="22" w:name="_Toc79684475"/>
      <w:r w:rsidRPr="00FE7622">
        <w:t>Background to and rationale for the trial</w:t>
      </w:r>
      <w:bookmarkEnd w:id="22"/>
    </w:p>
    <w:p w14:paraId="1DBCBD41" w14:textId="1C14D85C" w:rsidR="00F026E8" w:rsidRPr="00FE7622" w:rsidRDefault="00F026E8" w:rsidP="005633CF">
      <w:pPr>
        <w:pStyle w:val="602TextfoTextstylesTextstyles"/>
        <w:rPr>
          <w:color w:val="auto"/>
        </w:rPr>
      </w:pPr>
      <w:r w:rsidRPr="00FE7622">
        <w:rPr>
          <w:color w:val="auto"/>
        </w:rPr>
        <w:t>Sarcopenia, defined as the age-related loss of muscle mass and strength,</w:t>
      </w:r>
      <w:r w:rsidR="00E038BF" w:rsidRPr="00FE7622">
        <w:rPr>
          <w:color w:val="auto"/>
          <w:vertAlign w:val="superscript"/>
        </w:rPr>
        <w:t>1</w:t>
      </w:r>
      <w:r w:rsidRPr="00FE7622">
        <w:rPr>
          <w:color w:val="auto"/>
        </w:rPr>
        <w:t xml:space="preserve"> is a major health problem. The condition is common, affecting between 5</w:t>
      </w:r>
      <w:r w:rsidR="006C4FC2" w:rsidRPr="00FE7622">
        <w:rPr>
          <w:color w:val="auto"/>
        </w:rPr>
        <w:t>%</w:t>
      </w:r>
      <w:r w:rsidRPr="00FE7622">
        <w:rPr>
          <w:color w:val="auto"/>
        </w:rPr>
        <w:t xml:space="preserve"> and 10% of community-dwelling people aged </w:t>
      </w:r>
      <w:r w:rsidR="00AB7C24" w:rsidRPr="00FE7622">
        <w:rPr>
          <w:color w:val="auto"/>
        </w:rPr>
        <w:t>&gt; </w:t>
      </w:r>
      <w:r w:rsidRPr="00FE7622">
        <w:rPr>
          <w:color w:val="auto"/>
        </w:rPr>
        <w:t>65</w:t>
      </w:r>
      <w:r w:rsidR="006C4FC2" w:rsidRPr="00FE7622">
        <w:rPr>
          <w:color w:val="auto"/>
        </w:rPr>
        <w:t xml:space="preserve"> years</w:t>
      </w:r>
      <w:r w:rsidRPr="00FE7622">
        <w:rPr>
          <w:color w:val="auto"/>
        </w:rPr>
        <w:t>.</w:t>
      </w:r>
      <w:r w:rsidR="00E038BF" w:rsidRPr="00FE7622">
        <w:rPr>
          <w:color w:val="auto"/>
          <w:vertAlign w:val="superscript"/>
        </w:rPr>
        <w:t>2,3</w:t>
      </w:r>
      <w:r w:rsidRPr="00FE7622">
        <w:rPr>
          <w:color w:val="auto"/>
        </w:rPr>
        <w:t xml:space="preserve"> It is a major cause of multiple adverse outcomes for older people</w:t>
      </w:r>
      <w:r w:rsidR="006C4FC2" w:rsidRPr="00FE7622">
        <w:rPr>
          <w:color w:val="auto"/>
        </w:rPr>
        <w:t>,</w:t>
      </w:r>
      <w:r w:rsidRPr="00FE7622">
        <w:rPr>
          <w:color w:val="auto"/>
        </w:rPr>
        <w:t xml:space="preserve"> including falls, fractures, hospital admission, prolonged length of stay, need for care and reduced survival.</w:t>
      </w:r>
      <w:r w:rsidR="00E038BF" w:rsidRPr="00FE7622">
        <w:rPr>
          <w:color w:val="auto"/>
          <w:vertAlign w:val="superscript"/>
        </w:rPr>
        <w:t>4</w:t>
      </w:r>
      <w:r w:rsidRPr="00FE7622">
        <w:rPr>
          <w:color w:val="auto"/>
        </w:rPr>
        <w:t xml:space="preserve"> It has been estimated to cost the UK </w:t>
      </w:r>
      <w:r w:rsidR="006C4FC2" w:rsidRPr="00FE7622">
        <w:rPr>
          <w:color w:val="auto"/>
        </w:rPr>
        <w:t>NHS</w:t>
      </w:r>
      <w:r w:rsidRPr="00FE7622">
        <w:rPr>
          <w:color w:val="auto"/>
        </w:rPr>
        <w:t xml:space="preserve"> approximately £2.5</w:t>
      </w:r>
      <w:r w:rsidR="006C4FC2" w:rsidRPr="00FE7622">
        <w:rPr>
          <w:color w:val="auto"/>
        </w:rPr>
        <w:t>B</w:t>
      </w:r>
      <w:r w:rsidRPr="00FE7622">
        <w:rPr>
          <w:color w:val="auto"/>
        </w:rPr>
        <w:t>,</w:t>
      </w:r>
      <w:r w:rsidR="00E038BF" w:rsidRPr="00FE7622">
        <w:rPr>
          <w:color w:val="auto"/>
          <w:vertAlign w:val="superscript"/>
        </w:rPr>
        <w:t>5</w:t>
      </w:r>
      <w:r w:rsidRPr="00FE7622">
        <w:rPr>
          <w:color w:val="auto"/>
        </w:rPr>
        <w:t xml:space="preserve"> and additional costs </w:t>
      </w:r>
      <w:r w:rsidR="00BC20D4" w:rsidRPr="00FE7622">
        <w:rPr>
          <w:color w:val="auto"/>
        </w:rPr>
        <w:t>of</w:t>
      </w:r>
      <w:r w:rsidRPr="00FE7622">
        <w:rPr>
          <w:color w:val="auto"/>
        </w:rPr>
        <w:t xml:space="preserve"> formal and informal social care are likely to be higher still.</w:t>
      </w:r>
    </w:p>
    <w:p w14:paraId="6CB53A3B" w14:textId="79739414" w:rsidR="00F026E8" w:rsidRPr="00FE7622" w:rsidRDefault="00F026E8" w:rsidP="005633CF">
      <w:pPr>
        <w:pStyle w:val="602TextfoTextstylesTextstyles"/>
        <w:rPr>
          <w:color w:val="auto"/>
        </w:rPr>
      </w:pPr>
      <w:r w:rsidRPr="00FE7622">
        <w:rPr>
          <w:color w:val="auto"/>
        </w:rPr>
        <w:t>Although the aetiology and pathogenesis of sarcopenia remain incompletely understood, there is a growing understanding of the factors that contribute to the condition. These include mitochondrial dysfunction, changes in hormone levels, anabolic resistance, vascular dysfunction, changes to the neuromuscular junction, chronic inflammation, oxidative stress and cellular senescence.</w:t>
      </w:r>
      <w:r w:rsidR="00E038BF" w:rsidRPr="00FE7622">
        <w:rPr>
          <w:color w:val="auto"/>
          <w:vertAlign w:val="superscript"/>
        </w:rPr>
        <w:t>1,6,7</w:t>
      </w:r>
      <w:r w:rsidRPr="00FE7622">
        <w:rPr>
          <w:color w:val="auto"/>
        </w:rPr>
        <w:t xml:space="preserve"> These insights are starting to lay the groundwork for trials of novel therapeutic approaches, both for prevention and to improve established sarcopenia.</w:t>
      </w:r>
      <w:r w:rsidR="00E038BF" w:rsidRPr="00FE7622">
        <w:rPr>
          <w:color w:val="auto"/>
          <w:vertAlign w:val="superscript"/>
        </w:rPr>
        <w:t>8,9</w:t>
      </w:r>
    </w:p>
    <w:p w14:paraId="7F87DE8B" w14:textId="6204B741" w:rsidR="00F026E8" w:rsidRPr="00FE7622" w:rsidRDefault="00F026E8" w:rsidP="005633CF">
      <w:pPr>
        <w:pStyle w:val="602TextfoTextstylesTextstyles"/>
        <w:rPr>
          <w:color w:val="auto"/>
        </w:rPr>
      </w:pPr>
      <w:r w:rsidRPr="00FE7622">
        <w:rPr>
          <w:color w:val="auto"/>
        </w:rPr>
        <w:t xml:space="preserve">The best current evidence for </w:t>
      </w:r>
      <w:r w:rsidR="00585671" w:rsidRPr="00FE7622">
        <w:rPr>
          <w:color w:val="auto"/>
        </w:rPr>
        <w:t xml:space="preserve">the </w:t>
      </w:r>
      <w:r w:rsidRPr="00FE7622">
        <w:rPr>
          <w:color w:val="auto"/>
        </w:rPr>
        <w:t>effective treatment of sarcopenia lies with resistance training. Resistance training, either alone or as part of a mixed</w:t>
      </w:r>
      <w:r w:rsidR="00646D38" w:rsidRPr="00FE7622">
        <w:rPr>
          <w:color w:val="auto"/>
        </w:rPr>
        <w:t>-</w:t>
      </w:r>
      <w:r w:rsidRPr="00FE7622">
        <w:rPr>
          <w:color w:val="auto"/>
        </w:rPr>
        <w:t xml:space="preserve">modality exercise programme, has been shown in systematic reviews to improve </w:t>
      </w:r>
      <w:r w:rsidR="0004082C" w:rsidRPr="00FE7622">
        <w:rPr>
          <w:color w:val="auto"/>
        </w:rPr>
        <w:t>not only</w:t>
      </w:r>
      <w:r w:rsidRPr="00FE7622">
        <w:rPr>
          <w:color w:val="auto"/>
        </w:rPr>
        <w:t xml:space="preserve"> muscle strength and function but also muscle mass.</w:t>
      </w:r>
      <w:r w:rsidR="00E038BF" w:rsidRPr="00FE7622">
        <w:rPr>
          <w:color w:val="auto"/>
          <w:vertAlign w:val="superscript"/>
        </w:rPr>
        <w:t>4,10,11</w:t>
      </w:r>
      <w:r w:rsidRPr="00FE7622">
        <w:rPr>
          <w:color w:val="auto"/>
        </w:rPr>
        <w:t xml:space="preserve"> However, not all older people are either willing or able to undertake resistance training, and alternative interventions are</w:t>
      </w:r>
      <w:r w:rsidR="0004082C" w:rsidRPr="00FE7622">
        <w:rPr>
          <w:color w:val="auto"/>
        </w:rPr>
        <w:t>,</w:t>
      </w:r>
      <w:r w:rsidRPr="00FE7622">
        <w:rPr>
          <w:color w:val="auto"/>
        </w:rPr>
        <w:t xml:space="preserve"> therefore</w:t>
      </w:r>
      <w:r w:rsidR="0004082C" w:rsidRPr="00FE7622">
        <w:rPr>
          <w:color w:val="auto"/>
        </w:rPr>
        <w:t>,</w:t>
      </w:r>
      <w:r w:rsidRPr="00FE7622">
        <w:rPr>
          <w:color w:val="auto"/>
        </w:rPr>
        <w:t xml:space="preserve"> required </w:t>
      </w:r>
      <w:r w:rsidR="006C4FC2" w:rsidRPr="00FE7622">
        <w:rPr>
          <w:color w:val="auto"/>
        </w:rPr>
        <w:t xml:space="preserve">to </w:t>
      </w:r>
      <w:r w:rsidR="00646D38" w:rsidRPr="00FE7622">
        <w:rPr>
          <w:color w:val="auto"/>
        </w:rPr>
        <w:t xml:space="preserve">both </w:t>
      </w:r>
      <w:r w:rsidRPr="00FE7622">
        <w:rPr>
          <w:color w:val="auto"/>
        </w:rPr>
        <w:t>treat established sarcopenia and prevent the condition.</w:t>
      </w:r>
    </w:p>
    <w:p w14:paraId="59C6751A" w14:textId="0B9C42DD" w:rsidR="00E038BF" w:rsidRPr="00FE7622" w:rsidRDefault="00E038BF" w:rsidP="0015470C">
      <w:pPr>
        <w:pStyle w:val="52AheadHeadingsHeadingstyles"/>
      </w:pPr>
      <w:bookmarkStart w:id="23" w:name="_Toc79684476"/>
      <w:r w:rsidRPr="00FE7622">
        <w:t>Rationale for the use of leucine</w:t>
      </w:r>
      <w:bookmarkEnd w:id="23"/>
    </w:p>
    <w:p w14:paraId="0DF2FCFC" w14:textId="1B4BBBE5" w:rsidR="00F026E8" w:rsidRPr="00FE7622" w:rsidRDefault="00F026E8" w:rsidP="0015470C">
      <w:pPr>
        <w:pStyle w:val="602TextfoTextstylesTextstyles"/>
        <w:rPr>
          <w:color w:val="auto"/>
        </w:rPr>
      </w:pPr>
      <w:r w:rsidRPr="00FE7622">
        <w:rPr>
          <w:color w:val="auto"/>
        </w:rPr>
        <w:t xml:space="preserve">Muscle protein synthesis in older people in response to protein ingestion is attenuated compared </w:t>
      </w:r>
      <w:r w:rsidR="005C4418" w:rsidRPr="00FE7622">
        <w:rPr>
          <w:color w:val="auto"/>
        </w:rPr>
        <w:t>with in</w:t>
      </w:r>
      <w:r w:rsidRPr="00FE7622">
        <w:rPr>
          <w:color w:val="auto"/>
        </w:rPr>
        <w:t xml:space="preserve"> younger people</w:t>
      </w:r>
      <w:r w:rsidR="00997B91" w:rsidRPr="00FE7622">
        <w:rPr>
          <w:color w:val="auto"/>
        </w:rPr>
        <w:t>;</w:t>
      </w:r>
      <w:r w:rsidRPr="00FE7622">
        <w:rPr>
          <w:color w:val="auto"/>
        </w:rPr>
        <w:t xml:space="preserve"> </w:t>
      </w:r>
      <w:r w:rsidR="00460F9B" w:rsidRPr="00FE7622">
        <w:rPr>
          <w:color w:val="auto"/>
        </w:rPr>
        <w:t xml:space="preserve">in older people, </w:t>
      </w:r>
      <w:r w:rsidRPr="00FE7622">
        <w:rPr>
          <w:color w:val="auto"/>
        </w:rPr>
        <w:t>there is anabolic resistance to protein supplementation.</w:t>
      </w:r>
      <w:r w:rsidR="00E038BF" w:rsidRPr="00FE7622">
        <w:rPr>
          <w:color w:val="auto"/>
          <w:vertAlign w:val="superscript"/>
        </w:rPr>
        <w:t>12</w:t>
      </w:r>
      <w:r w:rsidRPr="00FE7622">
        <w:rPr>
          <w:color w:val="auto"/>
        </w:rPr>
        <w:t xml:space="preserve"> Increasing the amount of protein ingested is one way of overcoming this resistance, but older, frail people typically already have suboptimal protein intakes and increasing </w:t>
      </w:r>
      <w:r w:rsidR="00783A19" w:rsidRPr="00FE7622">
        <w:rPr>
          <w:color w:val="auto"/>
        </w:rPr>
        <w:t xml:space="preserve">their </w:t>
      </w:r>
      <w:r w:rsidRPr="00FE7622">
        <w:rPr>
          <w:color w:val="auto"/>
        </w:rPr>
        <w:t>protein intake may be challenging in practice.</w:t>
      </w:r>
      <w:r w:rsidR="00E038BF" w:rsidRPr="00FE7622">
        <w:rPr>
          <w:color w:val="auto"/>
          <w:vertAlign w:val="superscript"/>
        </w:rPr>
        <w:t>13</w:t>
      </w:r>
      <w:r w:rsidRPr="00FE7622">
        <w:rPr>
          <w:color w:val="auto"/>
        </w:rPr>
        <w:t xml:space="preserve"> The benefits of protein supplementation </w:t>
      </w:r>
      <w:r w:rsidR="002B322B" w:rsidRPr="00FE7622">
        <w:rPr>
          <w:color w:val="auto"/>
        </w:rPr>
        <w:t>for</w:t>
      </w:r>
      <w:r w:rsidRPr="00FE7622">
        <w:rPr>
          <w:color w:val="auto"/>
        </w:rPr>
        <w:t xml:space="preserve"> patients with sarcopenia remain unclear</w:t>
      </w:r>
      <w:r w:rsidR="00C618F1" w:rsidRPr="00FE7622">
        <w:rPr>
          <w:color w:val="auto"/>
        </w:rPr>
        <w:t>. R</w:t>
      </w:r>
      <w:r w:rsidRPr="00FE7622">
        <w:rPr>
          <w:color w:val="auto"/>
        </w:rPr>
        <w:t>ecent systematic reviews</w:t>
      </w:r>
      <w:r w:rsidR="00E038BF" w:rsidRPr="00FE7622">
        <w:rPr>
          <w:color w:val="auto"/>
          <w:vertAlign w:val="superscript"/>
        </w:rPr>
        <w:t>14–16</w:t>
      </w:r>
      <w:r w:rsidRPr="00FE7622">
        <w:rPr>
          <w:color w:val="auto"/>
        </w:rPr>
        <w:t xml:space="preserve"> </w:t>
      </w:r>
      <w:r w:rsidR="00B729DA" w:rsidRPr="00FE7622">
        <w:rPr>
          <w:color w:val="auto"/>
        </w:rPr>
        <w:t xml:space="preserve">have </w:t>
      </w:r>
      <w:r w:rsidRPr="00FE7622">
        <w:rPr>
          <w:color w:val="auto"/>
        </w:rPr>
        <w:t>suggest</w:t>
      </w:r>
      <w:r w:rsidR="00B729DA" w:rsidRPr="00FE7622">
        <w:rPr>
          <w:color w:val="auto"/>
        </w:rPr>
        <w:t>ed</w:t>
      </w:r>
      <w:r w:rsidRPr="00FE7622">
        <w:rPr>
          <w:color w:val="auto"/>
        </w:rPr>
        <w:t xml:space="preserve"> a possible small benefit on muscle mass; there is currently no convincing evidence of improvement in muscle strength, however, unless protein supplementation is used in conjunction with resistance training.</w:t>
      </w:r>
    </w:p>
    <w:p w14:paraId="3DE00F89" w14:textId="1188A1ED" w:rsidR="00F026E8" w:rsidRPr="00FE7622" w:rsidRDefault="00F026E8" w:rsidP="0015470C">
      <w:pPr>
        <w:pStyle w:val="602TextfoTextstylesTextstyles"/>
        <w:rPr>
          <w:color w:val="auto"/>
        </w:rPr>
      </w:pPr>
      <w:r w:rsidRPr="00FE7622">
        <w:rPr>
          <w:color w:val="auto"/>
        </w:rPr>
        <w:t>Leucine, a branched-chain amino acid, is known to have important regulatory actions in addition to its role as a component of proteins. These effects are thought to be mediated by the mammalian Target of Rapamycin (mTOR) pathway and possibly other pathways.</w:t>
      </w:r>
      <w:r w:rsidR="00E038BF" w:rsidRPr="00FE7622">
        <w:rPr>
          <w:color w:val="auto"/>
          <w:vertAlign w:val="superscript"/>
        </w:rPr>
        <w:t>17</w:t>
      </w:r>
      <w:r w:rsidRPr="00FE7622">
        <w:rPr>
          <w:color w:val="auto"/>
        </w:rPr>
        <w:t xml:space="preserve"> In</w:t>
      </w:r>
      <w:r w:rsidR="005C4418" w:rsidRPr="00FE7622">
        <w:rPr>
          <w:color w:val="auto"/>
        </w:rPr>
        <w:t xml:space="preserve"> </w:t>
      </w:r>
      <w:r w:rsidRPr="00FE7622">
        <w:rPr>
          <w:color w:val="auto"/>
        </w:rPr>
        <w:t>vitro studies</w:t>
      </w:r>
      <w:r w:rsidR="00E038BF" w:rsidRPr="00FE7622">
        <w:rPr>
          <w:color w:val="auto"/>
          <w:vertAlign w:val="superscript"/>
        </w:rPr>
        <w:t>18</w:t>
      </w:r>
      <w:r w:rsidR="00683857" w:rsidRPr="00FE7622">
        <w:rPr>
          <w:color w:val="auto"/>
        </w:rPr>
        <w:t xml:space="preserve"> </w:t>
      </w:r>
      <w:r w:rsidRPr="00FE7622">
        <w:rPr>
          <w:color w:val="auto"/>
        </w:rPr>
        <w:t>demonstrate that leucine both reduces proteolysis and enhances protein synthesis. In healthy older people, adding leucine to a protein meal enhances muscle protein synthesis</w:t>
      </w:r>
      <w:r w:rsidR="00DE2D74" w:rsidRPr="00FE7622">
        <w:rPr>
          <w:color w:val="auto"/>
        </w:rPr>
        <w:t>,</w:t>
      </w:r>
      <w:r w:rsidRPr="00FE7622">
        <w:rPr>
          <w:color w:val="auto"/>
        </w:rPr>
        <w:t xml:space="preserve"> and a dose of 2.5 g of leucine per meal is sufficient to produce this effect.</w:t>
      </w:r>
      <w:r w:rsidR="00E038BF" w:rsidRPr="00FE7622">
        <w:rPr>
          <w:color w:val="auto"/>
          <w:vertAlign w:val="superscript"/>
        </w:rPr>
        <w:t>19</w:t>
      </w:r>
      <w:r w:rsidRPr="00FE7622">
        <w:rPr>
          <w:color w:val="auto"/>
        </w:rPr>
        <w:t xml:space="preserve"> Leucine also stimulates insulin release by pancreatic beta cells,</w:t>
      </w:r>
      <w:r w:rsidR="00E038BF" w:rsidRPr="00FE7622">
        <w:rPr>
          <w:color w:val="auto"/>
          <w:vertAlign w:val="superscript"/>
        </w:rPr>
        <w:t>20</w:t>
      </w:r>
      <w:r w:rsidRPr="00FE7622">
        <w:rPr>
          <w:color w:val="auto"/>
        </w:rPr>
        <w:t xml:space="preserve"> which provides a key anabolic signal for skeletal muscle as well as enabling glucose uptake. At the time the </w:t>
      </w:r>
      <w:r w:rsidRPr="00842651">
        <w:rPr>
          <w:color w:val="auto"/>
        </w:rPr>
        <w:t>LACE</w:t>
      </w:r>
      <w:r w:rsidRPr="00FE7622">
        <w:rPr>
          <w:color w:val="auto"/>
        </w:rPr>
        <w:t xml:space="preserve"> trial</w:t>
      </w:r>
      <w:r w:rsidR="003743D5" w:rsidRPr="00FE7622">
        <w:rPr>
          <w:color w:val="auto"/>
        </w:rPr>
        <w:t xml:space="preserve"> was designed</w:t>
      </w:r>
      <w:r w:rsidRPr="00FE7622">
        <w:rPr>
          <w:color w:val="auto"/>
        </w:rPr>
        <w:t xml:space="preserve">, the existing evidence favoured investigating the effect of leucine in addition to usual care rather than as part of an enhanced protein or mixed amino acid meal, and also favoured investigating </w:t>
      </w:r>
      <w:r w:rsidR="004F6AA2" w:rsidRPr="00FE7622">
        <w:rPr>
          <w:color w:val="auto"/>
        </w:rPr>
        <w:t xml:space="preserve">the use of </w:t>
      </w:r>
      <w:r w:rsidRPr="00FE7622">
        <w:rPr>
          <w:color w:val="auto"/>
        </w:rPr>
        <w:t>leucine in older people who were not undergoing resistance training</w:t>
      </w:r>
      <w:r w:rsidR="003743D5" w:rsidRPr="00FE7622">
        <w:rPr>
          <w:color w:val="auto"/>
        </w:rPr>
        <w:t>. D</w:t>
      </w:r>
      <w:r w:rsidRPr="00FE7622">
        <w:rPr>
          <w:color w:val="auto"/>
        </w:rPr>
        <w:t xml:space="preserve">ata extant at that time suggested that older people with frailty who undertook resistance training did not gain additional benefit on muscle strength (only on muscle mass) from protein supplementation, but those not </w:t>
      </w:r>
      <w:r w:rsidR="003743D5" w:rsidRPr="00FE7622">
        <w:rPr>
          <w:color w:val="auto"/>
        </w:rPr>
        <w:t xml:space="preserve">who did not </w:t>
      </w:r>
      <w:r w:rsidRPr="00FE7622">
        <w:rPr>
          <w:color w:val="auto"/>
        </w:rPr>
        <w:t>undertak</w:t>
      </w:r>
      <w:r w:rsidR="003743D5" w:rsidRPr="00FE7622">
        <w:rPr>
          <w:color w:val="auto"/>
        </w:rPr>
        <w:t>e</w:t>
      </w:r>
      <w:r w:rsidRPr="00FE7622">
        <w:rPr>
          <w:color w:val="auto"/>
        </w:rPr>
        <w:t xml:space="preserve"> resistance training did benefit from protein supplementation.</w:t>
      </w:r>
      <w:r w:rsidR="00E038BF" w:rsidRPr="00FE7622">
        <w:rPr>
          <w:color w:val="auto"/>
          <w:vertAlign w:val="superscript"/>
        </w:rPr>
        <w:t>21,22</w:t>
      </w:r>
    </w:p>
    <w:p w14:paraId="6E45DE34" w14:textId="614AD835" w:rsidR="00E038BF" w:rsidRPr="00FE7622" w:rsidRDefault="00E038BF" w:rsidP="0056334E">
      <w:pPr>
        <w:pStyle w:val="52AheadHeadingsHeadingstyles"/>
      </w:pPr>
      <w:bookmarkStart w:id="24" w:name="_Toc79684477"/>
      <w:r w:rsidRPr="00FE7622">
        <w:lastRenderedPageBreak/>
        <w:t>Rationale for the use of angiotensin-converting enzyme inhibitor drugs</w:t>
      </w:r>
      <w:bookmarkEnd w:id="24"/>
    </w:p>
    <w:p w14:paraId="1C5B6E54" w14:textId="541E452E" w:rsidR="00F026E8" w:rsidRPr="00FE7622" w:rsidRDefault="00F026E8" w:rsidP="0056334E">
      <w:pPr>
        <w:pStyle w:val="602TextfoTextstylesTextstyles"/>
        <w:rPr>
          <w:color w:val="auto"/>
        </w:rPr>
      </w:pPr>
      <w:r w:rsidRPr="00FE7622">
        <w:rPr>
          <w:color w:val="auto"/>
        </w:rPr>
        <w:t>Renin-angiotensin-aldosterone system (RAAS) activity has been implicated in skeletal muscle dysfunction via multiple biological pathways. Angiotensin II impairs endothelial function,</w:t>
      </w:r>
      <w:r w:rsidR="00E038BF" w:rsidRPr="00FE7622">
        <w:rPr>
          <w:color w:val="auto"/>
          <w:vertAlign w:val="superscript"/>
        </w:rPr>
        <w:t>23</w:t>
      </w:r>
      <w:r w:rsidRPr="00FE7622">
        <w:rPr>
          <w:color w:val="auto"/>
        </w:rPr>
        <w:t xml:space="preserve"> a key regulator of blood supply</w:t>
      </w:r>
      <w:r w:rsidR="004A1314" w:rsidRPr="00FE7622">
        <w:rPr>
          <w:color w:val="auto"/>
        </w:rPr>
        <w:t xml:space="preserve"> to the muscles</w:t>
      </w:r>
      <w:r w:rsidRPr="00FE7622">
        <w:rPr>
          <w:color w:val="auto"/>
        </w:rPr>
        <w:t xml:space="preserve">. Angiotensin </w:t>
      </w:r>
      <w:r w:rsidR="004F6AA2" w:rsidRPr="00FE7622">
        <w:rPr>
          <w:color w:val="auto"/>
        </w:rPr>
        <w:t xml:space="preserve">II </w:t>
      </w:r>
      <w:r w:rsidRPr="00FE7622">
        <w:rPr>
          <w:color w:val="auto"/>
        </w:rPr>
        <w:t xml:space="preserve">also drives chronic inflammation, can reduce </w:t>
      </w:r>
      <w:r w:rsidR="00CB0916" w:rsidRPr="00FE7622">
        <w:rPr>
          <w:color w:val="auto"/>
        </w:rPr>
        <w:t>insulin-like growth factor 1 (</w:t>
      </w:r>
      <w:r w:rsidRPr="00842651">
        <w:rPr>
          <w:color w:val="auto"/>
        </w:rPr>
        <w:t>IGF-1</w:t>
      </w:r>
      <w:r w:rsidR="00CB0916" w:rsidRPr="00FE7622">
        <w:rPr>
          <w:color w:val="auto"/>
        </w:rPr>
        <w:t>)</w:t>
      </w:r>
      <w:r w:rsidRPr="00FE7622">
        <w:rPr>
          <w:color w:val="auto"/>
        </w:rPr>
        <w:t xml:space="preserve"> concentrations and </w:t>
      </w:r>
      <w:r w:rsidR="004B7CF7" w:rsidRPr="00FE7622">
        <w:rPr>
          <w:color w:val="auto"/>
        </w:rPr>
        <w:t xml:space="preserve">has an </w:t>
      </w:r>
      <w:r w:rsidRPr="00FE7622">
        <w:rPr>
          <w:color w:val="auto"/>
        </w:rPr>
        <w:t>impact</w:t>
      </w:r>
      <w:r w:rsidR="004B7CF7" w:rsidRPr="00FE7622">
        <w:rPr>
          <w:color w:val="auto"/>
        </w:rPr>
        <w:t xml:space="preserve"> on</w:t>
      </w:r>
      <w:r w:rsidRPr="00FE7622">
        <w:rPr>
          <w:color w:val="auto"/>
        </w:rPr>
        <w:t xml:space="preserve"> mitochondrial function.</w:t>
      </w:r>
      <w:r w:rsidR="00E038BF" w:rsidRPr="00FE7622">
        <w:rPr>
          <w:color w:val="auto"/>
          <w:vertAlign w:val="superscript"/>
        </w:rPr>
        <w:t>24,25</w:t>
      </w:r>
      <w:r w:rsidRPr="00FE7622">
        <w:rPr>
          <w:color w:val="auto"/>
        </w:rPr>
        <w:t xml:space="preserve"> In addition, aldosterone has effects that may impair skeletal muscle function, including reducing serum potassium</w:t>
      </w:r>
      <w:r w:rsidR="00AE0AFE" w:rsidRPr="00FE7622">
        <w:rPr>
          <w:color w:val="auto"/>
        </w:rPr>
        <w:t xml:space="preserve"> concentrations</w:t>
      </w:r>
      <w:r w:rsidRPr="00FE7622">
        <w:rPr>
          <w:color w:val="auto"/>
        </w:rPr>
        <w:t>, causing endothelial dysfunction and promoting fibrosis.</w:t>
      </w:r>
      <w:r w:rsidR="00E038BF" w:rsidRPr="00FE7622">
        <w:rPr>
          <w:color w:val="auto"/>
          <w:vertAlign w:val="superscript"/>
        </w:rPr>
        <w:t>26</w:t>
      </w:r>
    </w:p>
    <w:p w14:paraId="7AA44C93" w14:textId="31475801" w:rsidR="00F026E8" w:rsidRPr="00FE7622" w:rsidRDefault="00F026E8" w:rsidP="0056334E">
      <w:pPr>
        <w:pStyle w:val="602TextfoTextstylesTextstyles"/>
        <w:rPr>
          <w:color w:val="auto"/>
        </w:rPr>
      </w:pPr>
      <w:r w:rsidRPr="00FE7622">
        <w:rPr>
          <w:color w:val="auto"/>
        </w:rPr>
        <w:t xml:space="preserve">Conversely, </w:t>
      </w:r>
      <w:r w:rsidR="002C32A0" w:rsidRPr="00FE7622">
        <w:rPr>
          <w:color w:val="auto"/>
        </w:rPr>
        <w:t xml:space="preserve">angiotensin-converting enzyme inhibitor </w:t>
      </w:r>
      <w:r w:rsidR="002C32A0">
        <w:rPr>
          <w:color w:val="auto"/>
        </w:rPr>
        <w:t>(</w:t>
      </w:r>
      <w:r w:rsidRPr="00842651">
        <w:rPr>
          <w:color w:val="auto"/>
        </w:rPr>
        <w:t>ACEi</w:t>
      </w:r>
      <w:r w:rsidR="002C32A0" w:rsidRPr="00842651">
        <w:rPr>
          <w:color w:val="auto"/>
        </w:rPr>
        <w:t>)</w:t>
      </w:r>
      <w:r w:rsidRPr="00FE7622">
        <w:rPr>
          <w:color w:val="auto"/>
        </w:rPr>
        <w:t xml:space="preserve"> drugs may exert benefits on skeletal muscle function via multiple mechanisms. </w:t>
      </w:r>
      <w:r w:rsidRPr="00842651">
        <w:rPr>
          <w:color w:val="auto"/>
        </w:rPr>
        <w:t>ACEi</w:t>
      </w:r>
      <w:r w:rsidRPr="00FE7622">
        <w:rPr>
          <w:color w:val="auto"/>
        </w:rPr>
        <w:t xml:space="preserve"> </w:t>
      </w:r>
      <w:r w:rsidR="00B728A9" w:rsidRPr="00FE7622">
        <w:rPr>
          <w:color w:val="auto"/>
        </w:rPr>
        <w:t xml:space="preserve">drugs </w:t>
      </w:r>
      <w:r w:rsidRPr="00FE7622">
        <w:rPr>
          <w:color w:val="auto"/>
        </w:rPr>
        <w:t>improve endothelial dysfunction, promote angiogenesis and have anti-inflammatory actions.</w:t>
      </w:r>
      <w:r w:rsidR="00E038BF" w:rsidRPr="00FE7622">
        <w:rPr>
          <w:color w:val="auto"/>
          <w:vertAlign w:val="superscript"/>
        </w:rPr>
        <w:t>27</w:t>
      </w:r>
      <w:r w:rsidRPr="00FE7622">
        <w:rPr>
          <w:color w:val="auto"/>
        </w:rPr>
        <w:t xml:space="preserve"> They have been shown to improve mitochondrial function, increase </w:t>
      </w:r>
      <w:r w:rsidRPr="00842651">
        <w:rPr>
          <w:color w:val="auto"/>
        </w:rPr>
        <w:t>IGF-1</w:t>
      </w:r>
      <w:r w:rsidRPr="00FE7622">
        <w:rPr>
          <w:color w:val="auto"/>
        </w:rPr>
        <w:t xml:space="preserve"> levels and suppress </w:t>
      </w:r>
      <w:r w:rsidR="00EF596F" w:rsidRPr="00FE7622">
        <w:rPr>
          <w:color w:val="auto"/>
        </w:rPr>
        <w:t xml:space="preserve">levels of </w:t>
      </w:r>
      <w:r w:rsidRPr="00FE7622">
        <w:rPr>
          <w:color w:val="auto"/>
        </w:rPr>
        <w:t>proinflammatory cytokine</w:t>
      </w:r>
      <w:r w:rsidR="00EF596F" w:rsidRPr="00FE7622">
        <w:rPr>
          <w:color w:val="auto"/>
        </w:rPr>
        <w:t>s</w:t>
      </w:r>
      <w:r w:rsidR="00BF00F3" w:rsidRPr="00FE7622">
        <w:rPr>
          <w:color w:val="auto"/>
        </w:rPr>
        <w:t>,</w:t>
      </w:r>
      <w:r w:rsidRPr="00FE7622">
        <w:rPr>
          <w:color w:val="auto"/>
        </w:rPr>
        <w:t xml:space="preserve"> including </w:t>
      </w:r>
      <w:r w:rsidRPr="00842651">
        <w:rPr>
          <w:color w:val="auto"/>
        </w:rPr>
        <w:t>IL</w:t>
      </w:r>
      <w:r w:rsidRPr="00FE7622">
        <w:rPr>
          <w:color w:val="auto"/>
        </w:rPr>
        <w:t>-6</w:t>
      </w:r>
      <w:r w:rsidR="00B728A9" w:rsidRPr="00FE7622">
        <w:rPr>
          <w:color w:val="auto"/>
        </w:rPr>
        <w:t>,</w:t>
      </w:r>
      <w:r w:rsidR="00E038BF" w:rsidRPr="00FE7622">
        <w:rPr>
          <w:color w:val="auto"/>
          <w:vertAlign w:val="superscript"/>
        </w:rPr>
        <w:t>28</w:t>
      </w:r>
      <w:r w:rsidRPr="00FE7622">
        <w:rPr>
          <w:color w:val="auto"/>
        </w:rPr>
        <w:t xml:space="preserve"> thought to be a key inflammatory mediator of sarcopenia. </w:t>
      </w:r>
      <w:r w:rsidRPr="00842651">
        <w:rPr>
          <w:color w:val="auto"/>
        </w:rPr>
        <w:t>ACEi</w:t>
      </w:r>
      <w:r w:rsidRPr="00FE7622">
        <w:rPr>
          <w:color w:val="auto"/>
        </w:rPr>
        <w:t xml:space="preserve"> </w:t>
      </w:r>
      <w:r w:rsidR="00D74C67" w:rsidRPr="00FE7622">
        <w:rPr>
          <w:color w:val="auto"/>
        </w:rPr>
        <w:t xml:space="preserve">drugs </w:t>
      </w:r>
      <w:r w:rsidRPr="00FE7622">
        <w:rPr>
          <w:color w:val="auto"/>
        </w:rPr>
        <w:t>have also been shown to promote skeletal muscle glucose uptake.</w:t>
      </w:r>
      <w:r w:rsidR="00E038BF" w:rsidRPr="00FE7622">
        <w:rPr>
          <w:color w:val="auto"/>
          <w:vertAlign w:val="superscript"/>
        </w:rPr>
        <w:t>29</w:t>
      </w:r>
    </w:p>
    <w:p w14:paraId="0C1AAF39" w14:textId="7FF294ED" w:rsidR="00F026E8" w:rsidRPr="00FE7622" w:rsidRDefault="00F026E8" w:rsidP="0056334E">
      <w:pPr>
        <w:pStyle w:val="602TextfoTextstylesTextstyles"/>
        <w:rPr>
          <w:color w:val="auto"/>
        </w:rPr>
      </w:pPr>
      <w:r w:rsidRPr="00FE7622">
        <w:rPr>
          <w:color w:val="auto"/>
        </w:rPr>
        <w:t xml:space="preserve">There is some evidence that these multiple biological functions may indeed translate into clinical benefit. We have previously shown that the </w:t>
      </w:r>
      <w:r w:rsidRPr="00842651">
        <w:rPr>
          <w:color w:val="auto"/>
        </w:rPr>
        <w:t>ACEi</w:t>
      </w:r>
      <w:r w:rsidRPr="00FE7622">
        <w:rPr>
          <w:color w:val="auto"/>
        </w:rPr>
        <w:t xml:space="preserve"> perindopril produces a significant improvement in physical function </w:t>
      </w:r>
      <w:r w:rsidR="007B4D2A" w:rsidRPr="00FE7622">
        <w:rPr>
          <w:color w:val="auto"/>
        </w:rPr>
        <w:t>[</w:t>
      </w:r>
      <w:r w:rsidRPr="00FE7622">
        <w:rPr>
          <w:color w:val="auto"/>
        </w:rPr>
        <w:t xml:space="preserve">31 m improvement in </w:t>
      </w:r>
      <w:r w:rsidR="00B728A9" w:rsidRPr="00FE7622">
        <w:rPr>
          <w:color w:val="auto"/>
        </w:rPr>
        <w:t>6</w:t>
      </w:r>
      <w:r w:rsidRPr="00FE7622">
        <w:rPr>
          <w:color w:val="auto"/>
        </w:rPr>
        <w:t>-minute walk</w:t>
      </w:r>
      <w:r w:rsidR="0009536A" w:rsidRPr="00FE7622">
        <w:rPr>
          <w:color w:val="auto"/>
        </w:rPr>
        <w:t xml:space="preserve"> distance</w:t>
      </w:r>
      <w:r w:rsidRPr="00FE7622">
        <w:rPr>
          <w:color w:val="auto"/>
        </w:rPr>
        <w:t xml:space="preserve">; improvement in quality of life of 0.09 points on the </w:t>
      </w:r>
      <w:r w:rsidR="007B4D2A" w:rsidRPr="00FE7622">
        <w:rPr>
          <w:color w:val="auto"/>
        </w:rPr>
        <w:t>EuroQol-5 Dimensions, three-level version (</w:t>
      </w:r>
      <w:r w:rsidRPr="00842651">
        <w:rPr>
          <w:color w:val="auto"/>
        </w:rPr>
        <w:t>EQ</w:t>
      </w:r>
      <w:r w:rsidR="00B728A9" w:rsidRPr="00842651">
        <w:rPr>
          <w:color w:val="auto"/>
        </w:rPr>
        <w:t>-</w:t>
      </w:r>
      <w:r w:rsidRPr="00842651">
        <w:rPr>
          <w:color w:val="auto"/>
        </w:rPr>
        <w:t>5D</w:t>
      </w:r>
      <w:r w:rsidR="007B4D2A" w:rsidRPr="00842651">
        <w:rPr>
          <w:color w:val="auto"/>
        </w:rPr>
        <w:t>-3L</w:t>
      </w:r>
      <w:r w:rsidR="007B4D2A" w:rsidRPr="00FE7622">
        <w:rPr>
          <w:color w:val="auto"/>
        </w:rPr>
        <w:t>),</w:t>
      </w:r>
      <w:r w:rsidRPr="00FE7622">
        <w:rPr>
          <w:color w:val="auto"/>
        </w:rPr>
        <w:t xml:space="preserve"> tool</w:t>
      </w:r>
      <w:r w:rsidR="007B4D2A" w:rsidRPr="00FE7622">
        <w:rPr>
          <w:color w:val="auto"/>
        </w:rPr>
        <w:t>]</w:t>
      </w:r>
      <w:r w:rsidRPr="00FE7622">
        <w:rPr>
          <w:color w:val="auto"/>
        </w:rPr>
        <w:t xml:space="preserve"> in functionally impaired older people (mean age</w:t>
      </w:r>
      <w:r w:rsidR="00B728A9" w:rsidRPr="00FE7622">
        <w:rPr>
          <w:color w:val="auto"/>
        </w:rPr>
        <w:t xml:space="preserve"> of</w:t>
      </w:r>
      <w:r w:rsidRPr="00FE7622">
        <w:rPr>
          <w:color w:val="auto"/>
        </w:rPr>
        <w:t xml:space="preserve"> 79 years).</w:t>
      </w:r>
      <w:r w:rsidR="00E038BF" w:rsidRPr="00FE7622">
        <w:rPr>
          <w:color w:val="auto"/>
          <w:vertAlign w:val="superscript"/>
        </w:rPr>
        <w:t>30</w:t>
      </w:r>
      <w:r w:rsidRPr="00FE7622">
        <w:rPr>
          <w:color w:val="auto"/>
        </w:rPr>
        <w:t xml:space="preserve"> This is comparable to </w:t>
      </w:r>
      <w:r w:rsidR="00E473E0" w:rsidRPr="00FE7622">
        <w:rPr>
          <w:color w:val="auto"/>
        </w:rPr>
        <w:t>the improvement</w:t>
      </w:r>
      <w:r w:rsidRPr="00FE7622">
        <w:rPr>
          <w:color w:val="auto"/>
        </w:rPr>
        <w:t xml:space="preserve"> achieved </w:t>
      </w:r>
      <w:r w:rsidR="00B728A9" w:rsidRPr="00FE7622">
        <w:rPr>
          <w:color w:val="auto"/>
        </w:rPr>
        <w:t>with</w:t>
      </w:r>
      <w:r w:rsidRPr="00FE7622">
        <w:rPr>
          <w:color w:val="auto"/>
        </w:rPr>
        <w:t xml:space="preserve"> 6 months of exercise training. Observational studies report better muscle strength and larger lower extremity mass </w:t>
      </w:r>
      <w:r w:rsidR="00F623C4" w:rsidRPr="00FE7622">
        <w:rPr>
          <w:color w:val="auto"/>
        </w:rPr>
        <w:t>among</w:t>
      </w:r>
      <w:r w:rsidRPr="00FE7622">
        <w:rPr>
          <w:color w:val="auto"/>
        </w:rPr>
        <w:t xml:space="preserve"> older people taking ACE</w:t>
      </w:r>
      <w:r w:rsidR="00121D3B" w:rsidRPr="00FE7622">
        <w:rPr>
          <w:color w:val="auto"/>
        </w:rPr>
        <w:t>i</w:t>
      </w:r>
      <w:r w:rsidR="00E038BF" w:rsidRPr="00FE7622">
        <w:rPr>
          <w:color w:val="auto"/>
          <w:vertAlign w:val="superscript"/>
        </w:rPr>
        <w:t>31</w:t>
      </w:r>
      <w:r w:rsidRPr="00FE7622">
        <w:rPr>
          <w:color w:val="auto"/>
        </w:rPr>
        <w:t xml:space="preserve"> and with </w:t>
      </w:r>
      <w:r w:rsidR="00525C8B" w:rsidRPr="00FE7622">
        <w:rPr>
          <w:color w:val="auto"/>
        </w:rPr>
        <w:t>angiotensin receptor blockers (</w:t>
      </w:r>
      <w:r w:rsidRPr="00842651">
        <w:rPr>
          <w:color w:val="auto"/>
        </w:rPr>
        <w:t>ARBs</w:t>
      </w:r>
      <w:r w:rsidR="00525C8B" w:rsidRPr="00FE7622">
        <w:rPr>
          <w:color w:val="auto"/>
        </w:rPr>
        <w:t>)</w:t>
      </w:r>
      <w:r w:rsidRPr="00FE7622">
        <w:rPr>
          <w:color w:val="auto"/>
        </w:rPr>
        <w:t>;</w:t>
      </w:r>
      <w:r w:rsidR="00E038BF" w:rsidRPr="00FE7622">
        <w:rPr>
          <w:color w:val="auto"/>
          <w:vertAlign w:val="superscript"/>
        </w:rPr>
        <w:t>32</w:t>
      </w:r>
      <w:r w:rsidRPr="00FE7622">
        <w:rPr>
          <w:color w:val="auto"/>
        </w:rPr>
        <w:t xml:space="preserve"> centrally acting </w:t>
      </w:r>
      <w:r w:rsidRPr="00842651">
        <w:rPr>
          <w:color w:val="auto"/>
        </w:rPr>
        <w:t>ACEi</w:t>
      </w:r>
      <w:r w:rsidRPr="00FE7622">
        <w:rPr>
          <w:color w:val="auto"/>
        </w:rPr>
        <w:t xml:space="preserve"> </w:t>
      </w:r>
      <w:r w:rsidR="00F623C4" w:rsidRPr="00FE7622">
        <w:rPr>
          <w:color w:val="auto"/>
        </w:rPr>
        <w:t xml:space="preserve">drugs </w:t>
      </w:r>
      <w:r w:rsidRPr="00FE7622">
        <w:rPr>
          <w:color w:val="auto"/>
        </w:rPr>
        <w:t>are associated with a slower decline in activities of daily living in people with dementia.</w:t>
      </w:r>
      <w:r w:rsidR="00E038BF" w:rsidRPr="00FE7622">
        <w:rPr>
          <w:color w:val="auto"/>
          <w:vertAlign w:val="superscript"/>
        </w:rPr>
        <w:t>33</w:t>
      </w:r>
    </w:p>
    <w:p w14:paraId="76C0CF15" w14:textId="18483D23" w:rsidR="00F026E8" w:rsidRPr="00FE7622" w:rsidRDefault="00F026E8" w:rsidP="0056334E">
      <w:pPr>
        <w:pStyle w:val="602TextfoTextstylesTextstyles"/>
        <w:rPr>
          <w:color w:val="auto"/>
        </w:rPr>
      </w:pPr>
      <w:r w:rsidRPr="00FE7622">
        <w:rPr>
          <w:color w:val="auto"/>
        </w:rPr>
        <w:t xml:space="preserve">Studies of </w:t>
      </w:r>
      <w:r w:rsidRPr="00842651">
        <w:rPr>
          <w:color w:val="auto"/>
        </w:rPr>
        <w:t>ACEi</w:t>
      </w:r>
      <w:r w:rsidRPr="00FE7622">
        <w:rPr>
          <w:color w:val="auto"/>
        </w:rPr>
        <w:t xml:space="preserve"> </w:t>
      </w:r>
      <w:r w:rsidR="00E473E0" w:rsidRPr="00FE7622">
        <w:rPr>
          <w:color w:val="auto"/>
        </w:rPr>
        <w:t xml:space="preserve">drugs </w:t>
      </w:r>
      <w:r w:rsidRPr="00FE7622">
        <w:rPr>
          <w:color w:val="auto"/>
        </w:rPr>
        <w:t>in fitter older people have not shown positive results</w:t>
      </w:r>
      <w:r w:rsidR="00BB0A3D" w:rsidRPr="00FE7622">
        <w:rPr>
          <w:color w:val="auto"/>
        </w:rPr>
        <w:t>,</w:t>
      </w:r>
      <w:r w:rsidRPr="00FE7622">
        <w:rPr>
          <w:color w:val="auto"/>
        </w:rPr>
        <w:t xml:space="preserve"> which suggests that the effects of </w:t>
      </w:r>
      <w:r w:rsidRPr="00842651">
        <w:rPr>
          <w:color w:val="auto"/>
        </w:rPr>
        <w:t>ACEi</w:t>
      </w:r>
      <w:r w:rsidRPr="00FE7622">
        <w:rPr>
          <w:color w:val="auto"/>
        </w:rPr>
        <w:t xml:space="preserve"> </w:t>
      </w:r>
      <w:r w:rsidR="00E473E0" w:rsidRPr="00FE7622">
        <w:rPr>
          <w:color w:val="auto"/>
        </w:rPr>
        <w:t xml:space="preserve">drugs </w:t>
      </w:r>
      <w:r w:rsidRPr="00FE7622">
        <w:rPr>
          <w:color w:val="auto"/>
        </w:rPr>
        <w:t xml:space="preserve">may be more relevant to frailer people. Our previous work suggested that addition of </w:t>
      </w:r>
      <w:r w:rsidRPr="00842651">
        <w:rPr>
          <w:color w:val="auto"/>
        </w:rPr>
        <w:t>ACEi</w:t>
      </w:r>
      <w:r w:rsidRPr="00FE7622">
        <w:rPr>
          <w:color w:val="auto"/>
        </w:rPr>
        <w:t xml:space="preserve"> </w:t>
      </w:r>
      <w:r w:rsidR="00E473E0" w:rsidRPr="00FE7622">
        <w:rPr>
          <w:color w:val="auto"/>
        </w:rPr>
        <w:t xml:space="preserve">drugs </w:t>
      </w:r>
      <w:r w:rsidRPr="00FE7622">
        <w:rPr>
          <w:color w:val="auto"/>
        </w:rPr>
        <w:t xml:space="preserve">to exercise training </w:t>
      </w:r>
      <w:r w:rsidR="00C95781" w:rsidRPr="00FE7622">
        <w:rPr>
          <w:color w:val="auto"/>
        </w:rPr>
        <w:t xml:space="preserve">in older people </w:t>
      </w:r>
      <w:r w:rsidRPr="00FE7622">
        <w:rPr>
          <w:color w:val="auto"/>
        </w:rPr>
        <w:t>did not appear to enhance the effects of exercise training.</w:t>
      </w:r>
      <w:r w:rsidR="00E038BF" w:rsidRPr="00FE7622">
        <w:rPr>
          <w:color w:val="auto"/>
          <w:vertAlign w:val="superscript"/>
        </w:rPr>
        <w:t>34</w:t>
      </w:r>
      <w:r w:rsidRPr="00FE7622">
        <w:rPr>
          <w:color w:val="auto"/>
        </w:rPr>
        <w:t xml:space="preserve"> </w:t>
      </w:r>
      <w:r w:rsidR="00C95781" w:rsidRPr="00FE7622">
        <w:rPr>
          <w:color w:val="auto"/>
        </w:rPr>
        <w:t>W</w:t>
      </w:r>
      <w:r w:rsidRPr="00FE7622">
        <w:rPr>
          <w:color w:val="auto"/>
        </w:rPr>
        <w:t xml:space="preserve">hen the </w:t>
      </w:r>
      <w:r w:rsidRPr="00842651">
        <w:rPr>
          <w:color w:val="auto"/>
        </w:rPr>
        <w:t>LACE</w:t>
      </w:r>
      <w:r w:rsidRPr="00FE7622">
        <w:rPr>
          <w:color w:val="auto"/>
        </w:rPr>
        <w:t xml:space="preserve"> trial was designed (2013), those findings led us to choose to study </w:t>
      </w:r>
      <w:r w:rsidR="00C95781" w:rsidRPr="00FE7622">
        <w:rPr>
          <w:color w:val="auto"/>
        </w:rPr>
        <w:t xml:space="preserve">the use of </w:t>
      </w:r>
      <w:r w:rsidRPr="00842651">
        <w:rPr>
          <w:color w:val="auto"/>
        </w:rPr>
        <w:t>ACEi</w:t>
      </w:r>
      <w:r w:rsidRPr="00FE7622">
        <w:rPr>
          <w:color w:val="auto"/>
        </w:rPr>
        <w:t xml:space="preserve"> </w:t>
      </w:r>
      <w:r w:rsidR="00C95781" w:rsidRPr="00FE7622">
        <w:rPr>
          <w:color w:val="auto"/>
        </w:rPr>
        <w:t>drugs</w:t>
      </w:r>
      <w:r w:rsidRPr="00FE7622">
        <w:rPr>
          <w:color w:val="auto"/>
        </w:rPr>
        <w:t xml:space="preserve"> in older people who were not undertaking resistance training.</w:t>
      </w:r>
    </w:p>
    <w:p w14:paraId="385A3D87" w14:textId="7FD93FA5" w:rsidR="00E038BF" w:rsidRPr="00FE7622" w:rsidRDefault="00E038BF" w:rsidP="0056334E">
      <w:pPr>
        <w:pStyle w:val="52AheadHeadingsHeadingstyles"/>
      </w:pPr>
      <w:bookmarkStart w:id="25" w:name="_Toc79684478"/>
      <w:r w:rsidRPr="00FE7622">
        <w:t>Imperative for the current trial</w:t>
      </w:r>
      <w:bookmarkEnd w:id="25"/>
    </w:p>
    <w:p w14:paraId="78F725C0" w14:textId="2548672F" w:rsidR="00E038BF" w:rsidRPr="00FE7622" w:rsidRDefault="00E038BF" w:rsidP="0056334E">
      <w:pPr>
        <w:pStyle w:val="53BheadHeadingsHeadingstyles"/>
      </w:pPr>
      <w:bookmarkStart w:id="26" w:name="_Toc79684479"/>
      <w:r w:rsidRPr="00FE7622">
        <w:t>Trial objectives</w:t>
      </w:r>
      <w:bookmarkEnd w:id="26"/>
    </w:p>
    <w:p w14:paraId="0CC80396" w14:textId="265E3711" w:rsidR="00F026E8" w:rsidRPr="00FE7622" w:rsidRDefault="00F026E8" w:rsidP="0056334E">
      <w:pPr>
        <w:pStyle w:val="602TextfoTextstylesTextstyles"/>
        <w:rPr>
          <w:color w:val="auto"/>
        </w:rPr>
      </w:pPr>
      <w:r w:rsidRPr="00FE7622">
        <w:rPr>
          <w:color w:val="auto"/>
        </w:rPr>
        <w:t xml:space="preserve">As previously </w:t>
      </w:r>
      <w:r w:rsidR="008F55DF" w:rsidRPr="00FE7622">
        <w:rPr>
          <w:color w:val="auto"/>
        </w:rPr>
        <w:t>described</w:t>
      </w:r>
      <w:r w:rsidRPr="00FE7622">
        <w:rPr>
          <w:color w:val="auto"/>
        </w:rPr>
        <w:t>,</w:t>
      </w:r>
      <w:r w:rsidR="00E038BF" w:rsidRPr="00FE7622">
        <w:rPr>
          <w:color w:val="auto"/>
          <w:vertAlign w:val="superscript"/>
        </w:rPr>
        <w:t>38</w:t>
      </w:r>
      <w:r w:rsidRPr="00FE7622">
        <w:rPr>
          <w:color w:val="auto"/>
        </w:rPr>
        <w:t xml:space="preserve"> the primary objective of the </w:t>
      </w:r>
      <w:r w:rsidRPr="00842651">
        <w:rPr>
          <w:color w:val="auto"/>
        </w:rPr>
        <w:t>LACE</w:t>
      </w:r>
      <w:r w:rsidRPr="00FE7622">
        <w:rPr>
          <w:color w:val="auto"/>
        </w:rPr>
        <w:t xml:space="preserve"> trial was to determine the efficacy of leucine and perindopril in improving physical function in older people with sarcopenia diagnosed using the </w:t>
      </w:r>
      <w:r w:rsidRPr="00842651">
        <w:rPr>
          <w:color w:val="auto"/>
        </w:rPr>
        <w:t>EWGSOP</w:t>
      </w:r>
      <w:r w:rsidRPr="00FE7622">
        <w:rPr>
          <w:color w:val="auto"/>
        </w:rPr>
        <w:t xml:space="preserve"> </w:t>
      </w:r>
      <w:r w:rsidR="00AF7EB1" w:rsidRPr="00FE7622">
        <w:rPr>
          <w:color w:val="auto"/>
        </w:rPr>
        <w:t xml:space="preserve">(European Working Group on Sarcopenia in Older People) </w:t>
      </w:r>
      <w:r w:rsidRPr="00FE7622">
        <w:rPr>
          <w:color w:val="auto"/>
        </w:rPr>
        <w:t xml:space="preserve">definition. The secondary objectives were to evaluate the effect of leucine and perindopril on muscle mass in older people and to evaluate </w:t>
      </w:r>
      <w:r w:rsidR="0071497A" w:rsidRPr="00FE7622">
        <w:rPr>
          <w:color w:val="auto"/>
        </w:rPr>
        <w:t xml:space="preserve">the </w:t>
      </w:r>
      <w:r w:rsidRPr="00FE7622">
        <w:rPr>
          <w:color w:val="auto"/>
        </w:rPr>
        <w:t xml:space="preserve">biomarkers that can predict </w:t>
      </w:r>
      <w:r w:rsidR="00EF14D2" w:rsidRPr="00FE7622">
        <w:rPr>
          <w:color w:val="auto"/>
        </w:rPr>
        <w:t xml:space="preserve">the </w:t>
      </w:r>
      <w:r w:rsidRPr="00FE7622">
        <w:rPr>
          <w:color w:val="auto"/>
        </w:rPr>
        <w:t xml:space="preserve">response to leucine and perindopril </w:t>
      </w:r>
      <w:r w:rsidR="00BF7C84" w:rsidRPr="00FE7622">
        <w:rPr>
          <w:color w:val="auto"/>
        </w:rPr>
        <w:t>among</w:t>
      </w:r>
      <w:r w:rsidRPr="00FE7622">
        <w:rPr>
          <w:color w:val="auto"/>
        </w:rPr>
        <w:t xml:space="preserve"> patients with sarcopenia. In addition, the </w:t>
      </w:r>
      <w:r w:rsidRPr="00842651">
        <w:rPr>
          <w:color w:val="auto"/>
        </w:rPr>
        <w:t>LACE</w:t>
      </w:r>
      <w:r w:rsidRPr="00FE7622">
        <w:rPr>
          <w:color w:val="auto"/>
        </w:rPr>
        <w:t xml:space="preserve"> programme aimed to explore the most effective and efficient ways to find, screen and recruit older people with sarcopenia into clinical trials and to build capacity in the UK for delivering trials for people living with sarcopenia.</w:t>
      </w:r>
    </w:p>
    <w:p w14:paraId="6304DD63" w14:textId="5F61F964" w:rsidR="00E038BF" w:rsidRPr="00FE7622" w:rsidRDefault="00E038BF" w:rsidP="0056334E">
      <w:pPr>
        <w:pStyle w:val="43ChaptertitleHeadingsHeadingstyles"/>
      </w:pPr>
      <w:bookmarkStart w:id="27" w:name="_Toc79684480"/>
      <w:r w:rsidRPr="00FE7622">
        <w:lastRenderedPageBreak/>
        <w:t>Chapter 2</w:t>
      </w:r>
      <w:r w:rsidRPr="00FE7622">
        <w:t> </w:t>
      </w:r>
      <w:r w:rsidRPr="00FE7622">
        <w:t>Trial design</w:t>
      </w:r>
      <w:bookmarkEnd w:id="27"/>
    </w:p>
    <w:p w14:paraId="1FD7708B" w14:textId="4D3FBC03" w:rsidR="00F026E8" w:rsidRPr="00FE7622" w:rsidRDefault="00F026E8" w:rsidP="0056334E">
      <w:pPr>
        <w:pStyle w:val="601TextdropcapTextstylesTextstyles"/>
        <w:rPr>
          <w:color w:val="auto"/>
        </w:rPr>
      </w:pPr>
      <w:r w:rsidRPr="00FE7622">
        <w:rPr>
          <w:color w:val="auto"/>
        </w:rPr>
        <w:t xml:space="preserve">The trial was a </w:t>
      </w:r>
      <w:r w:rsidR="00624C9F" w:rsidRPr="00FE7622">
        <w:rPr>
          <w:color w:val="auto"/>
        </w:rPr>
        <w:t xml:space="preserve">placebo-controlled, </w:t>
      </w:r>
      <w:r w:rsidRPr="00FE7622">
        <w:rPr>
          <w:color w:val="auto"/>
        </w:rPr>
        <w:t>parallel-group</w:t>
      </w:r>
      <w:r w:rsidR="00624C9F" w:rsidRPr="00FE7622">
        <w:rPr>
          <w:color w:val="auto"/>
        </w:rPr>
        <w:t>, double-blind, randomised</w:t>
      </w:r>
      <w:r w:rsidRPr="00FE7622">
        <w:rPr>
          <w:color w:val="auto"/>
        </w:rPr>
        <w:t xml:space="preserve"> trial, analysed according to intention-to-treat principles. A </w:t>
      </w:r>
      <w:r w:rsidR="00BF7C84" w:rsidRPr="00FE7622">
        <w:rPr>
          <w:color w:val="auto"/>
        </w:rPr>
        <w:t>2 × 2</w:t>
      </w:r>
      <w:r w:rsidRPr="00FE7622">
        <w:rPr>
          <w:color w:val="auto"/>
        </w:rPr>
        <w:t xml:space="preserve"> factorial design was employed to test the efficacy of two treatments in a single trial; existing evidence did not suggest that there would be interaction between the two test treatments. Treatment and follow-up were planned to last for </w:t>
      </w:r>
      <w:r w:rsidR="00BF7C84" w:rsidRPr="00FE7622">
        <w:rPr>
          <w:color w:val="auto"/>
        </w:rPr>
        <w:t>1</w:t>
      </w:r>
      <w:r w:rsidRPr="00FE7622">
        <w:rPr>
          <w:color w:val="auto"/>
        </w:rPr>
        <w:t xml:space="preserve"> year for each participant.</w:t>
      </w:r>
    </w:p>
    <w:p w14:paraId="55548AF2" w14:textId="36A859C9" w:rsidR="00E038BF" w:rsidRPr="00FE7622" w:rsidRDefault="00E038BF" w:rsidP="0056334E">
      <w:pPr>
        <w:pStyle w:val="52AheadHeadingsHeadingstyles"/>
      </w:pPr>
      <w:bookmarkStart w:id="28" w:name="_Toc79684481"/>
      <w:r w:rsidRPr="00FE7622">
        <w:t>Participants</w:t>
      </w:r>
      <w:bookmarkEnd w:id="28"/>
    </w:p>
    <w:p w14:paraId="27633E8E" w14:textId="09F71EF7" w:rsidR="00E038BF" w:rsidRPr="00FE7622" w:rsidRDefault="00E038BF" w:rsidP="0056334E">
      <w:pPr>
        <w:pStyle w:val="53BheadHeadingsHeadingstyles"/>
      </w:pPr>
      <w:bookmarkStart w:id="29" w:name="_Toc79684482"/>
      <w:r w:rsidRPr="00FE7622">
        <w:t>Inclusion criteria</w:t>
      </w:r>
      <w:bookmarkEnd w:id="29"/>
    </w:p>
    <w:p w14:paraId="042558F5" w14:textId="1F5A5691" w:rsidR="00F026E8" w:rsidRPr="00FE7622" w:rsidRDefault="00F026E8" w:rsidP="0056334E">
      <w:pPr>
        <w:pStyle w:val="602TextfoTextstylesTextstyles"/>
        <w:rPr>
          <w:color w:val="auto"/>
        </w:rPr>
      </w:pPr>
      <w:r w:rsidRPr="00FE7622">
        <w:rPr>
          <w:color w:val="auto"/>
        </w:rPr>
        <w:t xml:space="preserve">Participants were eligible for inclusion if they were aged </w:t>
      </w:r>
      <w:r w:rsidR="00BF13CC" w:rsidRPr="00FE7622">
        <w:rPr>
          <w:color w:val="auto"/>
        </w:rPr>
        <w:t>≥ </w:t>
      </w:r>
      <w:r w:rsidRPr="00FE7622">
        <w:rPr>
          <w:color w:val="auto"/>
        </w:rPr>
        <w:t xml:space="preserve">70 years and had sarcopenia </w:t>
      </w:r>
      <w:r w:rsidR="00624C9F" w:rsidRPr="00FE7622">
        <w:rPr>
          <w:color w:val="auto"/>
        </w:rPr>
        <w:t>in accordance with</w:t>
      </w:r>
      <w:r w:rsidRPr="00FE7622">
        <w:rPr>
          <w:color w:val="auto"/>
        </w:rPr>
        <w:t xml:space="preserve"> </w:t>
      </w:r>
      <w:r w:rsidR="00BF7C84" w:rsidRPr="00FE7622">
        <w:rPr>
          <w:color w:val="auto"/>
        </w:rPr>
        <w:t xml:space="preserve">the </w:t>
      </w:r>
      <w:r w:rsidRPr="00842651">
        <w:rPr>
          <w:color w:val="auto"/>
        </w:rPr>
        <w:t>EWGSOP</w:t>
      </w:r>
      <w:r w:rsidRPr="00FE7622">
        <w:rPr>
          <w:color w:val="auto"/>
        </w:rPr>
        <w:t xml:space="preserve"> 2010 definition of low muscle strength and low muscle mass.</w:t>
      </w:r>
      <w:r w:rsidR="00E038BF" w:rsidRPr="00FE7622">
        <w:rPr>
          <w:color w:val="auto"/>
          <w:vertAlign w:val="superscript"/>
        </w:rPr>
        <w:t>35</w:t>
      </w:r>
      <w:r w:rsidRPr="00FE7622">
        <w:rPr>
          <w:color w:val="auto"/>
        </w:rPr>
        <w:t xml:space="preserve"> This definition </w:t>
      </w:r>
      <w:r w:rsidR="00BF7C84" w:rsidRPr="00FE7622">
        <w:rPr>
          <w:color w:val="auto"/>
        </w:rPr>
        <w:t xml:space="preserve">of sarcopenia </w:t>
      </w:r>
      <w:r w:rsidRPr="00FE7622">
        <w:rPr>
          <w:color w:val="auto"/>
        </w:rPr>
        <w:t xml:space="preserve">was chosen as the most commonly applied at the time the </w:t>
      </w:r>
      <w:r w:rsidRPr="00842651">
        <w:rPr>
          <w:color w:val="auto"/>
        </w:rPr>
        <w:t>LACE</w:t>
      </w:r>
      <w:r w:rsidRPr="00FE7622">
        <w:rPr>
          <w:color w:val="auto"/>
        </w:rPr>
        <w:t xml:space="preserve"> trial was designed. Low muscle strength was operationalised as either low gait speed (&lt; 0.8 m/s</w:t>
      </w:r>
      <w:r w:rsidR="00BF13CC" w:rsidRPr="00FE7622">
        <w:rPr>
          <w:color w:val="auto"/>
        </w:rPr>
        <w:t>econd</w:t>
      </w:r>
      <w:r w:rsidRPr="00FE7622">
        <w:rPr>
          <w:color w:val="auto"/>
        </w:rPr>
        <w:t xml:space="preserve"> on </w:t>
      </w:r>
      <w:r w:rsidR="00513347" w:rsidRPr="00FE7622">
        <w:rPr>
          <w:color w:val="auto"/>
        </w:rPr>
        <w:t xml:space="preserve">a </w:t>
      </w:r>
      <w:r w:rsidRPr="00FE7622">
        <w:rPr>
          <w:color w:val="auto"/>
        </w:rPr>
        <w:t>4 m walk) and/or low handgrip strength (&lt; 20</w:t>
      </w:r>
      <w:r w:rsidR="00BF13CC" w:rsidRPr="00FE7622">
        <w:rPr>
          <w:color w:val="auto"/>
        </w:rPr>
        <w:t> k</w:t>
      </w:r>
      <w:r w:rsidRPr="00FE7622">
        <w:rPr>
          <w:color w:val="auto"/>
        </w:rPr>
        <w:t>g for women</w:t>
      </w:r>
      <w:r w:rsidR="00BF7C84" w:rsidRPr="00FE7622">
        <w:rPr>
          <w:color w:val="auto"/>
        </w:rPr>
        <w:t xml:space="preserve"> and</w:t>
      </w:r>
      <w:r w:rsidRPr="00FE7622">
        <w:rPr>
          <w:color w:val="auto"/>
        </w:rPr>
        <w:t xml:space="preserve"> &lt; 30</w:t>
      </w:r>
      <w:r w:rsidR="00BF13CC" w:rsidRPr="00FE7622">
        <w:rPr>
          <w:color w:val="auto"/>
        </w:rPr>
        <w:t> k</w:t>
      </w:r>
      <w:r w:rsidRPr="00FE7622">
        <w:rPr>
          <w:color w:val="auto"/>
        </w:rPr>
        <w:t xml:space="preserve">g for men). For muscle mass, we used height-adjusted total skeletal muscle mass measured by </w:t>
      </w:r>
      <w:r w:rsidR="00C12E84" w:rsidRPr="00FE7622">
        <w:rPr>
          <w:color w:val="auto"/>
        </w:rPr>
        <w:t>b</w:t>
      </w:r>
      <w:r w:rsidRPr="00FE7622">
        <w:rPr>
          <w:color w:val="auto"/>
        </w:rPr>
        <w:t>i</w:t>
      </w:r>
      <w:r w:rsidR="00997EFA" w:rsidRPr="00FE7622">
        <w:rPr>
          <w:color w:val="auto"/>
        </w:rPr>
        <w:t>oimpedance ass</w:t>
      </w:r>
      <w:r w:rsidRPr="00FE7622">
        <w:rPr>
          <w:color w:val="auto"/>
        </w:rPr>
        <w:t>ay (</w:t>
      </w:r>
      <w:r w:rsidRPr="00842651">
        <w:rPr>
          <w:color w:val="auto"/>
        </w:rPr>
        <w:t>BIA</w:t>
      </w:r>
      <w:r w:rsidRPr="00FE7622">
        <w:rPr>
          <w:color w:val="auto"/>
        </w:rPr>
        <w:t xml:space="preserve">) using the Akern </w:t>
      </w:r>
      <w:r w:rsidRPr="00842651">
        <w:rPr>
          <w:color w:val="auto"/>
        </w:rPr>
        <w:t>BIA</w:t>
      </w:r>
      <w:r w:rsidRPr="00FE7622">
        <w:rPr>
          <w:color w:val="auto"/>
        </w:rPr>
        <w:t xml:space="preserve"> 101 </w:t>
      </w:r>
      <w:r w:rsidR="00A617D5" w:rsidRPr="00FE7622">
        <w:rPr>
          <w:color w:val="auto"/>
        </w:rPr>
        <w:t>(</w:t>
      </w:r>
      <w:r w:rsidR="008475D5" w:rsidRPr="00FE7622">
        <w:rPr>
          <w:color w:val="auto"/>
        </w:rPr>
        <w:t>Akern</w:t>
      </w:r>
      <w:r w:rsidR="00E038BF" w:rsidRPr="00FE7622">
        <w:rPr>
          <w:color w:val="auto"/>
          <w:vertAlign w:val="superscript"/>
        </w:rPr>
        <w:t>®</w:t>
      </w:r>
      <w:r w:rsidR="008475D5" w:rsidRPr="00FE7622">
        <w:rPr>
          <w:color w:val="auto"/>
        </w:rPr>
        <w:t xml:space="preserve"> Srl, Pontassieve, Italy) </w:t>
      </w:r>
      <w:r w:rsidRPr="00FE7622">
        <w:rPr>
          <w:color w:val="auto"/>
        </w:rPr>
        <w:t>device and the Sergi equation.</w:t>
      </w:r>
      <w:r w:rsidR="00E038BF" w:rsidRPr="00FE7622">
        <w:rPr>
          <w:color w:val="auto"/>
          <w:vertAlign w:val="superscript"/>
        </w:rPr>
        <w:t>36</w:t>
      </w:r>
      <w:r w:rsidRPr="00FE7622">
        <w:rPr>
          <w:color w:val="auto"/>
        </w:rPr>
        <w:t xml:space="preserve"> Cut</w:t>
      </w:r>
      <w:r w:rsidR="00BF7C84" w:rsidRPr="00FE7622">
        <w:rPr>
          <w:color w:val="auto"/>
        </w:rPr>
        <w:t>-</w:t>
      </w:r>
      <w:r w:rsidRPr="00FE7622">
        <w:rPr>
          <w:color w:val="auto"/>
        </w:rPr>
        <w:t>off</w:t>
      </w:r>
      <w:r w:rsidR="00BF7C84" w:rsidRPr="00FE7622">
        <w:rPr>
          <w:color w:val="auto"/>
        </w:rPr>
        <w:t xml:space="preserve"> value</w:t>
      </w:r>
      <w:r w:rsidRPr="00FE7622">
        <w:rPr>
          <w:color w:val="auto"/>
        </w:rPr>
        <w:t xml:space="preserve">s varied with body mass index </w:t>
      </w:r>
      <w:r w:rsidR="00625D15" w:rsidRPr="00FE7622">
        <w:rPr>
          <w:color w:val="auto"/>
        </w:rPr>
        <w:t>(</w:t>
      </w:r>
      <w:r w:rsidR="00625D15" w:rsidRPr="00842651">
        <w:rPr>
          <w:color w:val="auto"/>
        </w:rPr>
        <w:t>BMI</w:t>
      </w:r>
      <w:r w:rsidR="00625D15" w:rsidRPr="00FE7622">
        <w:rPr>
          <w:color w:val="auto"/>
        </w:rPr>
        <w:t xml:space="preserve">) </w:t>
      </w:r>
      <w:r w:rsidRPr="00FE7622">
        <w:rPr>
          <w:color w:val="auto"/>
        </w:rPr>
        <w:t xml:space="preserve">and sex to ensure that participants with sarcopenic obesity could be recruited; these </w:t>
      </w:r>
      <w:r w:rsidR="00BF7C84" w:rsidRPr="00FE7622">
        <w:rPr>
          <w:color w:val="auto"/>
        </w:rPr>
        <w:t xml:space="preserve">values </w:t>
      </w:r>
      <w:r w:rsidRPr="00FE7622">
        <w:rPr>
          <w:color w:val="auto"/>
        </w:rPr>
        <w:t>were derived from UK Biobank normative data</w:t>
      </w:r>
      <w:r w:rsidR="00E038BF" w:rsidRPr="00FE7622">
        <w:rPr>
          <w:color w:val="auto"/>
          <w:vertAlign w:val="superscript"/>
        </w:rPr>
        <w:t>37</w:t>
      </w:r>
      <w:r w:rsidRPr="00FE7622">
        <w:rPr>
          <w:color w:val="auto"/>
        </w:rPr>
        <w:t xml:space="preserve"> as described in the </w:t>
      </w:r>
      <w:r w:rsidRPr="00842651">
        <w:rPr>
          <w:color w:val="auto"/>
        </w:rPr>
        <w:t>LACE</w:t>
      </w:r>
      <w:r w:rsidRPr="00FE7622">
        <w:rPr>
          <w:color w:val="auto"/>
        </w:rPr>
        <w:t xml:space="preserve"> protocol paper.</w:t>
      </w:r>
      <w:r w:rsidR="00E038BF" w:rsidRPr="00FE7622">
        <w:rPr>
          <w:color w:val="auto"/>
          <w:vertAlign w:val="superscript"/>
        </w:rPr>
        <w:t>38</w:t>
      </w:r>
      <w:r w:rsidRPr="00FE7622">
        <w:rPr>
          <w:color w:val="auto"/>
        </w:rPr>
        <w:t xml:space="preserve"> </w:t>
      </w:r>
      <w:r w:rsidR="00E038BF" w:rsidRPr="00FE7622">
        <w:rPr>
          <w:i/>
          <w:color w:val="FF0000"/>
        </w:rPr>
        <w:t>Table 1</w:t>
      </w:r>
      <w:r w:rsidRPr="00FE7622">
        <w:rPr>
          <w:color w:val="auto"/>
        </w:rPr>
        <w:t xml:space="preserve"> shows the </w:t>
      </w:r>
      <w:r w:rsidRPr="00842651">
        <w:rPr>
          <w:color w:val="auto"/>
        </w:rPr>
        <w:t>BMI</w:t>
      </w:r>
      <w:r w:rsidR="00FA4B14" w:rsidRPr="00FE7622">
        <w:rPr>
          <w:color w:val="auto"/>
        </w:rPr>
        <w:t>-</w:t>
      </w:r>
      <w:r w:rsidRPr="00FE7622">
        <w:rPr>
          <w:color w:val="auto"/>
        </w:rPr>
        <w:t xml:space="preserve"> and sex-specific muscle mass cut</w:t>
      </w:r>
      <w:r w:rsidR="00BF13CC" w:rsidRPr="00FE7622">
        <w:rPr>
          <w:color w:val="auto"/>
        </w:rPr>
        <w:t>-</w:t>
      </w:r>
      <w:r w:rsidRPr="00FE7622">
        <w:rPr>
          <w:color w:val="auto"/>
        </w:rPr>
        <w:t>off</w:t>
      </w:r>
      <w:r w:rsidR="00BF13CC" w:rsidRPr="00FE7622">
        <w:rPr>
          <w:color w:val="auto"/>
        </w:rPr>
        <w:t xml:space="preserve"> </w:t>
      </w:r>
      <w:r w:rsidR="00BF7C84" w:rsidRPr="00FE7622">
        <w:rPr>
          <w:color w:val="auto"/>
        </w:rPr>
        <w:t>values</w:t>
      </w:r>
      <w:r w:rsidRPr="00FE7622">
        <w:rPr>
          <w:color w:val="auto"/>
        </w:rPr>
        <w:t xml:space="preserve"> used at screening</w:t>
      </w:r>
      <w:r w:rsidR="00625D15" w:rsidRPr="00FE7622">
        <w:rPr>
          <w:color w:val="auto"/>
        </w:rPr>
        <w:t>.</w:t>
      </w:r>
    </w:p>
    <w:p w14:paraId="27D25D29" w14:textId="4787EE31" w:rsidR="00F026E8" w:rsidRPr="00FE7622" w:rsidRDefault="00E038BF" w:rsidP="00F026E8">
      <w:pPr>
        <w:pStyle w:val="70TablelegendTablesTableFigureBoxstyles"/>
        <w:rPr>
          <w:lang w:val="en-GB"/>
        </w:rPr>
      </w:pPr>
      <w:r w:rsidRPr="00FE7622">
        <w:rPr>
          <w:b/>
        </w:rPr>
        <w:t>TABLE 1</w:t>
      </w:r>
      <w:r w:rsidRPr="00FE7622">
        <w:rPr>
          <w:b/>
        </w:rPr>
        <w:t> </w:t>
      </w:r>
      <w:r w:rsidR="0097391B" w:rsidRPr="00FE7622">
        <w:rPr>
          <w:lang w:val="en-GB"/>
        </w:rPr>
        <w:t>The</w:t>
      </w:r>
      <w:r w:rsidR="00F026E8" w:rsidRPr="00FE7622">
        <w:rPr>
          <w:lang w:val="en-GB"/>
        </w:rPr>
        <w:t xml:space="preserve"> </w:t>
      </w:r>
      <w:r w:rsidR="00F026E8" w:rsidRPr="00842651">
        <w:rPr>
          <w:lang w:val="en-GB"/>
        </w:rPr>
        <w:t>BMI</w:t>
      </w:r>
      <w:r w:rsidR="00FA4B14" w:rsidRPr="00FE7622">
        <w:rPr>
          <w:lang w:val="en-GB"/>
        </w:rPr>
        <w:t>-</w:t>
      </w:r>
      <w:r w:rsidR="00F026E8" w:rsidRPr="00FE7622">
        <w:rPr>
          <w:lang w:val="en-GB"/>
        </w:rPr>
        <w:t xml:space="preserve"> and sex-specific screening cut</w:t>
      </w:r>
      <w:r w:rsidR="00BF13CC" w:rsidRPr="00FE7622">
        <w:rPr>
          <w:lang w:val="en-GB"/>
        </w:rPr>
        <w:t>-</w:t>
      </w:r>
      <w:r w:rsidR="00F026E8" w:rsidRPr="00FE7622">
        <w:rPr>
          <w:lang w:val="en-GB"/>
        </w:rPr>
        <w:t>off</w:t>
      </w:r>
      <w:r w:rsidR="00BF13CC" w:rsidRPr="00FE7622">
        <w:rPr>
          <w:lang w:val="en-GB"/>
        </w:rPr>
        <w:t xml:space="preserve"> </w:t>
      </w:r>
      <w:r w:rsidR="00BF7C84" w:rsidRPr="00FE7622">
        <w:rPr>
          <w:lang w:val="en-GB"/>
        </w:rPr>
        <w:t>values</w:t>
      </w:r>
      <w:r w:rsidR="00F026E8" w:rsidRPr="00FE7622">
        <w:rPr>
          <w:lang w:val="en-GB"/>
        </w:rPr>
        <w:t xml:space="preserve"> for bioimpedance</w:t>
      </w:r>
      <w:r w:rsidR="00C806B3" w:rsidRPr="00FE7622">
        <w:rPr>
          <w:lang w:val="en-GB"/>
        </w:rPr>
        <w:t>-</w:t>
      </w:r>
      <w:r w:rsidR="00F026E8" w:rsidRPr="00FE7622">
        <w:rPr>
          <w:lang w:val="en-GB"/>
        </w:rPr>
        <w:t>measured muscle mass</w:t>
      </w:r>
    </w:p>
    <w:tbl>
      <w:tblPr>
        <w:tblW w:w="0" w:type="auto"/>
        <w:tblCellMar>
          <w:top w:w="40" w:type="dxa"/>
          <w:left w:w="60" w:type="dxa"/>
          <w:bottom w:w="40" w:type="dxa"/>
          <w:right w:w="60" w:type="dxa"/>
        </w:tblCellMar>
        <w:tblLook w:val="04A0" w:firstRow="1" w:lastRow="0" w:firstColumn="1" w:lastColumn="0" w:noHBand="0" w:noVBand="1"/>
      </w:tblPr>
      <w:tblGrid>
        <w:gridCol w:w="1061"/>
        <w:gridCol w:w="599"/>
        <w:gridCol w:w="734"/>
      </w:tblGrid>
      <w:tr w:rsidR="00A12D40" w:rsidRPr="00FE7622" w14:paraId="4CF3430A" w14:textId="77777777" w:rsidTr="00AF19CC">
        <w:trPr>
          <w:cantSplit/>
        </w:trPr>
        <w:tc>
          <w:tcPr>
            <w:tcW w:w="0" w:type="auto"/>
            <w:vMerge w:val="restart"/>
            <w:shd w:val="clear" w:color="auto" w:fill="auto"/>
          </w:tcPr>
          <w:p w14:paraId="57801757" w14:textId="67B7B97D" w:rsidR="00A12D40" w:rsidRPr="00FE7622" w:rsidRDefault="00E038BF" w:rsidP="00AF19CC">
            <w:pPr>
              <w:pStyle w:val="710TableheadTablesTableFigureBoxstyles"/>
            </w:pPr>
            <w:r w:rsidRPr="00842651">
              <w:t>BMI</w:t>
            </w:r>
            <w:r w:rsidRPr="00FE7622">
              <w:t xml:space="preserve"> (kg/m</w:t>
            </w:r>
            <w:r w:rsidRPr="00FE7622">
              <w:rPr>
                <w:vertAlign w:val="superscript"/>
              </w:rPr>
              <w:t>2</w:t>
            </w:r>
            <w:r w:rsidRPr="00FE7622">
              <w:t>)</w:t>
            </w:r>
          </w:p>
        </w:tc>
        <w:tc>
          <w:tcPr>
            <w:tcW w:w="0" w:type="auto"/>
            <w:gridSpan w:val="2"/>
            <w:shd w:val="clear" w:color="auto" w:fill="auto"/>
          </w:tcPr>
          <w:p w14:paraId="38B32DDD" w14:textId="0E53CED3" w:rsidR="00A12D40" w:rsidRPr="00FE7622" w:rsidRDefault="00E038BF" w:rsidP="00AF19CC">
            <w:pPr>
              <w:pStyle w:val="705TableheadgroupTablesTableFigureBoxstyles"/>
            </w:pPr>
            <w:r w:rsidRPr="00FE7622">
              <w:t>Sex (kg/m</w:t>
            </w:r>
            <w:r w:rsidRPr="00FE7622">
              <w:rPr>
                <w:vertAlign w:val="superscript"/>
              </w:rPr>
              <w:t>2</w:t>
            </w:r>
            <w:r w:rsidRPr="00FE7622">
              <w:t>)</w:t>
            </w:r>
          </w:p>
        </w:tc>
      </w:tr>
      <w:tr w:rsidR="00A12D40" w:rsidRPr="00FE7622" w14:paraId="06FA76EC" w14:textId="77777777" w:rsidTr="00AF19CC">
        <w:trPr>
          <w:cantSplit/>
        </w:trPr>
        <w:tc>
          <w:tcPr>
            <w:tcW w:w="0" w:type="auto"/>
            <w:vMerge/>
            <w:shd w:val="clear" w:color="auto" w:fill="auto"/>
          </w:tcPr>
          <w:p w14:paraId="4C4CC38A" w14:textId="487C5E2C" w:rsidR="00A12D40" w:rsidRPr="00FE7622" w:rsidRDefault="00A12D40" w:rsidP="00AF19CC">
            <w:pPr>
              <w:pStyle w:val="710TableheadTablesTableFigureBoxstyles"/>
            </w:pPr>
          </w:p>
        </w:tc>
        <w:tc>
          <w:tcPr>
            <w:tcW w:w="0" w:type="auto"/>
            <w:shd w:val="clear" w:color="auto" w:fill="auto"/>
          </w:tcPr>
          <w:p w14:paraId="37F65036" w14:textId="3556E5DD" w:rsidR="00A12D40" w:rsidRPr="00FE7622" w:rsidRDefault="00E038BF" w:rsidP="00AF19CC">
            <w:pPr>
              <w:pStyle w:val="710TableheadTablesTableFigureBoxstyles"/>
            </w:pPr>
            <w:r w:rsidRPr="00FE7622">
              <w:t>Men</w:t>
            </w:r>
          </w:p>
        </w:tc>
        <w:tc>
          <w:tcPr>
            <w:tcW w:w="0" w:type="auto"/>
            <w:shd w:val="clear" w:color="auto" w:fill="auto"/>
          </w:tcPr>
          <w:p w14:paraId="7F70019A" w14:textId="61BD0E60" w:rsidR="00A12D40" w:rsidRPr="00FE7622" w:rsidRDefault="00E038BF" w:rsidP="00AF19CC">
            <w:pPr>
              <w:pStyle w:val="710TableheadTablesTableFigureBoxstyles"/>
            </w:pPr>
            <w:r w:rsidRPr="00FE7622">
              <w:t>Women</w:t>
            </w:r>
          </w:p>
        </w:tc>
      </w:tr>
      <w:tr w:rsidR="00F026E8" w:rsidRPr="00FE7622" w14:paraId="5C71C022" w14:textId="77777777" w:rsidTr="00AF19CC">
        <w:trPr>
          <w:cantSplit/>
        </w:trPr>
        <w:tc>
          <w:tcPr>
            <w:tcW w:w="0" w:type="auto"/>
            <w:shd w:val="clear" w:color="auto" w:fill="auto"/>
          </w:tcPr>
          <w:p w14:paraId="51B0E685" w14:textId="4C664D8F" w:rsidR="00F026E8" w:rsidRPr="00FE7622" w:rsidRDefault="00F026E8" w:rsidP="00AF19CC">
            <w:pPr>
              <w:pStyle w:val="72TabletextTablesTableFigureBoxstyles"/>
              <w:rPr>
                <w:color w:val="auto"/>
              </w:rPr>
            </w:pPr>
            <w:r w:rsidRPr="00FE7622">
              <w:rPr>
                <w:color w:val="auto"/>
              </w:rPr>
              <w:t>&lt; 18.5</w:t>
            </w:r>
          </w:p>
        </w:tc>
        <w:tc>
          <w:tcPr>
            <w:tcW w:w="0" w:type="auto"/>
            <w:shd w:val="clear" w:color="auto" w:fill="auto"/>
          </w:tcPr>
          <w:p w14:paraId="0A884B4B" w14:textId="68F6341C" w:rsidR="00F026E8" w:rsidRPr="00FE7622" w:rsidRDefault="00A34539" w:rsidP="00AF19CC">
            <w:pPr>
              <w:pStyle w:val="72TabletextTablesTableFigureBoxstyles"/>
              <w:rPr>
                <w:color w:val="auto"/>
              </w:rPr>
            </w:pPr>
            <w:r w:rsidRPr="00FE7622">
              <w:rPr>
                <w:color w:val="auto"/>
              </w:rPr>
              <w:t>≤ </w:t>
            </w:r>
            <w:r w:rsidR="00F026E8" w:rsidRPr="00FE7622">
              <w:rPr>
                <w:color w:val="auto"/>
              </w:rPr>
              <w:t>6.02</w:t>
            </w:r>
          </w:p>
        </w:tc>
        <w:tc>
          <w:tcPr>
            <w:tcW w:w="0" w:type="auto"/>
            <w:shd w:val="clear" w:color="auto" w:fill="auto"/>
          </w:tcPr>
          <w:p w14:paraId="29BD40F5" w14:textId="12940FBF" w:rsidR="00F026E8" w:rsidRPr="00FE7622" w:rsidRDefault="00A34539" w:rsidP="00AF19CC">
            <w:pPr>
              <w:pStyle w:val="72TabletextTablesTableFigureBoxstyles"/>
              <w:rPr>
                <w:color w:val="auto"/>
              </w:rPr>
            </w:pPr>
            <w:r w:rsidRPr="00FE7622">
              <w:rPr>
                <w:color w:val="auto"/>
              </w:rPr>
              <w:t>≤ </w:t>
            </w:r>
            <w:r w:rsidR="00F026E8" w:rsidRPr="00FE7622">
              <w:rPr>
                <w:color w:val="auto"/>
              </w:rPr>
              <w:t>5.25</w:t>
            </w:r>
          </w:p>
        </w:tc>
      </w:tr>
      <w:tr w:rsidR="00F026E8" w:rsidRPr="00FE7622" w14:paraId="652B1BD4" w14:textId="77777777" w:rsidTr="00AF19CC">
        <w:trPr>
          <w:cantSplit/>
        </w:trPr>
        <w:tc>
          <w:tcPr>
            <w:tcW w:w="0" w:type="auto"/>
            <w:shd w:val="clear" w:color="auto" w:fill="auto"/>
          </w:tcPr>
          <w:p w14:paraId="12E4BCFC" w14:textId="61CF0D48" w:rsidR="00F026E8" w:rsidRPr="00FE7622" w:rsidRDefault="00F026E8" w:rsidP="00AF19CC">
            <w:pPr>
              <w:pStyle w:val="72TabletextTablesTableFigureBoxstyles"/>
              <w:rPr>
                <w:color w:val="auto"/>
              </w:rPr>
            </w:pPr>
            <w:r w:rsidRPr="00FE7622">
              <w:rPr>
                <w:color w:val="auto"/>
              </w:rPr>
              <w:t>18.5–24.9</w:t>
            </w:r>
          </w:p>
        </w:tc>
        <w:tc>
          <w:tcPr>
            <w:tcW w:w="0" w:type="auto"/>
            <w:shd w:val="clear" w:color="auto" w:fill="auto"/>
          </w:tcPr>
          <w:p w14:paraId="6C32C0D9" w14:textId="5E9150C9" w:rsidR="00F026E8" w:rsidRPr="00FE7622" w:rsidRDefault="00A34539" w:rsidP="00AF19CC">
            <w:pPr>
              <w:pStyle w:val="72TabletextTablesTableFigureBoxstyles"/>
              <w:rPr>
                <w:color w:val="auto"/>
              </w:rPr>
            </w:pPr>
            <w:r w:rsidRPr="00FE7622">
              <w:rPr>
                <w:color w:val="auto"/>
              </w:rPr>
              <w:t>≤ </w:t>
            </w:r>
            <w:r w:rsidR="00F026E8" w:rsidRPr="00FE7622">
              <w:rPr>
                <w:color w:val="auto"/>
              </w:rPr>
              <w:t>7.14</w:t>
            </w:r>
          </w:p>
        </w:tc>
        <w:tc>
          <w:tcPr>
            <w:tcW w:w="0" w:type="auto"/>
            <w:shd w:val="clear" w:color="auto" w:fill="auto"/>
          </w:tcPr>
          <w:p w14:paraId="721D3299" w14:textId="479618F1" w:rsidR="00F026E8" w:rsidRPr="00FE7622" w:rsidRDefault="00A34539" w:rsidP="00AF19CC">
            <w:pPr>
              <w:pStyle w:val="72TabletextTablesTableFigureBoxstyles"/>
              <w:rPr>
                <w:color w:val="auto"/>
              </w:rPr>
            </w:pPr>
            <w:r w:rsidRPr="00FE7622">
              <w:rPr>
                <w:color w:val="auto"/>
              </w:rPr>
              <w:t>≤ </w:t>
            </w:r>
            <w:r w:rsidR="00F026E8" w:rsidRPr="00FE7622">
              <w:rPr>
                <w:color w:val="auto"/>
              </w:rPr>
              <w:t>5.70</w:t>
            </w:r>
          </w:p>
        </w:tc>
      </w:tr>
      <w:tr w:rsidR="00F026E8" w:rsidRPr="00FE7622" w14:paraId="2DEE56ED" w14:textId="77777777" w:rsidTr="00AF19CC">
        <w:trPr>
          <w:cantSplit/>
        </w:trPr>
        <w:tc>
          <w:tcPr>
            <w:tcW w:w="0" w:type="auto"/>
            <w:shd w:val="clear" w:color="auto" w:fill="auto"/>
          </w:tcPr>
          <w:p w14:paraId="41D784C8" w14:textId="5F3D6CCE" w:rsidR="00F026E8" w:rsidRPr="00FE7622" w:rsidRDefault="00F026E8" w:rsidP="00AF19CC">
            <w:pPr>
              <w:pStyle w:val="72TabletextTablesTableFigureBoxstyles"/>
              <w:rPr>
                <w:color w:val="auto"/>
              </w:rPr>
            </w:pPr>
            <w:r w:rsidRPr="00FE7622">
              <w:rPr>
                <w:color w:val="auto"/>
              </w:rPr>
              <w:t>25.0–29.9</w:t>
            </w:r>
          </w:p>
        </w:tc>
        <w:tc>
          <w:tcPr>
            <w:tcW w:w="0" w:type="auto"/>
            <w:shd w:val="clear" w:color="auto" w:fill="auto"/>
          </w:tcPr>
          <w:p w14:paraId="040DD4A9" w14:textId="7D539C64" w:rsidR="00F026E8" w:rsidRPr="00FE7622" w:rsidRDefault="00A34539" w:rsidP="00AF19CC">
            <w:pPr>
              <w:pStyle w:val="72TabletextTablesTableFigureBoxstyles"/>
              <w:rPr>
                <w:color w:val="auto"/>
              </w:rPr>
            </w:pPr>
            <w:r w:rsidRPr="00FE7622">
              <w:rPr>
                <w:color w:val="auto"/>
              </w:rPr>
              <w:t>≤ </w:t>
            </w:r>
            <w:r w:rsidR="00F026E8" w:rsidRPr="00FE7622">
              <w:rPr>
                <w:color w:val="auto"/>
              </w:rPr>
              <w:t>8.00</w:t>
            </w:r>
          </w:p>
        </w:tc>
        <w:tc>
          <w:tcPr>
            <w:tcW w:w="0" w:type="auto"/>
            <w:shd w:val="clear" w:color="auto" w:fill="auto"/>
          </w:tcPr>
          <w:p w14:paraId="21A40F5E" w14:textId="73424A68" w:rsidR="00F026E8" w:rsidRPr="00FE7622" w:rsidRDefault="00A34539" w:rsidP="00AF19CC">
            <w:pPr>
              <w:pStyle w:val="72TabletextTablesTableFigureBoxstyles"/>
              <w:rPr>
                <w:color w:val="auto"/>
              </w:rPr>
            </w:pPr>
            <w:r w:rsidRPr="00FE7622">
              <w:rPr>
                <w:color w:val="auto"/>
              </w:rPr>
              <w:t>≤ </w:t>
            </w:r>
            <w:r w:rsidR="00F026E8" w:rsidRPr="00FE7622">
              <w:rPr>
                <w:color w:val="auto"/>
              </w:rPr>
              <w:t>6.19</w:t>
            </w:r>
          </w:p>
        </w:tc>
      </w:tr>
      <w:tr w:rsidR="00F026E8" w:rsidRPr="00FE7622" w14:paraId="74BF77D6" w14:textId="77777777" w:rsidTr="00AF19CC">
        <w:trPr>
          <w:cantSplit/>
        </w:trPr>
        <w:tc>
          <w:tcPr>
            <w:tcW w:w="0" w:type="auto"/>
            <w:shd w:val="clear" w:color="auto" w:fill="auto"/>
          </w:tcPr>
          <w:p w14:paraId="2B898A68" w14:textId="015D4DB1" w:rsidR="00F026E8" w:rsidRPr="00FE7622" w:rsidRDefault="00A12D40" w:rsidP="00AF19CC">
            <w:pPr>
              <w:pStyle w:val="72TabletextTablesTableFigureBoxstyles"/>
              <w:rPr>
                <w:color w:val="auto"/>
              </w:rPr>
            </w:pPr>
            <w:r w:rsidRPr="00FE7622">
              <w:rPr>
                <w:color w:val="auto"/>
              </w:rPr>
              <w:t>≥ </w:t>
            </w:r>
            <w:r w:rsidR="00F026E8" w:rsidRPr="00FE7622">
              <w:rPr>
                <w:color w:val="auto"/>
              </w:rPr>
              <w:t>30</w:t>
            </w:r>
          </w:p>
        </w:tc>
        <w:tc>
          <w:tcPr>
            <w:tcW w:w="0" w:type="auto"/>
            <w:shd w:val="clear" w:color="auto" w:fill="auto"/>
          </w:tcPr>
          <w:p w14:paraId="568F761F" w14:textId="1D19A3AA" w:rsidR="00F026E8" w:rsidRPr="00FE7622" w:rsidRDefault="00A34539" w:rsidP="00AF19CC">
            <w:pPr>
              <w:pStyle w:val="72TabletextTablesTableFigureBoxstyles"/>
              <w:rPr>
                <w:color w:val="auto"/>
              </w:rPr>
            </w:pPr>
            <w:r w:rsidRPr="00FE7622">
              <w:rPr>
                <w:color w:val="auto"/>
              </w:rPr>
              <w:t>≤ </w:t>
            </w:r>
            <w:r w:rsidR="00F026E8" w:rsidRPr="00FE7622">
              <w:rPr>
                <w:color w:val="auto"/>
              </w:rPr>
              <w:t>8.77</w:t>
            </w:r>
          </w:p>
        </w:tc>
        <w:tc>
          <w:tcPr>
            <w:tcW w:w="0" w:type="auto"/>
            <w:shd w:val="clear" w:color="auto" w:fill="auto"/>
          </w:tcPr>
          <w:p w14:paraId="58B361E5" w14:textId="762AFBDE" w:rsidR="00F026E8" w:rsidRPr="00FE7622" w:rsidRDefault="00A34539" w:rsidP="00AF19CC">
            <w:pPr>
              <w:pStyle w:val="72TabletextTablesTableFigureBoxstyles"/>
              <w:rPr>
                <w:color w:val="auto"/>
              </w:rPr>
            </w:pPr>
            <w:r w:rsidRPr="00FE7622">
              <w:rPr>
                <w:color w:val="auto"/>
              </w:rPr>
              <w:t>≤ </w:t>
            </w:r>
            <w:r w:rsidR="00F026E8" w:rsidRPr="00FE7622">
              <w:rPr>
                <w:color w:val="auto"/>
              </w:rPr>
              <w:t>6.72</w:t>
            </w:r>
          </w:p>
        </w:tc>
      </w:tr>
    </w:tbl>
    <w:p w14:paraId="14053B42" w14:textId="394F56BA" w:rsidR="00E038BF" w:rsidRPr="00FE7622" w:rsidRDefault="00E038BF" w:rsidP="00B47AA4">
      <w:pPr>
        <w:pStyle w:val="53BheadHeadingsHeadingstyles"/>
      </w:pPr>
      <w:bookmarkStart w:id="30" w:name="_Toc79684483"/>
      <w:r w:rsidRPr="00FE7622">
        <w:t>Exclusion criteria</w:t>
      </w:r>
      <w:bookmarkEnd w:id="30"/>
    </w:p>
    <w:p w14:paraId="7DB17E7B" w14:textId="40322309" w:rsidR="00F026E8" w:rsidRPr="00FE7622" w:rsidRDefault="00F026E8" w:rsidP="00B47AA4">
      <w:pPr>
        <w:pStyle w:val="602TextfoTextstylesTextstyles"/>
        <w:rPr>
          <w:color w:val="auto"/>
        </w:rPr>
      </w:pPr>
      <w:r w:rsidRPr="00FE7622">
        <w:rPr>
          <w:color w:val="auto"/>
        </w:rPr>
        <w:t>The exclusion criteria, which have previously been published,</w:t>
      </w:r>
      <w:r w:rsidR="00E038BF" w:rsidRPr="00FE7622">
        <w:rPr>
          <w:color w:val="auto"/>
          <w:vertAlign w:val="superscript"/>
        </w:rPr>
        <w:t>38</w:t>
      </w:r>
      <w:r w:rsidRPr="00FE7622">
        <w:rPr>
          <w:color w:val="auto"/>
        </w:rPr>
        <w:t xml:space="preserve"> were selected </w:t>
      </w:r>
      <w:r w:rsidR="00F46F39" w:rsidRPr="00FE7622">
        <w:rPr>
          <w:color w:val="auto"/>
        </w:rPr>
        <w:t>(1</w:t>
      </w:r>
      <w:r w:rsidRPr="00FE7622">
        <w:rPr>
          <w:color w:val="auto"/>
        </w:rPr>
        <w:t xml:space="preserve">) to avoid contraindications to </w:t>
      </w:r>
      <w:r w:rsidRPr="00842651">
        <w:rPr>
          <w:color w:val="auto"/>
        </w:rPr>
        <w:t>ACEi</w:t>
      </w:r>
      <w:r w:rsidRPr="00FE7622">
        <w:rPr>
          <w:color w:val="auto"/>
        </w:rPr>
        <w:t xml:space="preserve">, </w:t>
      </w:r>
      <w:r w:rsidR="00F46F39" w:rsidRPr="00FE7622">
        <w:rPr>
          <w:color w:val="auto"/>
        </w:rPr>
        <w:t>(2</w:t>
      </w:r>
      <w:r w:rsidRPr="00FE7622">
        <w:rPr>
          <w:color w:val="auto"/>
        </w:rPr>
        <w:t xml:space="preserve">) to avoid contraindications to the collection of key outcomes or inability to consent, and </w:t>
      </w:r>
      <w:r w:rsidR="00F46F39" w:rsidRPr="00FE7622">
        <w:rPr>
          <w:color w:val="auto"/>
        </w:rPr>
        <w:t>(3</w:t>
      </w:r>
      <w:r w:rsidRPr="00FE7622">
        <w:rPr>
          <w:color w:val="auto"/>
        </w:rPr>
        <w:t xml:space="preserve">) to exclude participants with skeletal myopathy </w:t>
      </w:r>
      <w:r w:rsidR="00537754" w:rsidRPr="00FE7622">
        <w:rPr>
          <w:color w:val="auto"/>
        </w:rPr>
        <w:t xml:space="preserve">that was </w:t>
      </w:r>
      <w:r w:rsidRPr="00FE7622">
        <w:rPr>
          <w:color w:val="auto"/>
        </w:rPr>
        <w:t xml:space="preserve">clearly </w:t>
      </w:r>
      <w:r w:rsidR="00537754" w:rsidRPr="00FE7622">
        <w:rPr>
          <w:color w:val="auto"/>
        </w:rPr>
        <w:t>from</w:t>
      </w:r>
      <w:r w:rsidRPr="00FE7622">
        <w:rPr>
          <w:color w:val="auto"/>
        </w:rPr>
        <w:t xml:space="preserve"> </w:t>
      </w:r>
      <w:r w:rsidR="00537754" w:rsidRPr="00FE7622">
        <w:rPr>
          <w:color w:val="auto"/>
        </w:rPr>
        <w:t xml:space="preserve">a </w:t>
      </w:r>
      <w:r w:rsidRPr="00FE7622">
        <w:rPr>
          <w:color w:val="auto"/>
        </w:rPr>
        <w:t xml:space="preserve">cause </w:t>
      </w:r>
      <w:r w:rsidR="00537754" w:rsidRPr="00FE7622">
        <w:rPr>
          <w:color w:val="auto"/>
        </w:rPr>
        <w:t>other</w:t>
      </w:r>
      <w:r w:rsidRPr="00FE7622">
        <w:rPr>
          <w:color w:val="auto"/>
        </w:rPr>
        <w:t xml:space="preserve"> than sarcopenia.</w:t>
      </w:r>
    </w:p>
    <w:p w14:paraId="1D4E41ED" w14:textId="08BBB271" w:rsidR="00F026E8" w:rsidRPr="00FE7622" w:rsidRDefault="00F026E8" w:rsidP="00C22058">
      <w:pPr>
        <w:pStyle w:val="621TextnumberedlistTextstylesTextstyles"/>
        <w:rPr>
          <w:color w:val="auto"/>
        </w:rPr>
      </w:pPr>
      <w:r w:rsidRPr="00FE7622">
        <w:rPr>
          <w:color w:val="auto"/>
        </w:rPr>
        <w:t>Contraindications or existing indications to therapies or placebo</w:t>
      </w:r>
    </w:p>
    <w:p w14:paraId="5E43E3B5" w14:textId="5E76D474" w:rsidR="00F026E8" w:rsidRPr="00FE7622" w:rsidRDefault="00A671FF" w:rsidP="00B77DF4">
      <w:pPr>
        <w:pStyle w:val="6132TextsubbulletlistnumberedTextstyles"/>
        <w:rPr>
          <w:color w:val="auto"/>
        </w:rPr>
      </w:pPr>
      <w:r w:rsidRPr="00FE7622">
        <w:rPr>
          <w:color w:val="auto"/>
        </w:rPr>
        <w:t>k</w:t>
      </w:r>
      <w:r w:rsidR="00F026E8" w:rsidRPr="00FE7622">
        <w:rPr>
          <w:color w:val="auto"/>
        </w:rPr>
        <w:t>nown clinical diagnosis of chronic heart failure (</w:t>
      </w:r>
      <w:r w:rsidR="00A4354A" w:rsidRPr="00FE7622">
        <w:rPr>
          <w:color w:val="auto"/>
        </w:rPr>
        <w:t>in accordance with</w:t>
      </w:r>
      <w:r w:rsidR="00F026E8" w:rsidRPr="00FE7622">
        <w:rPr>
          <w:color w:val="auto"/>
        </w:rPr>
        <w:t xml:space="preserve"> European Society of Cardiology criteria)</w:t>
      </w:r>
      <w:r w:rsidR="00E038BF" w:rsidRPr="00FE7622">
        <w:rPr>
          <w:color w:val="auto"/>
          <w:vertAlign w:val="superscript"/>
        </w:rPr>
        <w:t>39</w:t>
      </w:r>
    </w:p>
    <w:p w14:paraId="6D8382F3" w14:textId="4C5E8CB6" w:rsidR="00F026E8" w:rsidRPr="00FE7622" w:rsidRDefault="00A671FF" w:rsidP="00B77DF4">
      <w:pPr>
        <w:pStyle w:val="6132TextsubbulletlistnumberedTextstyles"/>
        <w:rPr>
          <w:color w:val="auto"/>
        </w:rPr>
      </w:pPr>
      <w:r w:rsidRPr="00FE7622">
        <w:rPr>
          <w:color w:val="auto"/>
        </w:rPr>
        <w:t>c</w:t>
      </w:r>
      <w:r w:rsidR="00F026E8" w:rsidRPr="00FE7622">
        <w:rPr>
          <w:color w:val="auto"/>
        </w:rPr>
        <w:t xml:space="preserve">onfirmed </w:t>
      </w:r>
      <w:r w:rsidRPr="00FE7622">
        <w:rPr>
          <w:color w:val="auto"/>
        </w:rPr>
        <w:t xml:space="preserve">left ventricular </w:t>
      </w:r>
      <w:r w:rsidR="00F026E8" w:rsidRPr="00FE7622">
        <w:rPr>
          <w:color w:val="auto"/>
        </w:rPr>
        <w:t>systolic dysfunction on any imaging modality</w:t>
      </w:r>
    </w:p>
    <w:p w14:paraId="69438934" w14:textId="2704C003" w:rsidR="00F026E8" w:rsidRPr="00FE7622" w:rsidRDefault="00A671FF" w:rsidP="00B77DF4">
      <w:pPr>
        <w:pStyle w:val="6132TextsubbulletlistnumberedTextstyles"/>
        <w:rPr>
          <w:color w:val="auto"/>
        </w:rPr>
      </w:pPr>
      <w:r w:rsidRPr="00FE7622">
        <w:rPr>
          <w:color w:val="auto"/>
        </w:rPr>
        <w:t>k</w:t>
      </w:r>
      <w:r w:rsidR="00F026E8" w:rsidRPr="00FE7622">
        <w:rPr>
          <w:color w:val="auto"/>
        </w:rPr>
        <w:t xml:space="preserve">nown aortic stenosis (peak gradient </w:t>
      </w:r>
      <w:r w:rsidR="00A4354A" w:rsidRPr="00FE7622">
        <w:rPr>
          <w:color w:val="auto"/>
        </w:rPr>
        <w:t xml:space="preserve">of </w:t>
      </w:r>
      <w:r w:rsidR="00F026E8" w:rsidRPr="00FE7622">
        <w:rPr>
          <w:color w:val="auto"/>
        </w:rPr>
        <w:t>&gt; 30 mmHg)</w:t>
      </w:r>
    </w:p>
    <w:p w14:paraId="5EF38381" w14:textId="36BE9887" w:rsidR="00F026E8" w:rsidRPr="00FE7622" w:rsidRDefault="00A671FF" w:rsidP="00B77DF4">
      <w:pPr>
        <w:pStyle w:val="6132TextsubbulletlistnumberedTextstyles"/>
        <w:rPr>
          <w:color w:val="auto"/>
        </w:rPr>
      </w:pPr>
      <w:r w:rsidRPr="00FE7622">
        <w:rPr>
          <w:color w:val="auto"/>
        </w:rPr>
        <w:t>s</w:t>
      </w:r>
      <w:r w:rsidR="00F026E8" w:rsidRPr="00FE7622">
        <w:rPr>
          <w:color w:val="auto"/>
        </w:rPr>
        <w:t xml:space="preserve">ystolic </w:t>
      </w:r>
      <w:r w:rsidR="00CB0916" w:rsidRPr="00FE7622">
        <w:rPr>
          <w:color w:val="auto"/>
        </w:rPr>
        <w:t>blood pressure</w:t>
      </w:r>
      <w:r w:rsidR="00A4354A" w:rsidRPr="00FE7622">
        <w:rPr>
          <w:color w:val="auto"/>
        </w:rPr>
        <w:t xml:space="preserve"> of </w:t>
      </w:r>
      <w:r w:rsidR="00F026E8" w:rsidRPr="00FE7622">
        <w:rPr>
          <w:color w:val="auto"/>
        </w:rPr>
        <w:t>&lt; 90 mmHg (supine)</w:t>
      </w:r>
    </w:p>
    <w:p w14:paraId="3F08D01E" w14:textId="2A97D692" w:rsidR="00F026E8" w:rsidRPr="00FE7622" w:rsidRDefault="00A671FF" w:rsidP="00B77DF4">
      <w:pPr>
        <w:pStyle w:val="6132TextsubbulletlistnumberedTextstyles"/>
        <w:rPr>
          <w:color w:val="auto"/>
        </w:rPr>
      </w:pPr>
      <w:r w:rsidRPr="00FE7622">
        <w:rPr>
          <w:color w:val="auto"/>
        </w:rPr>
        <w:t>d</w:t>
      </w:r>
      <w:r w:rsidR="00F026E8" w:rsidRPr="00FE7622">
        <w:rPr>
          <w:color w:val="auto"/>
        </w:rPr>
        <w:t>izziness on standing associated with a postural drop of &gt; 20/10 mmHg (asymptomatic orthostatic hypotension was not a contraindication)</w:t>
      </w:r>
    </w:p>
    <w:p w14:paraId="5024EA16" w14:textId="056F7E76" w:rsidR="00F026E8" w:rsidRPr="00FE7622" w:rsidRDefault="00A671FF" w:rsidP="00B77DF4">
      <w:pPr>
        <w:pStyle w:val="6132TextsubbulletlistnumberedTextstyles"/>
        <w:rPr>
          <w:color w:val="auto"/>
        </w:rPr>
      </w:pPr>
      <w:r w:rsidRPr="00FE7622">
        <w:rPr>
          <w:color w:val="auto"/>
        </w:rPr>
        <w:t>s</w:t>
      </w:r>
      <w:r w:rsidR="00F026E8" w:rsidRPr="00FE7622">
        <w:rPr>
          <w:color w:val="auto"/>
        </w:rPr>
        <w:t xml:space="preserve">erum creatinine </w:t>
      </w:r>
      <w:r w:rsidR="00A4354A" w:rsidRPr="00FE7622">
        <w:rPr>
          <w:color w:val="auto"/>
        </w:rPr>
        <w:t xml:space="preserve">of </w:t>
      </w:r>
      <w:r w:rsidR="00F026E8" w:rsidRPr="00FE7622">
        <w:rPr>
          <w:color w:val="auto"/>
        </w:rPr>
        <w:t>&gt; 170</w:t>
      </w:r>
      <w:r w:rsidRPr="00FE7622">
        <w:rPr>
          <w:color w:val="auto"/>
        </w:rPr>
        <w:t> μ</w:t>
      </w:r>
      <w:r w:rsidR="00F026E8" w:rsidRPr="00FE7622">
        <w:rPr>
          <w:color w:val="auto"/>
        </w:rPr>
        <w:t>mol/</w:t>
      </w:r>
      <w:r w:rsidR="00A4354A" w:rsidRPr="00FE7622">
        <w:rPr>
          <w:color w:val="auto"/>
        </w:rPr>
        <w:t>l</w:t>
      </w:r>
      <w:r w:rsidR="00F026E8" w:rsidRPr="00FE7622">
        <w:rPr>
          <w:color w:val="auto"/>
        </w:rPr>
        <w:t xml:space="preserve"> or estimated glomerular filtration rate </w:t>
      </w:r>
      <w:r w:rsidRPr="00FE7622">
        <w:rPr>
          <w:color w:val="auto"/>
        </w:rPr>
        <w:t xml:space="preserve">of </w:t>
      </w:r>
      <w:r w:rsidR="00F026E8" w:rsidRPr="00FE7622">
        <w:rPr>
          <w:color w:val="auto"/>
        </w:rPr>
        <w:t>&lt; 30</w:t>
      </w:r>
      <w:r w:rsidR="00A4354A" w:rsidRPr="00FE7622">
        <w:rPr>
          <w:color w:val="auto"/>
        </w:rPr>
        <w:t> </w:t>
      </w:r>
      <w:r w:rsidR="00F026E8" w:rsidRPr="00FE7622">
        <w:rPr>
          <w:color w:val="auto"/>
        </w:rPr>
        <w:t>ml/min</w:t>
      </w:r>
      <w:r w:rsidR="00A4354A" w:rsidRPr="00FE7622">
        <w:rPr>
          <w:color w:val="auto"/>
        </w:rPr>
        <w:t>ute</w:t>
      </w:r>
      <w:r w:rsidR="00F026E8" w:rsidRPr="00FE7622">
        <w:rPr>
          <w:color w:val="auto"/>
        </w:rPr>
        <w:t>/1.73</w:t>
      </w:r>
      <w:r w:rsidRPr="00FE7622">
        <w:rPr>
          <w:color w:val="auto"/>
        </w:rPr>
        <w:t> </w:t>
      </w:r>
      <w:r w:rsidR="00F026E8" w:rsidRPr="00FE7622">
        <w:rPr>
          <w:color w:val="auto"/>
        </w:rPr>
        <w:t>m</w:t>
      </w:r>
      <w:r w:rsidR="00E038BF" w:rsidRPr="00FE7622">
        <w:rPr>
          <w:color w:val="auto"/>
          <w:vertAlign w:val="superscript"/>
        </w:rPr>
        <w:t>2</w:t>
      </w:r>
      <w:r w:rsidR="00F026E8" w:rsidRPr="00FE7622">
        <w:rPr>
          <w:color w:val="auto"/>
        </w:rPr>
        <w:t xml:space="preserve"> by Modified Diet in Renal Disease 4 variable (MDRD4) calculation</w:t>
      </w:r>
      <w:r w:rsidR="00E038BF" w:rsidRPr="00FE7622">
        <w:rPr>
          <w:color w:val="auto"/>
          <w:vertAlign w:val="superscript"/>
        </w:rPr>
        <w:t>40</w:t>
      </w:r>
    </w:p>
    <w:p w14:paraId="33352A01" w14:textId="44274136" w:rsidR="00F026E8" w:rsidRPr="00FE7622" w:rsidRDefault="00A671FF" w:rsidP="00B77DF4">
      <w:pPr>
        <w:pStyle w:val="6132TextsubbulletlistnumberedTextstyles"/>
        <w:rPr>
          <w:color w:val="auto"/>
        </w:rPr>
      </w:pPr>
      <w:r w:rsidRPr="00FE7622">
        <w:rPr>
          <w:color w:val="auto"/>
        </w:rPr>
        <w:t>s</w:t>
      </w:r>
      <w:r w:rsidR="00F026E8" w:rsidRPr="00FE7622">
        <w:rPr>
          <w:color w:val="auto"/>
        </w:rPr>
        <w:t>erum potassium</w:t>
      </w:r>
      <w:r w:rsidR="00CE6CC3" w:rsidRPr="00FE7622">
        <w:rPr>
          <w:color w:val="auto"/>
        </w:rPr>
        <w:t xml:space="preserve"> level of </w:t>
      </w:r>
      <w:r w:rsidR="00F026E8" w:rsidRPr="00FE7622">
        <w:rPr>
          <w:color w:val="auto"/>
        </w:rPr>
        <w:t>&gt; 5.0</w:t>
      </w:r>
      <w:r w:rsidR="00A4354A" w:rsidRPr="00FE7622">
        <w:rPr>
          <w:color w:val="auto"/>
        </w:rPr>
        <w:t> </w:t>
      </w:r>
      <w:r w:rsidR="00F026E8" w:rsidRPr="00FE7622">
        <w:rPr>
          <w:color w:val="auto"/>
        </w:rPr>
        <w:t>mmol/</w:t>
      </w:r>
      <w:r w:rsidR="00A4354A" w:rsidRPr="00FE7622">
        <w:rPr>
          <w:color w:val="auto"/>
        </w:rPr>
        <w:t>l</w:t>
      </w:r>
      <w:r w:rsidR="00F026E8" w:rsidRPr="00FE7622">
        <w:rPr>
          <w:color w:val="auto"/>
        </w:rPr>
        <w:t xml:space="preserve"> or serum sodium</w:t>
      </w:r>
      <w:r w:rsidR="00CE6CC3" w:rsidRPr="00FE7622">
        <w:rPr>
          <w:color w:val="auto"/>
        </w:rPr>
        <w:t xml:space="preserve"> level of </w:t>
      </w:r>
      <w:r w:rsidR="00F026E8" w:rsidRPr="00FE7622">
        <w:rPr>
          <w:color w:val="auto"/>
        </w:rPr>
        <w:t>&lt; 130</w:t>
      </w:r>
      <w:r w:rsidR="00A4354A" w:rsidRPr="00FE7622">
        <w:rPr>
          <w:color w:val="auto"/>
        </w:rPr>
        <w:t> </w:t>
      </w:r>
      <w:r w:rsidR="00F026E8" w:rsidRPr="00FE7622">
        <w:rPr>
          <w:color w:val="auto"/>
        </w:rPr>
        <w:t>mmol/</w:t>
      </w:r>
      <w:r w:rsidR="00A4354A" w:rsidRPr="00FE7622">
        <w:rPr>
          <w:color w:val="auto"/>
        </w:rPr>
        <w:t>l</w:t>
      </w:r>
    </w:p>
    <w:p w14:paraId="1999444E" w14:textId="13283C3E" w:rsidR="00F026E8" w:rsidRPr="00FE7622" w:rsidRDefault="00A671FF" w:rsidP="00B77DF4">
      <w:pPr>
        <w:pStyle w:val="6132TextsubbulletlistnumberedTextstyles"/>
        <w:rPr>
          <w:color w:val="auto"/>
        </w:rPr>
      </w:pPr>
      <w:r w:rsidRPr="00FE7622">
        <w:rPr>
          <w:color w:val="auto"/>
        </w:rPr>
        <w:t>u</w:t>
      </w:r>
      <w:r w:rsidR="00F026E8" w:rsidRPr="00FE7622">
        <w:rPr>
          <w:color w:val="auto"/>
        </w:rPr>
        <w:t xml:space="preserve">sing </w:t>
      </w:r>
      <w:r w:rsidR="00F026E8" w:rsidRPr="00842651">
        <w:rPr>
          <w:color w:val="auto"/>
        </w:rPr>
        <w:t>ACEi</w:t>
      </w:r>
      <w:r w:rsidR="00F026E8" w:rsidRPr="00FE7622">
        <w:rPr>
          <w:color w:val="auto"/>
        </w:rPr>
        <w:t xml:space="preserve">, </w:t>
      </w:r>
      <w:r w:rsidR="00525C8B" w:rsidRPr="00842651">
        <w:rPr>
          <w:color w:val="auto"/>
        </w:rPr>
        <w:t>ARBs</w:t>
      </w:r>
      <w:r w:rsidR="00F026E8" w:rsidRPr="00FE7622">
        <w:rPr>
          <w:color w:val="auto"/>
        </w:rPr>
        <w:t>, aldosterone blocker or leucine already</w:t>
      </w:r>
    </w:p>
    <w:p w14:paraId="27DE12F1" w14:textId="53609467" w:rsidR="00F026E8" w:rsidRPr="00FE7622" w:rsidRDefault="00A671FF" w:rsidP="00B77DF4">
      <w:pPr>
        <w:pStyle w:val="6132TextsubbulletlistnumberedTextstyles"/>
        <w:rPr>
          <w:color w:val="auto"/>
        </w:rPr>
      </w:pPr>
      <w:r w:rsidRPr="00FE7622">
        <w:rPr>
          <w:color w:val="auto"/>
        </w:rPr>
        <w:t>p</w:t>
      </w:r>
      <w:r w:rsidR="00F026E8" w:rsidRPr="00FE7622">
        <w:rPr>
          <w:color w:val="auto"/>
        </w:rPr>
        <w:t xml:space="preserve">revious adverse reaction to </w:t>
      </w:r>
      <w:r w:rsidR="00F026E8" w:rsidRPr="00842651">
        <w:rPr>
          <w:color w:val="auto"/>
        </w:rPr>
        <w:t>ACEi</w:t>
      </w:r>
      <w:r w:rsidR="00F026E8" w:rsidRPr="00FE7622">
        <w:rPr>
          <w:color w:val="auto"/>
        </w:rPr>
        <w:t xml:space="preserve"> or leucine</w:t>
      </w:r>
    </w:p>
    <w:p w14:paraId="0D8980A5" w14:textId="04DD5C9B" w:rsidR="00F026E8" w:rsidRPr="00FE7622" w:rsidRDefault="00A671FF" w:rsidP="00B77DF4">
      <w:pPr>
        <w:pStyle w:val="6132TextsubbulletlistnumberedTextstyles"/>
        <w:rPr>
          <w:color w:val="auto"/>
        </w:rPr>
      </w:pPr>
      <w:r w:rsidRPr="00FE7622">
        <w:rPr>
          <w:color w:val="auto"/>
        </w:rPr>
        <w:t>c</w:t>
      </w:r>
      <w:r w:rsidR="00F026E8" w:rsidRPr="00FE7622">
        <w:rPr>
          <w:color w:val="auto"/>
        </w:rPr>
        <w:t xml:space="preserve">urrent use of oral non-steroidal anti-inflammatory drugs (aspirin was permitted, as were </w:t>
      </w:r>
      <w:r w:rsidR="00F026E8" w:rsidRPr="00FE7622">
        <w:rPr>
          <w:color w:val="auto"/>
        </w:rPr>
        <w:lastRenderedPageBreak/>
        <w:t xml:space="preserve">topical </w:t>
      </w:r>
      <w:r w:rsidR="00F27273" w:rsidRPr="00FE7622">
        <w:rPr>
          <w:color w:val="auto"/>
        </w:rPr>
        <w:t>non-steroidal anti-inflammatory drugs</w:t>
      </w:r>
      <w:r w:rsidR="00F026E8" w:rsidRPr="00FE7622">
        <w:rPr>
          <w:color w:val="auto"/>
        </w:rPr>
        <w:t>)</w:t>
      </w:r>
    </w:p>
    <w:p w14:paraId="6F18EC4A" w14:textId="440D8FD7" w:rsidR="00F026E8" w:rsidRPr="00FE7622" w:rsidRDefault="000047A6" w:rsidP="00B77DF4">
      <w:pPr>
        <w:pStyle w:val="6132TextsubbulletlistnumberedTextstyles"/>
        <w:rPr>
          <w:color w:val="auto"/>
        </w:rPr>
      </w:pPr>
      <w:r w:rsidRPr="00FE7622">
        <w:rPr>
          <w:color w:val="auto"/>
        </w:rPr>
        <w:t>c</w:t>
      </w:r>
      <w:r w:rsidR="00F026E8" w:rsidRPr="00FE7622">
        <w:rPr>
          <w:color w:val="auto"/>
        </w:rPr>
        <w:t>urrent use of potassium supplements, aliskiren, spironolactone or other potassium-sparing diuretics</w:t>
      </w:r>
    </w:p>
    <w:p w14:paraId="2A2DD57C" w14:textId="4F511270" w:rsidR="00F026E8" w:rsidRPr="00FE7622" w:rsidRDefault="000047A6" w:rsidP="00B77DF4">
      <w:pPr>
        <w:pStyle w:val="6132TextsubbulletlistnumberedTextstyles"/>
        <w:rPr>
          <w:color w:val="auto"/>
        </w:rPr>
      </w:pPr>
      <w:r w:rsidRPr="00FE7622">
        <w:rPr>
          <w:color w:val="auto"/>
        </w:rPr>
        <w:t>h</w:t>
      </w:r>
      <w:r w:rsidR="00F026E8" w:rsidRPr="00FE7622">
        <w:rPr>
          <w:color w:val="auto"/>
        </w:rPr>
        <w:t>ereditary or idiopathic angioedema</w:t>
      </w:r>
    </w:p>
    <w:p w14:paraId="3B63C09A" w14:textId="6880789F" w:rsidR="00F026E8" w:rsidRPr="00FE7622" w:rsidRDefault="000047A6" w:rsidP="00B77DF4">
      <w:pPr>
        <w:pStyle w:val="6133TextsubbulletlistnumberedlastTextstyles"/>
        <w:rPr>
          <w:color w:val="auto"/>
        </w:rPr>
      </w:pPr>
      <w:r w:rsidRPr="00FE7622">
        <w:rPr>
          <w:color w:val="auto"/>
        </w:rPr>
        <w:t>l</w:t>
      </w:r>
      <w:r w:rsidR="00F026E8" w:rsidRPr="00FE7622">
        <w:rPr>
          <w:color w:val="auto"/>
        </w:rPr>
        <w:t>actose intolerance</w:t>
      </w:r>
      <w:r w:rsidR="00B77DF4" w:rsidRPr="00FE7622">
        <w:rPr>
          <w:color w:val="auto"/>
        </w:rPr>
        <w:t>.</w:t>
      </w:r>
    </w:p>
    <w:p w14:paraId="7CE0A384" w14:textId="4A62DBE8" w:rsidR="00F026E8" w:rsidRPr="00FE7622" w:rsidRDefault="00F026E8" w:rsidP="00C22058">
      <w:pPr>
        <w:pStyle w:val="621TextnumberedlistTextstylesTextstyles"/>
        <w:rPr>
          <w:color w:val="auto"/>
        </w:rPr>
      </w:pPr>
      <w:r w:rsidRPr="00FE7622">
        <w:rPr>
          <w:color w:val="auto"/>
        </w:rPr>
        <w:t>Contraindications to consent or undertaking study outcomes</w:t>
      </w:r>
      <w:r w:rsidR="00501E97" w:rsidRPr="00FE7622">
        <w:rPr>
          <w:color w:val="auto"/>
        </w:rPr>
        <w:t>:</w:t>
      </w:r>
    </w:p>
    <w:p w14:paraId="50EDFB69" w14:textId="57C5E92B" w:rsidR="00F026E8" w:rsidRPr="00FE7622" w:rsidRDefault="000047A6" w:rsidP="00B77DF4">
      <w:pPr>
        <w:pStyle w:val="6132TextsubbulletlistnumberedTextstyles"/>
        <w:rPr>
          <w:color w:val="auto"/>
        </w:rPr>
      </w:pPr>
      <w:r w:rsidRPr="00FE7622">
        <w:rPr>
          <w:color w:val="auto"/>
        </w:rPr>
        <w:t>i</w:t>
      </w:r>
      <w:r w:rsidR="00F026E8" w:rsidRPr="00FE7622">
        <w:rPr>
          <w:color w:val="auto"/>
        </w:rPr>
        <w:t xml:space="preserve">mplantable cardioverter defibrillator or pacemaker with atrial sensing lead (a contraindication to bioimpedance measurement; </w:t>
      </w:r>
      <w:r w:rsidR="00501E97" w:rsidRPr="00FE7622">
        <w:rPr>
          <w:color w:val="auto"/>
        </w:rPr>
        <w:t xml:space="preserve">only </w:t>
      </w:r>
      <w:r w:rsidR="00F026E8" w:rsidRPr="00FE7622">
        <w:rPr>
          <w:color w:val="auto"/>
        </w:rPr>
        <w:t>pacemakers with ventricular sensing lead were allowed)</w:t>
      </w:r>
    </w:p>
    <w:p w14:paraId="54D2B9BE" w14:textId="2B9D7CB2" w:rsidR="00F026E8" w:rsidRPr="00FE7622" w:rsidRDefault="000047A6" w:rsidP="00B77DF4">
      <w:pPr>
        <w:pStyle w:val="6132TextsubbulletlistnumberedTextstyles"/>
        <w:rPr>
          <w:color w:val="auto"/>
        </w:rPr>
      </w:pPr>
      <w:r w:rsidRPr="00FE7622">
        <w:rPr>
          <w:color w:val="auto"/>
        </w:rPr>
        <w:t>p</w:t>
      </w:r>
      <w:r w:rsidR="00F026E8" w:rsidRPr="00FE7622">
        <w:rPr>
          <w:color w:val="auto"/>
        </w:rPr>
        <w:t>eripheral oedema present above knee level (likely to render bioimpedance measurement inaccurate)</w:t>
      </w:r>
    </w:p>
    <w:p w14:paraId="332C9C9E" w14:textId="5E10AAD8" w:rsidR="00F026E8" w:rsidRPr="00FE7622" w:rsidRDefault="000047A6" w:rsidP="00B77DF4">
      <w:pPr>
        <w:pStyle w:val="6132TextsubbulletlistnumberedTextstyles"/>
        <w:rPr>
          <w:color w:val="auto"/>
        </w:rPr>
      </w:pPr>
      <w:r w:rsidRPr="00FE7622">
        <w:rPr>
          <w:color w:val="auto"/>
        </w:rPr>
        <w:t>u</w:t>
      </w:r>
      <w:r w:rsidR="00F026E8" w:rsidRPr="00FE7622">
        <w:rPr>
          <w:color w:val="auto"/>
        </w:rPr>
        <w:t>nable to mobilise without human assistance (walking aids were allowed)</w:t>
      </w:r>
    </w:p>
    <w:p w14:paraId="51813722" w14:textId="30EEA90B" w:rsidR="00F026E8" w:rsidRPr="00FE7622" w:rsidRDefault="000047A6" w:rsidP="00B77DF4">
      <w:pPr>
        <w:pStyle w:val="6132TextsubbulletlistnumberedTextstyles"/>
        <w:rPr>
          <w:color w:val="auto"/>
        </w:rPr>
      </w:pPr>
      <w:r w:rsidRPr="00FE7622">
        <w:rPr>
          <w:color w:val="auto"/>
        </w:rPr>
        <w:t>u</w:t>
      </w:r>
      <w:r w:rsidR="00F026E8" w:rsidRPr="00FE7622">
        <w:rPr>
          <w:color w:val="auto"/>
        </w:rPr>
        <w:t>nable to give written informed consent</w:t>
      </w:r>
    </w:p>
    <w:p w14:paraId="652CF61B" w14:textId="6D07CC68" w:rsidR="00F026E8" w:rsidRPr="00FE7622" w:rsidRDefault="000047A6" w:rsidP="00B77DF4">
      <w:pPr>
        <w:pStyle w:val="6133TextsubbulletlistnumberedlastTextstyles"/>
        <w:rPr>
          <w:color w:val="auto"/>
        </w:rPr>
      </w:pPr>
      <w:r w:rsidRPr="00FE7622">
        <w:rPr>
          <w:color w:val="auto"/>
        </w:rPr>
        <w:t>c</w:t>
      </w:r>
      <w:r w:rsidR="00F026E8" w:rsidRPr="00FE7622">
        <w:rPr>
          <w:color w:val="auto"/>
        </w:rPr>
        <w:t xml:space="preserve">urrently enrolled in another intervention research study, </w:t>
      </w:r>
      <w:r w:rsidR="00E038BF" w:rsidRPr="00E038BF">
        <w:rPr>
          <w:color w:val="FF00FF"/>
          <w:sz w:val="24"/>
        </w:rPr>
        <w:t>[6]</w:t>
      </w:r>
      <w:commentRangeStart w:id="31"/>
      <w:r w:rsidR="00F026E8" w:rsidRPr="00FE7622">
        <w:rPr>
          <w:color w:val="auto"/>
        </w:rPr>
        <w:t xml:space="preserve">or </w:t>
      </w:r>
      <w:r w:rsidR="00BA2D29" w:rsidRPr="00FE7622">
        <w:rPr>
          <w:color w:val="auto"/>
        </w:rPr>
        <w:t xml:space="preserve">participated in another intervention research study </w:t>
      </w:r>
      <w:r w:rsidR="00F026E8" w:rsidRPr="00FE7622">
        <w:rPr>
          <w:color w:val="auto"/>
        </w:rPr>
        <w:t xml:space="preserve">less than 30 days </w:t>
      </w:r>
      <w:r w:rsidR="00BA2D29" w:rsidRPr="00FE7622">
        <w:rPr>
          <w:color w:val="auto"/>
        </w:rPr>
        <w:t>previously</w:t>
      </w:r>
      <w:r w:rsidR="00F026E8" w:rsidRPr="00FE7622">
        <w:rPr>
          <w:color w:val="auto"/>
        </w:rPr>
        <w:t xml:space="preserve">. </w:t>
      </w:r>
      <w:commentRangeEnd w:id="31"/>
      <w:r w:rsidR="00F53442" w:rsidRPr="00FE7622">
        <w:rPr>
          <w:rStyle w:val="CommentReference"/>
          <w:rFonts w:ascii="Times New Roman" w:hAnsi="Times New Roman" w:cs="Times New Roman"/>
          <w:color w:val="auto"/>
          <w:lang w:val="en-US" w:eastAsia="en-US"/>
        </w:rPr>
        <w:commentReference w:id="31"/>
      </w:r>
      <w:r w:rsidR="00F026E8" w:rsidRPr="00FE7622">
        <w:rPr>
          <w:color w:val="auto"/>
        </w:rPr>
        <w:t>Concomitant enrolment in observational studies was permitted.</w:t>
      </w:r>
    </w:p>
    <w:p w14:paraId="08EA5316" w14:textId="4D9B3DE7" w:rsidR="00F026E8" w:rsidRPr="00FE7622" w:rsidRDefault="00F026E8" w:rsidP="00C22058">
      <w:pPr>
        <w:pStyle w:val="621TextnumberedlistTextstylesTextstyles"/>
        <w:rPr>
          <w:color w:val="auto"/>
        </w:rPr>
      </w:pPr>
      <w:r w:rsidRPr="00FE7622">
        <w:rPr>
          <w:color w:val="auto"/>
        </w:rPr>
        <w:t>Overlap with other myopathic conditions or important confounders</w:t>
      </w:r>
      <w:r w:rsidR="00501E97" w:rsidRPr="00FE7622">
        <w:rPr>
          <w:color w:val="auto"/>
        </w:rPr>
        <w:t>:</w:t>
      </w:r>
    </w:p>
    <w:p w14:paraId="20822E56" w14:textId="0E1D9020" w:rsidR="00F026E8" w:rsidRPr="00FE7622" w:rsidRDefault="00A671FF" w:rsidP="00B77DF4">
      <w:pPr>
        <w:pStyle w:val="6132TextsubbulletlistnumberedTextstyles"/>
        <w:rPr>
          <w:color w:val="auto"/>
        </w:rPr>
      </w:pPr>
      <w:r w:rsidRPr="00FE7622">
        <w:rPr>
          <w:color w:val="auto"/>
        </w:rPr>
        <w:t>c</w:t>
      </w:r>
      <w:r w:rsidR="00F026E8" w:rsidRPr="00FE7622">
        <w:rPr>
          <w:color w:val="auto"/>
        </w:rPr>
        <w:t>urrently enrolled in a time-limited exercise-based rehabilitation programme</w:t>
      </w:r>
    </w:p>
    <w:p w14:paraId="3D386DB0" w14:textId="63D152D6" w:rsidR="00F026E8" w:rsidRPr="00FE7622" w:rsidRDefault="00A671FF" w:rsidP="00B77DF4">
      <w:pPr>
        <w:pStyle w:val="6132TextsubbulletlistnumberedTextstyles"/>
        <w:rPr>
          <w:color w:val="auto"/>
        </w:rPr>
      </w:pPr>
      <w:r w:rsidRPr="00FE7622">
        <w:rPr>
          <w:color w:val="auto"/>
        </w:rPr>
        <w:t>a</w:t>
      </w:r>
      <w:r w:rsidR="00F026E8" w:rsidRPr="00FE7622">
        <w:rPr>
          <w:color w:val="auto"/>
        </w:rPr>
        <w:t xml:space="preserve">ny progressive neurological or malignant condition with </w:t>
      </w:r>
      <w:r w:rsidR="00E16CEE" w:rsidRPr="00FE7622">
        <w:rPr>
          <w:color w:val="auto"/>
        </w:rPr>
        <w:t xml:space="preserve">a </w:t>
      </w:r>
      <w:r w:rsidR="00F026E8" w:rsidRPr="00FE7622">
        <w:rPr>
          <w:color w:val="auto"/>
        </w:rPr>
        <w:t xml:space="preserve">life expectancy </w:t>
      </w:r>
      <w:r w:rsidR="00C02E3A" w:rsidRPr="00FE7622">
        <w:rPr>
          <w:color w:val="auto"/>
        </w:rPr>
        <w:t xml:space="preserve">of </w:t>
      </w:r>
      <w:r w:rsidR="00F026E8" w:rsidRPr="00FE7622">
        <w:rPr>
          <w:color w:val="auto"/>
        </w:rPr>
        <w:t>&lt; 6 months</w:t>
      </w:r>
    </w:p>
    <w:p w14:paraId="38D4C79D" w14:textId="2153238D" w:rsidR="00F026E8" w:rsidRPr="00FE7622" w:rsidRDefault="00A671FF" w:rsidP="00B77DF4">
      <w:pPr>
        <w:pStyle w:val="6132TextsubbulletlistnumberedTextstyles"/>
        <w:rPr>
          <w:color w:val="auto"/>
        </w:rPr>
      </w:pPr>
      <w:r w:rsidRPr="00FE7622">
        <w:rPr>
          <w:color w:val="auto"/>
        </w:rPr>
        <w:t>s</w:t>
      </w:r>
      <w:r w:rsidR="00F026E8" w:rsidRPr="00FE7622">
        <w:rPr>
          <w:color w:val="auto"/>
        </w:rPr>
        <w:t xml:space="preserve">evere </w:t>
      </w:r>
      <w:r w:rsidRPr="00FE7622">
        <w:rPr>
          <w:color w:val="auto"/>
        </w:rPr>
        <w:t>chronic obstructive pulmonary disease (</w:t>
      </w:r>
      <w:r w:rsidR="00F026E8" w:rsidRPr="00842651">
        <w:rPr>
          <w:color w:val="auto"/>
        </w:rPr>
        <w:t>COPD</w:t>
      </w:r>
      <w:r w:rsidRPr="00FE7622">
        <w:rPr>
          <w:color w:val="auto"/>
        </w:rPr>
        <w:t>)</w:t>
      </w:r>
      <w:r w:rsidR="00F026E8" w:rsidRPr="00FE7622">
        <w:rPr>
          <w:color w:val="auto"/>
        </w:rPr>
        <w:t xml:space="preserve"> (GOLD stage IV)</w:t>
      </w:r>
      <w:r w:rsidR="00E038BF" w:rsidRPr="00FE7622">
        <w:rPr>
          <w:color w:val="auto"/>
          <w:vertAlign w:val="superscript"/>
        </w:rPr>
        <w:t>41</w:t>
      </w:r>
    </w:p>
    <w:p w14:paraId="55FAA13C" w14:textId="615BD33C" w:rsidR="00F026E8" w:rsidRPr="00FE7622" w:rsidRDefault="00A671FF" w:rsidP="00B77DF4">
      <w:pPr>
        <w:pStyle w:val="6132TextsubbulletlistnumberedTextstyles"/>
        <w:rPr>
          <w:color w:val="auto"/>
        </w:rPr>
      </w:pPr>
      <w:r w:rsidRPr="00FE7622">
        <w:rPr>
          <w:color w:val="auto"/>
        </w:rPr>
        <w:t>k</w:t>
      </w:r>
      <w:r w:rsidR="00F026E8" w:rsidRPr="00FE7622">
        <w:rPr>
          <w:color w:val="auto"/>
        </w:rPr>
        <w:t>nown myositis or other established myopathy</w:t>
      </w:r>
    </w:p>
    <w:p w14:paraId="0B08546A" w14:textId="58BB8670" w:rsidR="00F026E8" w:rsidRPr="00FE7622" w:rsidRDefault="00A671FF" w:rsidP="00B77DF4">
      <w:pPr>
        <w:pStyle w:val="6132TextsubbulletlistnumberedTextstyles"/>
        <w:rPr>
          <w:color w:val="auto"/>
        </w:rPr>
      </w:pPr>
      <w:r w:rsidRPr="00FE7622">
        <w:rPr>
          <w:color w:val="auto"/>
        </w:rPr>
        <w:t>s</w:t>
      </w:r>
      <w:r w:rsidR="00F026E8" w:rsidRPr="00FE7622">
        <w:rPr>
          <w:color w:val="auto"/>
        </w:rPr>
        <w:t>elf-reported weight loss of &gt; 10% in last 6 months (to exclude significant cachexia)</w:t>
      </w:r>
    </w:p>
    <w:p w14:paraId="599B2346" w14:textId="73B34A59" w:rsidR="00F026E8" w:rsidRPr="00FE7622" w:rsidRDefault="00A671FF" w:rsidP="00B77DF4">
      <w:pPr>
        <w:pStyle w:val="6132TextsubbulletlistnumberedTextstyles"/>
        <w:rPr>
          <w:color w:val="auto"/>
        </w:rPr>
      </w:pPr>
      <w:r w:rsidRPr="00FE7622">
        <w:rPr>
          <w:color w:val="auto"/>
        </w:rPr>
        <w:t>k</w:t>
      </w:r>
      <w:r w:rsidR="00F026E8" w:rsidRPr="00FE7622">
        <w:rPr>
          <w:color w:val="auto"/>
        </w:rPr>
        <w:t>nown uncontrolled thyrotoxicosis</w:t>
      </w:r>
    </w:p>
    <w:p w14:paraId="2FA51A2F" w14:textId="4656C31B" w:rsidR="00F026E8" w:rsidRPr="00FE7622" w:rsidRDefault="00A671FF" w:rsidP="00B77DF4">
      <w:pPr>
        <w:pStyle w:val="6133TextsubbulletlistnumberedlastTextstyles"/>
        <w:rPr>
          <w:color w:val="auto"/>
        </w:rPr>
      </w:pPr>
      <w:r w:rsidRPr="00FE7622">
        <w:rPr>
          <w:color w:val="auto"/>
        </w:rPr>
        <w:t>u</w:t>
      </w:r>
      <w:r w:rsidR="00B77DF4" w:rsidRPr="00FE7622">
        <w:rPr>
          <w:color w:val="auto"/>
        </w:rPr>
        <w:t xml:space="preserve">se of </w:t>
      </w:r>
      <w:r w:rsidR="00C02E3A" w:rsidRPr="00FE7622">
        <w:rPr>
          <w:color w:val="auto"/>
        </w:rPr>
        <w:t>≥ </w:t>
      </w:r>
      <w:r w:rsidR="00F026E8" w:rsidRPr="00FE7622">
        <w:rPr>
          <w:color w:val="auto"/>
        </w:rPr>
        <w:t>7.5</w:t>
      </w:r>
      <w:r w:rsidR="00C02E3A" w:rsidRPr="00FE7622">
        <w:rPr>
          <w:color w:val="auto"/>
        </w:rPr>
        <w:t> </w:t>
      </w:r>
      <w:r w:rsidR="00F026E8" w:rsidRPr="00FE7622">
        <w:rPr>
          <w:color w:val="auto"/>
        </w:rPr>
        <w:t xml:space="preserve">mg/day </w:t>
      </w:r>
      <w:r w:rsidR="00B77DF4" w:rsidRPr="00FE7622">
        <w:rPr>
          <w:color w:val="auto"/>
        </w:rPr>
        <w:t xml:space="preserve">of </w:t>
      </w:r>
      <w:r w:rsidR="00F026E8" w:rsidRPr="00FE7622">
        <w:rPr>
          <w:color w:val="auto"/>
        </w:rPr>
        <w:t>prednisolone (or equivalent)</w:t>
      </w:r>
      <w:r w:rsidR="00B77DF4" w:rsidRPr="00FE7622">
        <w:rPr>
          <w:color w:val="auto"/>
        </w:rPr>
        <w:t>.</w:t>
      </w:r>
    </w:p>
    <w:p w14:paraId="03DB1418" w14:textId="473DBD5B" w:rsidR="00E038BF" w:rsidRPr="00FE7622" w:rsidRDefault="00E038BF" w:rsidP="00DA3FE6">
      <w:pPr>
        <w:pStyle w:val="52AheadHeadingsHeadingstyles"/>
      </w:pPr>
      <w:bookmarkStart w:id="32" w:name="_Toc79684484"/>
      <w:r w:rsidRPr="00FE7622">
        <w:t>Trial interventions and comparators</w:t>
      </w:r>
      <w:bookmarkEnd w:id="32"/>
    </w:p>
    <w:p w14:paraId="069E8C01" w14:textId="39907D21" w:rsidR="00E038BF" w:rsidRPr="00FE7622" w:rsidRDefault="00E038BF" w:rsidP="00DA3FE6">
      <w:pPr>
        <w:pStyle w:val="53BheadHeadingsHeadingstyles"/>
      </w:pPr>
      <w:bookmarkStart w:id="33" w:name="_Toc79684485"/>
      <w:r w:rsidRPr="00FE7622">
        <w:t>Perindopril</w:t>
      </w:r>
      <w:bookmarkEnd w:id="33"/>
    </w:p>
    <w:p w14:paraId="42D13B30" w14:textId="0D8791EC" w:rsidR="00F026E8" w:rsidRPr="00FE7622" w:rsidRDefault="00F026E8" w:rsidP="00DA3FE6">
      <w:pPr>
        <w:pStyle w:val="602TextfoTextstylesTextstyles"/>
        <w:rPr>
          <w:color w:val="auto"/>
        </w:rPr>
      </w:pPr>
      <w:r w:rsidRPr="00FE7622">
        <w:rPr>
          <w:color w:val="auto"/>
        </w:rPr>
        <w:t xml:space="preserve">Participants were randomised to 2 mg </w:t>
      </w:r>
      <w:r w:rsidR="00C02E3A" w:rsidRPr="00FE7622">
        <w:rPr>
          <w:color w:val="auto"/>
        </w:rPr>
        <w:t xml:space="preserve">of perindopril </w:t>
      </w:r>
      <w:r w:rsidRPr="00FE7622">
        <w:rPr>
          <w:color w:val="auto"/>
        </w:rPr>
        <w:t xml:space="preserve">or </w:t>
      </w:r>
      <w:r w:rsidR="006C5372" w:rsidRPr="00FE7622">
        <w:rPr>
          <w:color w:val="auto"/>
        </w:rPr>
        <w:t xml:space="preserve">a </w:t>
      </w:r>
      <w:r w:rsidRPr="00FE7622">
        <w:rPr>
          <w:color w:val="auto"/>
        </w:rPr>
        <w:t xml:space="preserve">matching placebo. At 2 weeks, if blood pressure, electrolytes and creatinine </w:t>
      </w:r>
      <w:r w:rsidR="006C5372" w:rsidRPr="00FE7622">
        <w:rPr>
          <w:color w:val="auto"/>
        </w:rPr>
        <w:t xml:space="preserve">levels </w:t>
      </w:r>
      <w:r w:rsidRPr="00FE7622">
        <w:rPr>
          <w:color w:val="auto"/>
        </w:rPr>
        <w:t xml:space="preserve">were satisfactory, the dose </w:t>
      </w:r>
      <w:r w:rsidR="006C5372" w:rsidRPr="00FE7622">
        <w:rPr>
          <w:color w:val="auto"/>
        </w:rPr>
        <w:t xml:space="preserve">of perindopril or matching placebo </w:t>
      </w:r>
      <w:r w:rsidRPr="00FE7622">
        <w:rPr>
          <w:color w:val="auto"/>
        </w:rPr>
        <w:t xml:space="preserve">was increased to 4 mg. Perindopril was chosen </w:t>
      </w:r>
      <w:r w:rsidR="006C5372" w:rsidRPr="00FE7622">
        <w:rPr>
          <w:color w:val="auto"/>
        </w:rPr>
        <w:t xml:space="preserve">because of </w:t>
      </w:r>
      <w:r w:rsidRPr="00FE7622">
        <w:rPr>
          <w:color w:val="auto"/>
        </w:rPr>
        <w:t xml:space="preserve">its previous efficacy </w:t>
      </w:r>
      <w:r w:rsidR="006C5372" w:rsidRPr="00FE7622">
        <w:rPr>
          <w:color w:val="auto"/>
        </w:rPr>
        <w:t>in</w:t>
      </w:r>
      <w:r w:rsidRPr="00FE7622">
        <w:rPr>
          <w:color w:val="auto"/>
        </w:rPr>
        <w:t xml:space="preserve"> improving measures of physical function in older people,</w:t>
      </w:r>
      <w:r w:rsidR="00E038BF" w:rsidRPr="00FE7622">
        <w:rPr>
          <w:color w:val="auto"/>
          <w:vertAlign w:val="superscript"/>
        </w:rPr>
        <w:t>30</w:t>
      </w:r>
      <w:r w:rsidRPr="00FE7622">
        <w:rPr>
          <w:color w:val="auto"/>
        </w:rPr>
        <w:t xml:space="preserve"> convenient once</w:t>
      </w:r>
      <w:r w:rsidR="006C5372" w:rsidRPr="00FE7622">
        <w:rPr>
          <w:color w:val="auto"/>
        </w:rPr>
        <w:t>-</w:t>
      </w:r>
      <w:r w:rsidRPr="00FE7622">
        <w:rPr>
          <w:color w:val="auto"/>
        </w:rPr>
        <w:t>daily dosing and simple uptitration schedule to the working dose of 4 mg.</w:t>
      </w:r>
    </w:p>
    <w:p w14:paraId="2FDD08DB" w14:textId="20629814" w:rsidR="00E038BF" w:rsidRPr="00FE7622" w:rsidRDefault="00E038BF" w:rsidP="00DA3FE6">
      <w:pPr>
        <w:pStyle w:val="53BheadHeadingsHeadingstyles"/>
      </w:pPr>
      <w:bookmarkStart w:id="34" w:name="_Toc79684486"/>
      <w:r w:rsidRPr="00FE7622">
        <w:t>Leucine</w:t>
      </w:r>
      <w:bookmarkEnd w:id="34"/>
    </w:p>
    <w:p w14:paraId="5F0E6502" w14:textId="24F5B8F8" w:rsidR="00F026E8" w:rsidRPr="00FE7622" w:rsidRDefault="00F026E8" w:rsidP="00DA3FE6">
      <w:pPr>
        <w:pStyle w:val="602TextfoTextstylesTextstyles"/>
        <w:rPr>
          <w:color w:val="auto"/>
        </w:rPr>
      </w:pPr>
      <w:r w:rsidRPr="00FE7622">
        <w:rPr>
          <w:color w:val="auto"/>
        </w:rPr>
        <w:t>Participants were randomised to 2.5 g</w:t>
      </w:r>
      <w:r w:rsidR="00C02E3A" w:rsidRPr="00FE7622">
        <w:rPr>
          <w:color w:val="auto"/>
        </w:rPr>
        <w:t xml:space="preserve"> of leucine powder</w:t>
      </w:r>
      <w:r w:rsidRPr="00FE7622">
        <w:rPr>
          <w:color w:val="auto"/>
        </w:rPr>
        <w:t xml:space="preserve"> three times </w:t>
      </w:r>
      <w:r w:rsidR="00BF13CC" w:rsidRPr="00FE7622">
        <w:rPr>
          <w:color w:val="auto"/>
        </w:rPr>
        <w:t>per</w:t>
      </w:r>
      <w:r w:rsidRPr="00FE7622">
        <w:rPr>
          <w:color w:val="auto"/>
        </w:rPr>
        <w:t xml:space="preserve"> day or </w:t>
      </w:r>
      <w:r w:rsidR="00BF13CC" w:rsidRPr="00FE7622">
        <w:rPr>
          <w:color w:val="auto"/>
        </w:rPr>
        <w:t>to</w:t>
      </w:r>
      <w:r w:rsidR="005A585E" w:rsidRPr="00FE7622">
        <w:rPr>
          <w:color w:val="auto"/>
        </w:rPr>
        <w:t xml:space="preserve"> a</w:t>
      </w:r>
      <w:r w:rsidR="00BF13CC" w:rsidRPr="00FE7622">
        <w:rPr>
          <w:color w:val="auto"/>
        </w:rPr>
        <w:t xml:space="preserve"> </w:t>
      </w:r>
      <w:r w:rsidRPr="00FE7622">
        <w:rPr>
          <w:color w:val="auto"/>
        </w:rPr>
        <w:t xml:space="preserve">matching placebo, to be taken with meals. This dose of leucine was selected </w:t>
      </w:r>
      <w:r w:rsidR="00F16204" w:rsidRPr="00FE7622">
        <w:rPr>
          <w:color w:val="auto"/>
        </w:rPr>
        <w:t>in previous studies</w:t>
      </w:r>
      <w:r w:rsidR="00E038BF" w:rsidRPr="00FE7622">
        <w:rPr>
          <w:color w:val="auto"/>
          <w:vertAlign w:val="superscript"/>
        </w:rPr>
        <w:t>19</w:t>
      </w:r>
      <w:r w:rsidR="00F16204" w:rsidRPr="00FE7622">
        <w:rPr>
          <w:color w:val="auto"/>
        </w:rPr>
        <w:t xml:space="preserve"> it w</w:t>
      </w:r>
      <w:r w:rsidRPr="00FE7622">
        <w:rPr>
          <w:color w:val="auto"/>
        </w:rPr>
        <w:t>as sufficient to generate improvement in older people.</w:t>
      </w:r>
    </w:p>
    <w:p w14:paraId="30B9B278" w14:textId="3C5508C5" w:rsidR="00E038BF" w:rsidRPr="00FE7622" w:rsidRDefault="00E038BF" w:rsidP="00DA3FE6">
      <w:pPr>
        <w:pStyle w:val="52AheadHeadingsHeadingstyles"/>
      </w:pPr>
      <w:bookmarkStart w:id="35" w:name="_Toc79684487"/>
      <w:r w:rsidRPr="00FE7622">
        <w:t>Outcome measures</w:t>
      </w:r>
      <w:bookmarkEnd w:id="35"/>
    </w:p>
    <w:p w14:paraId="5F008400" w14:textId="0F08E732" w:rsidR="00E038BF" w:rsidRPr="00FE7622" w:rsidRDefault="00E038BF" w:rsidP="00DA3FE6">
      <w:pPr>
        <w:pStyle w:val="53BheadHeadingsHeadingstyles"/>
      </w:pPr>
      <w:bookmarkStart w:id="36" w:name="_Toc79684488"/>
      <w:r w:rsidRPr="00FE7622">
        <w:t>Primary outcome</w:t>
      </w:r>
      <w:bookmarkEnd w:id="36"/>
    </w:p>
    <w:p w14:paraId="09D91991" w14:textId="01C5B859" w:rsidR="00F026E8" w:rsidRPr="00FE7622" w:rsidRDefault="00F026E8" w:rsidP="00DA3FE6">
      <w:pPr>
        <w:pStyle w:val="602TextfoTextstylesTextstyles"/>
        <w:rPr>
          <w:color w:val="auto"/>
        </w:rPr>
      </w:pPr>
      <w:r w:rsidRPr="00FE7622">
        <w:rPr>
          <w:color w:val="auto"/>
        </w:rPr>
        <w:t>The primary outcome was the between</w:t>
      </w:r>
      <w:r w:rsidR="00C02E3A" w:rsidRPr="00FE7622">
        <w:rPr>
          <w:color w:val="auto"/>
        </w:rPr>
        <w:t>-</w:t>
      </w:r>
      <w:r w:rsidRPr="00FE7622">
        <w:rPr>
          <w:color w:val="auto"/>
        </w:rPr>
        <w:t>group difference in the Short Physical Performance Battery (</w:t>
      </w:r>
      <w:r w:rsidRPr="00842651">
        <w:rPr>
          <w:color w:val="auto"/>
        </w:rPr>
        <w:t>SPPB</w:t>
      </w:r>
      <w:r w:rsidRPr="00FE7622">
        <w:rPr>
          <w:color w:val="auto"/>
        </w:rPr>
        <w:t xml:space="preserve">) score </w:t>
      </w:r>
      <w:r w:rsidR="00181F9F" w:rsidRPr="00FE7622">
        <w:rPr>
          <w:color w:val="auto"/>
        </w:rPr>
        <w:t>during</w:t>
      </w:r>
      <w:r w:rsidRPr="00FE7622">
        <w:rPr>
          <w:color w:val="auto"/>
        </w:rPr>
        <w:t xml:space="preserve"> the follow</w:t>
      </w:r>
      <w:r w:rsidR="00C02E3A" w:rsidRPr="00FE7622">
        <w:rPr>
          <w:color w:val="auto"/>
        </w:rPr>
        <w:t>-</w:t>
      </w:r>
      <w:r w:rsidRPr="00FE7622">
        <w:rPr>
          <w:color w:val="auto"/>
        </w:rPr>
        <w:t xml:space="preserve">up period. The </w:t>
      </w:r>
      <w:r w:rsidRPr="00842651">
        <w:rPr>
          <w:color w:val="auto"/>
        </w:rPr>
        <w:t>SPPB</w:t>
      </w:r>
      <w:r w:rsidRPr="00FE7622">
        <w:rPr>
          <w:color w:val="auto"/>
        </w:rPr>
        <w:t xml:space="preserve"> was measured at baseline</w:t>
      </w:r>
      <w:r w:rsidR="00C02E3A" w:rsidRPr="00FE7622">
        <w:rPr>
          <w:color w:val="auto"/>
        </w:rPr>
        <w:t xml:space="preserve"> and at</w:t>
      </w:r>
      <w:r w:rsidRPr="00FE7622">
        <w:rPr>
          <w:color w:val="auto"/>
        </w:rPr>
        <w:t xml:space="preserve"> 6 and 12 months. The </w:t>
      </w:r>
      <w:r w:rsidRPr="00842651">
        <w:rPr>
          <w:color w:val="auto"/>
        </w:rPr>
        <w:t>SPPB</w:t>
      </w:r>
      <w:r w:rsidRPr="00FE7622">
        <w:rPr>
          <w:color w:val="auto"/>
        </w:rPr>
        <w:t xml:space="preserve"> tests gait speed, lower limb strength and balance and is a good predictor of multiple adverse outcomes in older people</w:t>
      </w:r>
      <w:r w:rsidR="00181F9F" w:rsidRPr="00FE7622">
        <w:rPr>
          <w:color w:val="auto"/>
        </w:rPr>
        <w:t>,</w:t>
      </w:r>
      <w:r w:rsidRPr="00FE7622">
        <w:rPr>
          <w:color w:val="auto"/>
        </w:rPr>
        <w:t xml:space="preserve"> including death, dependency and future disability.</w:t>
      </w:r>
      <w:r w:rsidR="00E038BF" w:rsidRPr="00FE7622">
        <w:rPr>
          <w:color w:val="auto"/>
          <w:vertAlign w:val="superscript"/>
        </w:rPr>
        <w:t>42,43</w:t>
      </w:r>
      <w:r w:rsidRPr="00FE7622">
        <w:rPr>
          <w:color w:val="auto"/>
        </w:rPr>
        <w:t xml:space="preserve"> The test consists of a balance test, a five times sit to stand from a chair and </w:t>
      </w:r>
      <w:r w:rsidR="0080593E" w:rsidRPr="00FE7622">
        <w:rPr>
          <w:color w:val="auto"/>
        </w:rPr>
        <w:t xml:space="preserve">the </w:t>
      </w:r>
      <w:r w:rsidRPr="00FE7622">
        <w:rPr>
          <w:color w:val="auto"/>
        </w:rPr>
        <w:t xml:space="preserve">measurement of walk speed over a </w:t>
      </w:r>
      <w:r w:rsidR="00C02E3A" w:rsidRPr="00FE7622">
        <w:rPr>
          <w:color w:val="auto"/>
        </w:rPr>
        <w:t>4</w:t>
      </w:r>
      <w:r w:rsidRPr="00FE7622">
        <w:rPr>
          <w:color w:val="auto"/>
        </w:rPr>
        <w:t xml:space="preserve">-metre course. The worst possible score is </w:t>
      </w:r>
      <w:r w:rsidR="00C02E3A" w:rsidRPr="00FE7622">
        <w:rPr>
          <w:color w:val="auto"/>
        </w:rPr>
        <w:t>0</w:t>
      </w:r>
      <w:r w:rsidRPr="00FE7622">
        <w:rPr>
          <w:color w:val="auto"/>
        </w:rPr>
        <w:t xml:space="preserve"> and the best </w:t>
      </w:r>
      <w:r w:rsidR="00A8517E" w:rsidRPr="00FE7622">
        <w:rPr>
          <w:color w:val="auto"/>
        </w:rPr>
        <w:t xml:space="preserve">possible </w:t>
      </w:r>
      <w:r w:rsidRPr="00FE7622">
        <w:rPr>
          <w:color w:val="auto"/>
        </w:rPr>
        <w:t>score is 12.</w:t>
      </w:r>
    </w:p>
    <w:p w14:paraId="04B552D5" w14:textId="6877CE10" w:rsidR="00E038BF" w:rsidRPr="00FE7622" w:rsidRDefault="00E038BF" w:rsidP="00DA3FE6">
      <w:pPr>
        <w:pStyle w:val="53BheadHeadingsHeadingstyles"/>
      </w:pPr>
      <w:bookmarkStart w:id="37" w:name="_Toc79684489"/>
      <w:r w:rsidRPr="00FE7622">
        <w:t>Secondary outcomes</w:t>
      </w:r>
      <w:bookmarkEnd w:id="37"/>
    </w:p>
    <w:p w14:paraId="3F5ED1DC" w14:textId="60D33A07" w:rsidR="00F026E8" w:rsidRPr="00FE7622" w:rsidRDefault="00E038BF" w:rsidP="00DA3FE6">
      <w:pPr>
        <w:pStyle w:val="602TextfoTextstylesTextstyles"/>
        <w:rPr>
          <w:color w:val="auto"/>
        </w:rPr>
      </w:pPr>
      <w:r w:rsidRPr="00FE7622">
        <w:rPr>
          <w:i/>
          <w:color w:val="FF0000"/>
        </w:rPr>
        <w:t>Table 2</w:t>
      </w:r>
      <w:r w:rsidR="00F026E8" w:rsidRPr="00FE7622">
        <w:rPr>
          <w:color w:val="auto"/>
        </w:rPr>
        <w:t xml:space="preserve"> lists the secondary outcome</w:t>
      </w:r>
      <w:r w:rsidR="00C51EE7" w:rsidRPr="00FE7622">
        <w:rPr>
          <w:color w:val="auto"/>
        </w:rPr>
        <w:t>s</w:t>
      </w:r>
      <w:r w:rsidR="00F026E8" w:rsidRPr="00FE7622">
        <w:rPr>
          <w:color w:val="auto"/>
        </w:rPr>
        <w:t xml:space="preserve"> measure</w:t>
      </w:r>
      <w:r w:rsidR="00C51EE7" w:rsidRPr="00FE7622">
        <w:rPr>
          <w:color w:val="auto"/>
        </w:rPr>
        <w:t>d</w:t>
      </w:r>
      <w:r w:rsidR="00F026E8" w:rsidRPr="00FE7622">
        <w:rPr>
          <w:color w:val="auto"/>
        </w:rPr>
        <w:t xml:space="preserve"> as part of the </w:t>
      </w:r>
      <w:r w:rsidR="00F026E8" w:rsidRPr="00842651">
        <w:rPr>
          <w:color w:val="auto"/>
        </w:rPr>
        <w:t>LACE</w:t>
      </w:r>
      <w:r w:rsidR="00F026E8" w:rsidRPr="00FE7622">
        <w:rPr>
          <w:color w:val="auto"/>
        </w:rPr>
        <w:t xml:space="preserve"> trial. All secondary outcomes were assessed as the between-group difference in each measure </w:t>
      </w:r>
      <w:r w:rsidR="00C51EE7" w:rsidRPr="00FE7622">
        <w:rPr>
          <w:color w:val="auto"/>
        </w:rPr>
        <w:t>during</w:t>
      </w:r>
      <w:r w:rsidR="00F026E8" w:rsidRPr="00FE7622">
        <w:rPr>
          <w:color w:val="auto"/>
        </w:rPr>
        <w:t xml:space="preserve"> the follow</w:t>
      </w:r>
      <w:r w:rsidR="00C02E3A" w:rsidRPr="00FE7622">
        <w:rPr>
          <w:color w:val="auto"/>
        </w:rPr>
        <w:t>-</w:t>
      </w:r>
      <w:r w:rsidR="00F026E8" w:rsidRPr="00FE7622">
        <w:rPr>
          <w:color w:val="auto"/>
        </w:rPr>
        <w:t>up period.</w:t>
      </w:r>
    </w:p>
    <w:p w14:paraId="33A5C1D6" w14:textId="414C275B" w:rsidR="00F026E8" w:rsidRPr="00FE7622" w:rsidRDefault="00E038BF" w:rsidP="00F026E8">
      <w:pPr>
        <w:pStyle w:val="70TablelegendTablesTableFigureBoxstyles"/>
        <w:rPr>
          <w:lang w:val="en-GB"/>
        </w:rPr>
      </w:pPr>
      <w:r w:rsidRPr="00FE7622">
        <w:rPr>
          <w:b/>
        </w:rPr>
        <w:t>TABLE 2</w:t>
      </w:r>
      <w:r w:rsidRPr="00FE7622">
        <w:rPr>
          <w:b/>
        </w:rPr>
        <w:t> </w:t>
      </w:r>
      <w:r w:rsidR="00F026E8" w:rsidRPr="00FE7622">
        <w:rPr>
          <w:lang w:val="en-GB"/>
        </w:rPr>
        <w:t xml:space="preserve">Secondary outcomes in the </w:t>
      </w:r>
      <w:r w:rsidR="00F026E8" w:rsidRPr="00842651">
        <w:rPr>
          <w:lang w:val="en-GB"/>
        </w:rPr>
        <w:t>LACE</w:t>
      </w:r>
      <w:r w:rsidR="00F026E8" w:rsidRPr="00FE7622">
        <w:rPr>
          <w:lang w:val="en-GB"/>
        </w:rPr>
        <w:t xml:space="preserve"> trial</w:t>
      </w:r>
    </w:p>
    <w:tbl>
      <w:tblPr>
        <w:tblW w:w="0" w:type="auto"/>
        <w:tblCellMar>
          <w:top w:w="40" w:type="dxa"/>
          <w:left w:w="60" w:type="dxa"/>
          <w:bottom w:w="40" w:type="dxa"/>
          <w:right w:w="60" w:type="dxa"/>
        </w:tblCellMar>
        <w:tblLook w:val="04A0" w:firstRow="1" w:lastRow="0" w:firstColumn="1" w:lastColumn="0" w:noHBand="0" w:noVBand="1"/>
      </w:tblPr>
      <w:tblGrid>
        <w:gridCol w:w="2034"/>
        <w:gridCol w:w="5109"/>
        <w:gridCol w:w="1883"/>
      </w:tblGrid>
      <w:tr w:rsidR="00A77850" w:rsidRPr="00FE7622" w14:paraId="0C0DBEC5" w14:textId="77777777" w:rsidTr="00AF19CC">
        <w:trPr>
          <w:cantSplit/>
        </w:trPr>
        <w:tc>
          <w:tcPr>
            <w:tcW w:w="0" w:type="auto"/>
            <w:shd w:val="clear" w:color="auto" w:fill="auto"/>
          </w:tcPr>
          <w:p w14:paraId="7909EB35" w14:textId="218E959E" w:rsidR="00F026E8" w:rsidRPr="00FE7622" w:rsidRDefault="00E038BF" w:rsidP="00AF19CC">
            <w:pPr>
              <w:pStyle w:val="710TableheadTablesTableFigureBoxstyles"/>
            </w:pPr>
            <w:r w:rsidRPr="00FE7622">
              <w:t>Outcome</w:t>
            </w:r>
          </w:p>
        </w:tc>
        <w:tc>
          <w:tcPr>
            <w:tcW w:w="0" w:type="auto"/>
            <w:shd w:val="clear" w:color="auto" w:fill="auto"/>
          </w:tcPr>
          <w:p w14:paraId="0C914080" w14:textId="760E93C7" w:rsidR="00F026E8" w:rsidRPr="00FE7622" w:rsidRDefault="00E038BF" w:rsidP="00AF19CC">
            <w:pPr>
              <w:pStyle w:val="710TableheadTablesTableFigureBoxstyles"/>
            </w:pPr>
            <w:r w:rsidRPr="00FE7622">
              <w:t>Measurement details</w:t>
            </w:r>
          </w:p>
        </w:tc>
        <w:tc>
          <w:tcPr>
            <w:tcW w:w="0" w:type="auto"/>
            <w:shd w:val="clear" w:color="auto" w:fill="auto"/>
          </w:tcPr>
          <w:p w14:paraId="3B6425DF" w14:textId="28484124" w:rsidR="00F026E8" w:rsidRPr="00FE7622" w:rsidRDefault="00E038BF" w:rsidP="00AF19CC">
            <w:pPr>
              <w:pStyle w:val="710TableheadTablesTableFigureBoxstyles"/>
            </w:pPr>
            <w:r w:rsidRPr="00FE7622">
              <w:t>Measurement time points (months)</w:t>
            </w:r>
          </w:p>
        </w:tc>
      </w:tr>
      <w:tr w:rsidR="00A77850" w:rsidRPr="00FE7622" w14:paraId="28B49896" w14:textId="77777777" w:rsidTr="00AF19CC">
        <w:trPr>
          <w:cantSplit/>
        </w:trPr>
        <w:tc>
          <w:tcPr>
            <w:tcW w:w="0" w:type="auto"/>
            <w:shd w:val="clear" w:color="auto" w:fill="auto"/>
          </w:tcPr>
          <w:p w14:paraId="065C4E7B" w14:textId="77777777" w:rsidR="00F026E8" w:rsidRPr="00FE7622" w:rsidRDefault="00F026E8" w:rsidP="00AF19CC">
            <w:pPr>
              <w:pStyle w:val="72TabletextTablesTableFigureBoxstyles"/>
            </w:pPr>
            <w:r w:rsidRPr="00FE7622">
              <w:rPr>
                <w:color w:val="auto"/>
              </w:rPr>
              <w:t>Maximum grip strength</w:t>
            </w:r>
          </w:p>
        </w:tc>
        <w:tc>
          <w:tcPr>
            <w:tcW w:w="0" w:type="auto"/>
            <w:shd w:val="clear" w:color="auto" w:fill="auto"/>
          </w:tcPr>
          <w:p w14:paraId="1E3B8007" w14:textId="73383476" w:rsidR="00F026E8" w:rsidRPr="00FE7622" w:rsidRDefault="00F026E8" w:rsidP="00AF19CC">
            <w:pPr>
              <w:pStyle w:val="72TabletextTablesTableFigureBoxstyles"/>
            </w:pPr>
            <w:r w:rsidRPr="00FE7622">
              <w:rPr>
                <w:color w:val="auto"/>
              </w:rPr>
              <w:t>Jamar</w:t>
            </w:r>
            <w:r w:rsidR="00E038BF" w:rsidRPr="00FE7622">
              <w:rPr>
                <w:color w:val="auto"/>
                <w:vertAlign w:val="superscript"/>
              </w:rPr>
              <w:t>®</w:t>
            </w:r>
            <w:r w:rsidR="00A12FD8" w:rsidRPr="00FE7622">
              <w:rPr>
                <w:color w:val="auto"/>
              </w:rPr>
              <w:t xml:space="preserve"> </w:t>
            </w:r>
            <w:r w:rsidR="00415F85" w:rsidRPr="00FE7622">
              <w:rPr>
                <w:color w:val="auto"/>
              </w:rPr>
              <w:t>Hydraulic Hand D</w:t>
            </w:r>
            <w:r w:rsidRPr="00FE7622">
              <w:rPr>
                <w:color w:val="auto"/>
              </w:rPr>
              <w:t>ynamometer</w:t>
            </w:r>
            <w:r w:rsidR="00A77850" w:rsidRPr="00FE7622">
              <w:rPr>
                <w:color w:val="auto"/>
              </w:rPr>
              <w:t xml:space="preserve"> (Performance Health International Ltd, Sutton-in-Ashfield, UK)</w:t>
            </w:r>
            <w:r w:rsidRPr="00FE7622">
              <w:rPr>
                <w:color w:val="auto"/>
              </w:rPr>
              <w:t>; best of three, dominant hand</w:t>
            </w:r>
            <w:r w:rsidR="00E038BF" w:rsidRPr="00FE7622">
              <w:rPr>
                <w:color w:val="auto"/>
                <w:vertAlign w:val="superscript"/>
              </w:rPr>
              <w:t>44</w:t>
            </w:r>
          </w:p>
        </w:tc>
        <w:tc>
          <w:tcPr>
            <w:tcW w:w="0" w:type="auto"/>
            <w:shd w:val="clear" w:color="auto" w:fill="auto"/>
          </w:tcPr>
          <w:p w14:paraId="6BAB60FC" w14:textId="7AE29FC8" w:rsidR="00F026E8" w:rsidRPr="00FE7622" w:rsidRDefault="00F026E8" w:rsidP="00AF19CC">
            <w:pPr>
              <w:pStyle w:val="72TabletextTablesTableFigureBoxstyles"/>
              <w:rPr>
                <w:color w:val="auto"/>
              </w:rPr>
            </w:pPr>
            <w:r w:rsidRPr="00FE7622">
              <w:rPr>
                <w:color w:val="auto"/>
              </w:rPr>
              <w:t>0, 6 and 12</w:t>
            </w:r>
          </w:p>
        </w:tc>
      </w:tr>
      <w:tr w:rsidR="00A77850" w:rsidRPr="00FE7622" w14:paraId="0CAB84E0" w14:textId="77777777" w:rsidTr="00AF19CC">
        <w:trPr>
          <w:cantSplit/>
        </w:trPr>
        <w:tc>
          <w:tcPr>
            <w:tcW w:w="0" w:type="auto"/>
            <w:shd w:val="clear" w:color="auto" w:fill="auto"/>
          </w:tcPr>
          <w:p w14:paraId="334E81D8" w14:textId="7FCCF4E6" w:rsidR="00F026E8" w:rsidRPr="00FE7622" w:rsidRDefault="00F026E8" w:rsidP="00AF19CC">
            <w:pPr>
              <w:pStyle w:val="72TabletextTablesTableFigureBoxstyles"/>
            </w:pPr>
            <w:r w:rsidRPr="00FE7622">
              <w:rPr>
                <w:color w:val="auto"/>
              </w:rPr>
              <w:t xml:space="preserve">Maximum </w:t>
            </w:r>
            <w:r w:rsidR="00C02E3A" w:rsidRPr="00FE7622">
              <w:rPr>
                <w:color w:val="auto"/>
              </w:rPr>
              <w:t>q</w:t>
            </w:r>
            <w:r w:rsidRPr="00FE7622">
              <w:rPr>
                <w:color w:val="auto"/>
              </w:rPr>
              <w:t>uadriceps strength</w:t>
            </w:r>
          </w:p>
        </w:tc>
        <w:tc>
          <w:tcPr>
            <w:tcW w:w="0" w:type="auto"/>
            <w:shd w:val="clear" w:color="auto" w:fill="auto"/>
          </w:tcPr>
          <w:p w14:paraId="65D7FCA8" w14:textId="4E4185F5" w:rsidR="00F026E8" w:rsidRPr="00FE7622" w:rsidRDefault="00F026E8" w:rsidP="00AF19CC">
            <w:pPr>
              <w:pStyle w:val="72TabletextTablesTableFigureBoxstyles"/>
            </w:pPr>
            <w:r w:rsidRPr="00FE7622">
              <w:rPr>
                <w:color w:val="auto"/>
              </w:rPr>
              <w:t>Lafayette</w:t>
            </w:r>
            <w:r w:rsidR="00192B85" w:rsidRPr="00FE7622">
              <w:rPr>
                <w:color w:val="auto"/>
              </w:rPr>
              <w:t xml:space="preserve"> Hand-Held</w:t>
            </w:r>
            <w:r w:rsidRPr="00FE7622">
              <w:rPr>
                <w:color w:val="auto"/>
              </w:rPr>
              <w:t xml:space="preserve"> </w:t>
            </w:r>
            <w:r w:rsidR="00192B85" w:rsidRPr="00FE7622">
              <w:rPr>
                <w:color w:val="auto"/>
              </w:rPr>
              <w:t>D</w:t>
            </w:r>
            <w:r w:rsidRPr="00FE7622">
              <w:rPr>
                <w:color w:val="auto"/>
              </w:rPr>
              <w:t>ynamometer</w:t>
            </w:r>
            <w:r w:rsidR="00192B85" w:rsidRPr="00FE7622">
              <w:rPr>
                <w:color w:val="auto"/>
              </w:rPr>
              <w:t xml:space="preserve"> (Lafayette Instrument, Lafayette, </w:t>
            </w:r>
            <w:r w:rsidR="009D2131" w:rsidRPr="00FE7622">
              <w:rPr>
                <w:color w:val="auto"/>
              </w:rPr>
              <w:t xml:space="preserve">IN, </w:t>
            </w:r>
            <w:r w:rsidR="00192B85" w:rsidRPr="00FE7622">
              <w:rPr>
                <w:color w:val="auto"/>
              </w:rPr>
              <w:t>USA)</w:t>
            </w:r>
            <w:r w:rsidRPr="00FE7622">
              <w:rPr>
                <w:color w:val="auto"/>
              </w:rPr>
              <w:t>; best of three, dominant leg</w:t>
            </w:r>
            <w:r w:rsidR="00E038BF" w:rsidRPr="00FE7622">
              <w:rPr>
                <w:color w:val="auto"/>
                <w:vertAlign w:val="superscript"/>
              </w:rPr>
              <w:t>45</w:t>
            </w:r>
          </w:p>
        </w:tc>
        <w:tc>
          <w:tcPr>
            <w:tcW w:w="0" w:type="auto"/>
            <w:shd w:val="clear" w:color="auto" w:fill="auto"/>
          </w:tcPr>
          <w:p w14:paraId="2A0493EC" w14:textId="48084BF1" w:rsidR="00F026E8" w:rsidRPr="00FE7622" w:rsidRDefault="00F026E8" w:rsidP="00AF19CC">
            <w:pPr>
              <w:pStyle w:val="72TabletextTablesTableFigureBoxstyles"/>
              <w:rPr>
                <w:color w:val="auto"/>
              </w:rPr>
            </w:pPr>
            <w:r w:rsidRPr="00FE7622">
              <w:rPr>
                <w:color w:val="auto"/>
              </w:rPr>
              <w:t>0, 6 and 12</w:t>
            </w:r>
          </w:p>
        </w:tc>
      </w:tr>
      <w:tr w:rsidR="00A77850" w:rsidRPr="00FE7622" w14:paraId="079D5A39" w14:textId="77777777" w:rsidTr="00AF19CC">
        <w:trPr>
          <w:cantSplit/>
        </w:trPr>
        <w:tc>
          <w:tcPr>
            <w:tcW w:w="0" w:type="auto"/>
            <w:shd w:val="clear" w:color="auto" w:fill="auto"/>
          </w:tcPr>
          <w:p w14:paraId="2B154B6F" w14:textId="77777777" w:rsidR="00F026E8" w:rsidRPr="00FE7622" w:rsidRDefault="00F026E8" w:rsidP="00AF19CC">
            <w:pPr>
              <w:pStyle w:val="72TabletextTablesTableFigureBoxstyles"/>
            </w:pPr>
            <w:r w:rsidRPr="00FE7622">
              <w:rPr>
                <w:color w:val="auto"/>
              </w:rPr>
              <w:t>Six-minute walk distance</w:t>
            </w:r>
          </w:p>
        </w:tc>
        <w:tc>
          <w:tcPr>
            <w:tcW w:w="0" w:type="auto"/>
            <w:shd w:val="clear" w:color="auto" w:fill="auto"/>
          </w:tcPr>
          <w:p w14:paraId="6AFBB4CB" w14:textId="42BCE1D8" w:rsidR="00F026E8" w:rsidRPr="00FE7622" w:rsidRDefault="00F026E8" w:rsidP="00AF19CC">
            <w:pPr>
              <w:pStyle w:val="72TabletextTablesTableFigureBoxstyles"/>
            </w:pPr>
            <w:r w:rsidRPr="00FE7622">
              <w:rPr>
                <w:color w:val="auto"/>
              </w:rPr>
              <w:t>25 m course with standardised encouragement</w:t>
            </w:r>
            <w:r w:rsidR="00E038BF" w:rsidRPr="00FE7622">
              <w:rPr>
                <w:color w:val="auto"/>
                <w:vertAlign w:val="superscript"/>
              </w:rPr>
              <w:t>46</w:t>
            </w:r>
          </w:p>
        </w:tc>
        <w:tc>
          <w:tcPr>
            <w:tcW w:w="0" w:type="auto"/>
            <w:shd w:val="clear" w:color="auto" w:fill="auto"/>
          </w:tcPr>
          <w:p w14:paraId="5553B6EC" w14:textId="61D09EC0" w:rsidR="00F026E8" w:rsidRPr="00FE7622" w:rsidRDefault="00F026E8" w:rsidP="00AF19CC">
            <w:pPr>
              <w:pStyle w:val="72TabletextTablesTableFigureBoxstyles"/>
              <w:rPr>
                <w:color w:val="auto"/>
              </w:rPr>
            </w:pPr>
            <w:r w:rsidRPr="00FE7622">
              <w:rPr>
                <w:color w:val="auto"/>
              </w:rPr>
              <w:t>0, 6 and 12</w:t>
            </w:r>
          </w:p>
        </w:tc>
      </w:tr>
      <w:tr w:rsidR="00A77850" w:rsidRPr="00FE7622" w14:paraId="04097997" w14:textId="77777777" w:rsidTr="00AF19CC">
        <w:trPr>
          <w:cantSplit/>
        </w:trPr>
        <w:tc>
          <w:tcPr>
            <w:tcW w:w="0" w:type="auto"/>
            <w:shd w:val="clear" w:color="auto" w:fill="auto"/>
          </w:tcPr>
          <w:p w14:paraId="3A9AF20E" w14:textId="163C01E3" w:rsidR="00F026E8" w:rsidRPr="00FE7622" w:rsidRDefault="00F026E8" w:rsidP="00AF19CC">
            <w:pPr>
              <w:pStyle w:val="72TabletextTablesTableFigureBoxstyles"/>
            </w:pPr>
            <w:r w:rsidRPr="00FE7622">
              <w:rPr>
                <w:color w:val="auto"/>
              </w:rPr>
              <w:t>Four</w:t>
            </w:r>
            <w:r w:rsidR="005E132F" w:rsidRPr="00FE7622">
              <w:rPr>
                <w:color w:val="auto"/>
              </w:rPr>
              <w:t>-</w:t>
            </w:r>
            <w:r w:rsidRPr="00FE7622">
              <w:rPr>
                <w:color w:val="auto"/>
              </w:rPr>
              <w:t>metre walk speed</w:t>
            </w:r>
          </w:p>
        </w:tc>
        <w:tc>
          <w:tcPr>
            <w:tcW w:w="0" w:type="auto"/>
            <w:shd w:val="clear" w:color="auto" w:fill="auto"/>
          </w:tcPr>
          <w:p w14:paraId="6544E983" w14:textId="6330ED24" w:rsidR="00F026E8" w:rsidRPr="00FE7622" w:rsidRDefault="00F026E8" w:rsidP="00AF19CC">
            <w:pPr>
              <w:pStyle w:val="72TabletextTablesTableFigureBoxstyles"/>
            </w:pPr>
            <w:r w:rsidRPr="00FE7622">
              <w:rPr>
                <w:color w:val="auto"/>
              </w:rPr>
              <w:t xml:space="preserve">Done as part of </w:t>
            </w:r>
            <w:r w:rsidR="005E132F" w:rsidRPr="00FE7622">
              <w:rPr>
                <w:color w:val="auto"/>
              </w:rPr>
              <w:t>SPPB</w:t>
            </w:r>
            <w:r w:rsidR="00E038BF" w:rsidRPr="00FE7622">
              <w:rPr>
                <w:color w:val="auto"/>
                <w:vertAlign w:val="superscript"/>
              </w:rPr>
              <w:t>47</w:t>
            </w:r>
          </w:p>
        </w:tc>
        <w:tc>
          <w:tcPr>
            <w:tcW w:w="0" w:type="auto"/>
            <w:shd w:val="clear" w:color="auto" w:fill="auto"/>
          </w:tcPr>
          <w:p w14:paraId="1FBF2C0C" w14:textId="5D8D099D" w:rsidR="00F026E8" w:rsidRPr="00FE7622" w:rsidRDefault="00F026E8" w:rsidP="00AF19CC">
            <w:pPr>
              <w:pStyle w:val="72TabletextTablesTableFigureBoxstyles"/>
              <w:rPr>
                <w:color w:val="auto"/>
              </w:rPr>
            </w:pPr>
            <w:r w:rsidRPr="00FE7622">
              <w:rPr>
                <w:color w:val="auto"/>
              </w:rPr>
              <w:t>0, 6 and 12</w:t>
            </w:r>
          </w:p>
        </w:tc>
      </w:tr>
      <w:tr w:rsidR="00A77850" w:rsidRPr="00FE7622" w14:paraId="6BCF2535" w14:textId="77777777" w:rsidTr="00AF19CC">
        <w:trPr>
          <w:cantSplit/>
        </w:trPr>
        <w:tc>
          <w:tcPr>
            <w:tcW w:w="0" w:type="auto"/>
            <w:shd w:val="clear" w:color="auto" w:fill="auto"/>
          </w:tcPr>
          <w:p w14:paraId="7A8A564A" w14:textId="77777777" w:rsidR="00F026E8" w:rsidRPr="00FE7622" w:rsidRDefault="00F026E8" w:rsidP="00AF19CC">
            <w:pPr>
              <w:pStyle w:val="72TabletextTablesTableFigureBoxstyles"/>
            </w:pPr>
            <w:r w:rsidRPr="00FE7622">
              <w:rPr>
                <w:color w:val="auto"/>
              </w:rPr>
              <w:t>Five times sit to stand test</w:t>
            </w:r>
          </w:p>
        </w:tc>
        <w:tc>
          <w:tcPr>
            <w:tcW w:w="0" w:type="auto"/>
            <w:shd w:val="clear" w:color="auto" w:fill="auto"/>
          </w:tcPr>
          <w:p w14:paraId="281D5D2E" w14:textId="67065777" w:rsidR="00F026E8" w:rsidRPr="00FE7622" w:rsidRDefault="00F026E8" w:rsidP="00AF19CC">
            <w:pPr>
              <w:pStyle w:val="72TabletextTablesTableFigureBoxstyles"/>
            </w:pPr>
            <w:r w:rsidRPr="00FE7622">
              <w:rPr>
                <w:color w:val="auto"/>
              </w:rPr>
              <w:t xml:space="preserve">Done as part of </w:t>
            </w:r>
            <w:r w:rsidR="005E132F" w:rsidRPr="00FE7622">
              <w:rPr>
                <w:color w:val="auto"/>
              </w:rPr>
              <w:t>SPPB</w:t>
            </w:r>
            <w:r w:rsidR="00E038BF" w:rsidRPr="00FE7622">
              <w:rPr>
                <w:color w:val="auto"/>
                <w:vertAlign w:val="superscript"/>
              </w:rPr>
              <w:t>48</w:t>
            </w:r>
          </w:p>
        </w:tc>
        <w:tc>
          <w:tcPr>
            <w:tcW w:w="0" w:type="auto"/>
            <w:shd w:val="clear" w:color="auto" w:fill="auto"/>
          </w:tcPr>
          <w:p w14:paraId="098C70C7" w14:textId="2C3F236C" w:rsidR="00F026E8" w:rsidRPr="00FE7622" w:rsidRDefault="00F026E8" w:rsidP="00AF19CC">
            <w:pPr>
              <w:pStyle w:val="72TabletextTablesTableFigureBoxstyles"/>
              <w:rPr>
                <w:color w:val="auto"/>
              </w:rPr>
            </w:pPr>
            <w:r w:rsidRPr="00FE7622">
              <w:rPr>
                <w:color w:val="auto"/>
              </w:rPr>
              <w:t>0, 6 and 12</w:t>
            </w:r>
          </w:p>
        </w:tc>
      </w:tr>
      <w:tr w:rsidR="00A77850" w:rsidRPr="00FE7622" w14:paraId="4BADF4DF" w14:textId="77777777" w:rsidTr="00AF19CC">
        <w:trPr>
          <w:cantSplit/>
        </w:trPr>
        <w:tc>
          <w:tcPr>
            <w:tcW w:w="0" w:type="auto"/>
            <w:shd w:val="clear" w:color="auto" w:fill="auto"/>
          </w:tcPr>
          <w:p w14:paraId="04D354D3" w14:textId="77777777" w:rsidR="00F026E8" w:rsidRPr="00FE7622" w:rsidRDefault="00F026E8" w:rsidP="00AF19CC">
            <w:pPr>
              <w:pStyle w:val="72TabletextTablesTableFigureBoxstyles"/>
              <w:rPr>
                <w:color w:val="auto"/>
              </w:rPr>
            </w:pPr>
            <w:r w:rsidRPr="00FE7622">
              <w:rPr>
                <w:color w:val="auto"/>
              </w:rPr>
              <w:t>Instrumental Activities of Daily Living</w:t>
            </w:r>
          </w:p>
        </w:tc>
        <w:tc>
          <w:tcPr>
            <w:tcW w:w="0" w:type="auto"/>
            <w:shd w:val="clear" w:color="auto" w:fill="auto"/>
          </w:tcPr>
          <w:p w14:paraId="3A69CBCA" w14:textId="795664D1" w:rsidR="00F026E8" w:rsidRPr="00FE7622" w:rsidRDefault="00486FFA" w:rsidP="00AF19CC">
            <w:pPr>
              <w:pStyle w:val="72TabletextTablesTableFigureBoxstyles"/>
            </w:pPr>
            <w:r w:rsidRPr="00FE7622">
              <w:rPr>
                <w:color w:val="auto"/>
              </w:rPr>
              <w:t>NE</w:t>
            </w:r>
            <w:r w:rsidR="00F026E8" w:rsidRPr="00FE7622">
              <w:rPr>
                <w:color w:val="auto"/>
              </w:rPr>
              <w:t>ADL questionnaire</w:t>
            </w:r>
            <w:r w:rsidR="00E038BF" w:rsidRPr="00FE7622">
              <w:rPr>
                <w:color w:val="auto"/>
                <w:vertAlign w:val="superscript"/>
              </w:rPr>
              <w:t>49</w:t>
            </w:r>
          </w:p>
        </w:tc>
        <w:tc>
          <w:tcPr>
            <w:tcW w:w="0" w:type="auto"/>
            <w:shd w:val="clear" w:color="auto" w:fill="auto"/>
          </w:tcPr>
          <w:p w14:paraId="07BBD383" w14:textId="390B4537" w:rsidR="00F026E8" w:rsidRPr="00FE7622" w:rsidRDefault="00F026E8" w:rsidP="00AF19CC">
            <w:pPr>
              <w:pStyle w:val="72TabletextTablesTableFigureBoxstyles"/>
              <w:rPr>
                <w:color w:val="auto"/>
              </w:rPr>
            </w:pPr>
            <w:r w:rsidRPr="00FE7622">
              <w:rPr>
                <w:color w:val="auto"/>
              </w:rPr>
              <w:t>0, 6 and 12</w:t>
            </w:r>
          </w:p>
        </w:tc>
      </w:tr>
      <w:tr w:rsidR="00A77850" w:rsidRPr="00FE7622" w14:paraId="101C0C07" w14:textId="77777777" w:rsidTr="00AF19CC">
        <w:trPr>
          <w:cantSplit/>
        </w:trPr>
        <w:tc>
          <w:tcPr>
            <w:tcW w:w="0" w:type="auto"/>
            <w:shd w:val="clear" w:color="auto" w:fill="auto"/>
          </w:tcPr>
          <w:p w14:paraId="6B97F643" w14:textId="77777777" w:rsidR="00F026E8" w:rsidRPr="00FE7622" w:rsidRDefault="00F026E8" w:rsidP="00AF19CC">
            <w:pPr>
              <w:pStyle w:val="72TabletextTablesTableFigureBoxstyles"/>
              <w:rPr>
                <w:color w:val="auto"/>
              </w:rPr>
            </w:pPr>
            <w:r w:rsidRPr="00FE7622">
              <w:rPr>
                <w:color w:val="auto"/>
              </w:rPr>
              <w:t>Health-related quality of life</w:t>
            </w:r>
          </w:p>
        </w:tc>
        <w:tc>
          <w:tcPr>
            <w:tcW w:w="0" w:type="auto"/>
            <w:shd w:val="clear" w:color="auto" w:fill="auto"/>
          </w:tcPr>
          <w:p w14:paraId="3FCF4DB8" w14:textId="0266980C" w:rsidR="00F026E8" w:rsidRPr="00FE7622" w:rsidRDefault="00F026E8" w:rsidP="00AF19CC">
            <w:pPr>
              <w:pStyle w:val="72TabletextTablesTableFigureBoxstyles"/>
            </w:pPr>
            <w:r w:rsidRPr="00842651">
              <w:rPr>
                <w:color w:val="auto"/>
              </w:rPr>
              <w:t>EQ</w:t>
            </w:r>
            <w:r w:rsidR="005E132F" w:rsidRPr="00842651">
              <w:rPr>
                <w:color w:val="auto"/>
              </w:rPr>
              <w:t>-</w:t>
            </w:r>
            <w:r w:rsidRPr="00842651">
              <w:rPr>
                <w:color w:val="auto"/>
              </w:rPr>
              <w:t>5D-3L</w:t>
            </w:r>
            <w:r w:rsidRPr="00FE7622">
              <w:rPr>
                <w:color w:val="auto"/>
              </w:rPr>
              <w:t xml:space="preserve"> questionnaire</w:t>
            </w:r>
            <w:r w:rsidR="00E038BF" w:rsidRPr="00FE7622">
              <w:rPr>
                <w:color w:val="auto"/>
                <w:vertAlign w:val="superscript"/>
              </w:rPr>
              <w:t>50</w:t>
            </w:r>
          </w:p>
        </w:tc>
        <w:tc>
          <w:tcPr>
            <w:tcW w:w="0" w:type="auto"/>
            <w:shd w:val="clear" w:color="auto" w:fill="auto"/>
          </w:tcPr>
          <w:p w14:paraId="0EE55C8B" w14:textId="2AB64A34" w:rsidR="00F026E8" w:rsidRPr="00FE7622" w:rsidRDefault="00F026E8" w:rsidP="00AF19CC">
            <w:pPr>
              <w:pStyle w:val="72TabletextTablesTableFigureBoxstyles"/>
              <w:rPr>
                <w:color w:val="auto"/>
              </w:rPr>
            </w:pPr>
            <w:r w:rsidRPr="00FE7622">
              <w:rPr>
                <w:color w:val="auto"/>
              </w:rPr>
              <w:t>0, 6 and 12</w:t>
            </w:r>
          </w:p>
        </w:tc>
      </w:tr>
      <w:tr w:rsidR="00A77850" w:rsidRPr="00FE7622" w14:paraId="299DB96F" w14:textId="77777777" w:rsidTr="00AF19CC">
        <w:trPr>
          <w:cantSplit/>
        </w:trPr>
        <w:tc>
          <w:tcPr>
            <w:tcW w:w="0" w:type="auto"/>
            <w:shd w:val="clear" w:color="auto" w:fill="auto"/>
          </w:tcPr>
          <w:p w14:paraId="1F061F9E" w14:textId="4757C412" w:rsidR="00F026E8" w:rsidRPr="00FE7622" w:rsidRDefault="00F026E8" w:rsidP="00AF19CC">
            <w:pPr>
              <w:pStyle w:val="72TabletextTablesTableFigureBoxstyles"/>
              <w:rPr>
                <w:color w:val="auto"/>
              </w:rPr>
            </w:pPr>
            <w:r w:rsidRPr="00FE7622">
              <w:rPr>
                <w:color w:val="auto"/>
              </w:rPr>
              <w:t>Appendicular muscle mass/height</w:t>
            </w:r>
            <w:r w:rsidR="001F3616" w:rsidRPr="00FE7622">
              <w:rPr>
                <w:color w:val="auto"/>
              </w:rPr>
              <w:t xml:space="preserve"> </w:t>
            </w:r>
            <w:r w:rsidR="00C442DB" w:rsidRPr="00FE7622">
              <w:rPr>
                <w:color w:val="auto"/>
              </w:rPr>
              <w:t>squared</w:t>
            </w:r>
          </w:p>
        </w:tc>
        <w:tc>
          <w:tcPr>
            <w:tcW w:w="0" w:type="auto"/>
            <w:shd w:val="clear" w:color="auto" w:fill="auto"/>
          </w:tcPr>
          <w:p w14:paraId="48F7B748" w14:textId="5EB59531" w:rsidR="00F026E8" w:rsidRPr="00FE7622" w:rsidRDefault="00F026E8" w:rsidP="00AF19CC">
            <w:pPr>
              <w:pStyle w:val="72TabletextTablesTableFigureBoxstyles"/>
            </w:pPr>
            <w:r w:rsidRPr="00842651">
              <w:rPr>
                <w:color w:val="auto"/>
              </w:rPr>
              <w:t>DXA</w:t>
            </w:r>
          </w:p>
        </w:tc>
        <w:tc>
          <w:tcPr>
            <w:tcW w:w="0" w:type="auto"/>
            <w:shd w:val="clear" w:color="auto" w:fill="auto"/>
          </w:tcPr>
          <w:p w14:paraId="623F188D" w14:textId="5321EF5E" w:rsidR="00F026E8" w:rsidRPr="00FE7622" w:rsidRDefault="00F026E8" w:rsidP="00AF19CC">
            <w:pPr>
              <w:pStyle w:val="72TabletextTablesTableFigureBoxstyles"/>
              <w:rPr>
                <w:color w:val="auto"/>
              </w:rPr>
            </w:pPr>
            <w:r w:rsidRPr="00FE7622">
              <w:rPr>
                <w:color w:val="auto"/>
              </w:rPr>
              <w:t>0 and 12</w:t>
            </w:r>
          </w:p>
        </w:tc>
      </w:tr>
      <w:tr w:rsidR="00A77850" w:rsidRPr="00FE7622" w14:paraId="2A867134" w14:textId="77777777" w:rsidTr="00AF19CC">
        <w:trPr>
          <w:cantSplit/>
        </w:trPr>
        <w:tc>
          <w:tcPr>
            <w:tcW w:w="0" w:type="auto"/>
            <w:shd w:val="clear" w:color="auto" w:fill="auto"/>
          </w:tcPr>
          <w:p w14:paraId="22DF937E" w14:textId="77777777" w:rsidR="00F026E8" w:rsidRPr="00FE7622" w:rsidRDefault="00F026E8" w:rsidP="00AF19CC">
            <w:pPr>
              <w:pStyle w:val="72TabletextTablesTableFigureBoxstyles"/>
              <w:rPr>
                <w:color w:val="auto"/>
              </w:rPr>
            </w:pPr>
            <w:r w:rsidRPr="00FE7622">
              <w:rPr>
                <w:color w:val="auto"/>
              </w:rPr>
              <w:t>Neck of femur bone mineral density</w:t>
            </w:r>
          </w:p>
        </w:tc>
        <w:tc>
          <w:tcPr>
            <w:tcW w:w="0" w:type="auto"/>
            <w:shd w:val="clear" w:color="auto" w:fill="auto"/>
          </w:tcPr>
          <w:p w14:paraId="762A1D24" w14:textId="444798B1" w:rsidR="00F026E8" w:rsidRPr="00FE7622" w:rsidRDefault="00F026E8" w:rsidP="00AF19CC">
            <w:pPr>
              <w:pStyle w:val="72TabletextTablesTableFigureBoxstyles"/>
            </w:pPr>
            <w:r w:rsidRPr="00842651">
              <w:rPr>
                <w:color w:val="auto"/>
              </w:rPr>
              <w:t>DXA</w:t>
            </w:r>
          </w:p>
        </w:tc>
        <w:tc>
          <w:tcPr>
            <w:tcW w:w="0" w:type="auto"/>
            <w:shd w:val="clear" w:color="auto" w:fill="auto"/>
          </w:tcPr>
          <w:p w14:paraId="48ACDC26" w14:textId="1A772410" w:rsidR="00F026E8" w:rsidRPr="00FE7622" w:rsidRDefault="00F026E8" w:rsidP="00AF19CC">
            <w:pPr>
              <w:pStyle w:val="72TabletextTablesTableFigureBoxstyles"/>
              <w:rPr>
                <w:color w:val="auto"/>
              </w:rPr>
            </w:pPr>
            <w:r w:rsidRPr="00FE7622">
              <w:rPr>
                <w:color w:val="auto"/>
              </w:rPr>
              <w:t>0 and 12</w:t>
            </w:r>
          </w:p>
        </w:tc>
      </w:tr>
      <w:tr w:rsidR="00A77850" w:rsidRPr="00FE7622" w14:paraId="77571CBF" w14:textId="77777777" w:rsidTr="00AF19CC">
        <w:trPr>
          <w:cantSplit/>
        </w:trPr>
        <w:tc>
          <w:tcPr>
            <w:tcW w:w="0" w:type="auto"/>
            <w:shd w:val="clear" w:color="auto" w:fill="auto"/>
          </w:tcPr>
          <w:p w14:paraId="02B191BD" w14:textId="77777777" w:rsidR="00F026E8" w:rsidRPr="00FE7622" w:rsidRDefault="00F026E8" w:rsidP="00AF19CC">
            <w:pPr>
              <w:pStyle w:val="72TabletextTablesTableFigureBoxstyles"/>
              <w:rPr>
                <w:color w:val="auto"/>
              </w:rPr>
            </w:pPr>
            <w:r w:rsidRPr="00FE7622">
              <w:rPr>
                <w:color w:val="auto"/>
              </w:rPr>
              <w:t>Insulin resistance</w:t>
            </w:r>
          </w:p>
        </w:tc>
        <w:tc>
          <w:tcPr>
            <w:tcW w:w="0" w:type="auto"/>
            <w:shd w:val="clear" w:color="auto" w:fill="auto"/>
          </w:tcPr>
          <w:p w14:paraId="7130BBD3" w14:textId="34E3AA0D" w:rsidR="00F026E8" w:rsidRPr="00FE7622" w:rsidRDefault="00F026E8" w:rsidP="00AF19CC">
            <w:pPr>
              <w:pStyle w:val="72TabletextTablesTableFigureBoxstyles"/>
            </w:pPr>
            <w:r w:rsidRPr="00842651">
              <w:rPr>
                <w:color w:val="auto"/>
              </w:rPr>
              <w:t>HOMA-IR</w:t>
            </w:r>
            <w:r w:rsidR="00E038BF" w:rsidRPr="00FE7622">
              <w:rPr>
                <w:color w:val="auto"/>
                <w:vertAlign w:val="superscript"/>
              </w:rPr>
              <w:t>51</w:t>
            </w:r>
          </w:p>
        </w:tc>
        <w:tc>
          <w:tcPr>
            <w:tcW w:w="0" w:type="auto"/>
            <w:shd w:val="clear" w:color="auto" w:fill="auto"/>
          </w:tcPr>
          <w:p w14:paraId="75A28862" w14:textId="4794341B" w:rsidR="00F026E8" w:rsidRPr="00FE7622" w:rsidRDefault="00F026E8" w:rsidP="00AF19CC">
            <w:pPr>
              <w:pStyle w:val="72TabletextTablesTableFigureBoxstyles"/>
              <w:rPr>
                <w:color w:val="auto"/>
              </w:rPr>
            </w:pPr>
            <w:r w:rsidRPr="00FE7622">
              <w:rPr>
                <w:color w:val="auto"/>
              </w:rPr>
              <w:t>0, 3 and 12</w:t>
            </w:r>
          </w:p>
        </w:tc>
      </w:tr>
      <w:tr w:rsidR="00A671FF" w:rsidRPr="00FE7622" w14:paraId="46DC577C" w14:textId="77777777" w:rsidTr="00AF19CC">
        <w:trPr>
          <w:cantSplit/>
        </w:trPr>
        <w:tc>
          <w:tcPr>
            <w:tcW w:w="0" w:type="auto"/>
            <w:gridSpan w:val="3"/>
            <w:shd w:val="clear" w:color="auto" w:fill="auto"/>
          </w:tcPr>
          <w:p w14:paraId="7B3BF96A" w14:textId="0E97D557" w:rsidR="00A671FF" w:rsidRPr="00FE7622" w:rsidRDefault="00A671FF" w:rsidP="00AF19CC">
            <w:pPr>
              <w:pStyle w:val="75TablenotesTablesTableFigureBoxstyles"/>
            </w:pPr>
            <w:r w:rsidRPr="00842651">
              <w:t>DXA</w:t>
            </w:r>
            <w:r w:rsidRPr="00FE7622">
              <w:t>, dual-energy X-ray absorptiometry</w:t>
            </w:r>
            <w:r w:rsidR="00486FFA" w:rsidRPr="00FE7622">
              <w:t>;</w:t>
            </w:r>
            <w:r w:rsidR="00C35FF6" w:rsidRPr="00FE7622">
              <w:t xml:space="preserve"> </w:t>
            </w:r>
            <w:r w:rsidR="00C35FF6" w:rsidRPr="00842651">
              <w:t>HOMA-IR</w:t>
            </w:r>
            <w:r w:rsidR="00C35FF6" w:rsidRPr="00FE7622">
              <w:t>, HOmeostatic Model Assessment – Insulin Resistance;</w:t>
            </w:r>
            <w:r w:rsidR="00486FFA" w:rsidRPr="00FE7622">
              <w:t xml:space="preserve"> NEADL, </w:t>
            </w:r>
            <w:r w:rsidR="00486FFA" w:rsidRPr="00FE7622">
              <w:rPr>
                <w:lang w:val="en-GB"/>
              </w:rPr>
              <w:t>Nottingham Extended Activities of Daily Living</w:t>
            </w:r>
            <w:r w:rsidRPr="00FE7622">
              <w:t>.</w:t>
            </w:r>
          </w:p>
        </w:tc>
      </w:tr>
    </w:tbl>
    <w:p w14:paraId="0CA58059" w14:textId="1CFF7637" w:rsidR="00F026E8" w:rsidRPr="00FE7622" w:rsidRDefault="00F026E8" w:rsidP="00DA3FE6">
      <w:pPr>
        <w:pStyle w:val="602TextfoTextstylesTextstyles"/>
        <w:rPr>
          <w:color w:val="auto"/>
        </w:rPr>
      </w:pPr>
      <w:r w:rsidRPr="00FE7622">
        <w:rPr>
          <w:color w:val="auto"/>
        </w:rPr>
        <w:t xml:space="preserve">Data on falls were collected using monthly prospective falls diaries, and diet at baseline </w:t>
      </w:r>
      <w:r w:rsidR="00B535FF" w:rsidRPr="00FE7622">
        <w:rPr>
          <w:color w:val="auto"/>
        </w:rPr>
        <w:t xml:space="preserve">was collected </w:t>
      </w:r>
      <w:r w:rsidRPr="00FE7622">
        <w:rPr>
          <w:color w:val="auto"/>
        </w:rPr>
        <w:t>using the Scottish Collaborative Group Food Frequency Questionnaire</w:t>
      </w:r>
      <w:r w:rsidR="00E038BF" w:rsidRPr="00FE7622">
        <w:rPr>
          <w:color w:val="auto"/>
          <w:vertAlign w:val="superscript"/>
        </w:rPr>
        <w:t>52</w:t>
      </w:r>
      <w:r w:rsidRPr="00FE7622">
        <w:rPr>
          <w:color w:val="auto"/>
        </w:rPr>
        <w:t xml:space="preserve"> to </w:t>
      </w:r>
      <w:r w:rsidR="007D4B9E" w:rsidRPr="00FE7622">
        <w:rPr>
          <w:color w:val="auto"/>
        </w:rPr>
        <w:t xml:space="preserve">allow an </w:t>
      </w:r>
      <w:r w:rsidRPr="00FE7622">
        <w:rPr>
          <w:color w:val="auto"/>
        </w:rPr>
        <w:t>examin</w:t>
      </w:r>
      <w:r w:rsidR="007D4B9E" w:rsidRPr="00FE7622">
        <w:rPr>
          <w:color w:val="auto"/>
        </w:rPr>
        <w:t>ation of</w:t>
      </w:r>
      <w:r w:rsidRPr="00FE7622">
        <w:rPr>
          <w:color w:val="auto"/>
        </w:rPr>
        <w:t xml:space="preserve"> total protein intake and the source</w:t>
      </w:r>
      <w:r w:rsidR="00B535FF" w:rsidRPr="00FE7622">
        <w:rPr>
          <w:color w:val="auto"/>
        </w:rPr>
        <w:t>s</w:t>
      </w:r>
      <w:r w:rsidRPr="00FE7622">
        <w:rPr>
          <w:color w:val="auto"/>
        </w:rPr>
        <w:t xml:space="preserve"> (animal vs</w:t>
      </w:r>
      <w:r w:rsidR="00C02E3A" w:rsidRPr="00FE7622">
        <w:rPr>
          <w:color w:val="auto"/>
        </w:rPr>
        <w:t>.</w:t>
      </w:r>
      <w:r w:rsidRPr="00FE7622">
        <w:rPr>
          <w:color w:val="auto"/>
        </w:rPr>
        <w:t xml:space="preserve"> plant) of dietary protein intake.</w:t>
      </w:r>
    </w:p>
    <w:p w14:paraId="01B9E80C" w14:textId="4EE7A899" w:rsidR="00E038BF" w:rsidRPr="00FE7622" w:rsidRDefault="00E038BF" w:rsidP="00E623A6">
      <w:pPr>
        <w:pStyle w:val="53BheadHeadingsHeadingstyles"/>
      </w:pPr>
      <w:bookmarkStart w:id="38" w:name="_Toc79684490"/>
      <w:r w:rsidRPr="00FE7622">
        <w:t>Selection of biomarkers for analysis</w:t>
      </w:r>
      <w:bookmarkEnd w:id="38"/>
    </w:p>
    <w:p w14:paraId="70CCE052" w14:textId="76F7C1B0" w:rsidR="00F026E8" w:rsidRPr="00FE7622" w:rsidRDefault="00F026E8" w:rsidP="00E623A6">
      <w:pPr>
        <w:pStyle w:val="602TextfoTextstylesTextstyles"/>
        <w:rPr>
          <w:color w:val="auto"/>
        </w:rPr>
      </w:pPr>
      <w:r w:rsidRPr="00FE7622">
        <w:rPr>
          <w:color w:val="auto"/>
        </w:rPr>
        <w:t xml:space="preserve">Circulating biomarkers were selected based on current areas of interest in muscle biology; markers of interest differed in part from those specified at the design stage of the </w:t>
      </w:r>
      <w:r w:rsidRPr="00842651">
        <w:rPr>
          <w:color w:val="auto"/>
        </w:rPr>
        <w:t>LACE</w:t>
      </w:r>
      <w:r w:rsidRPr="00FE7622">
        <w:rPr>
          <w:color w:val="auto"/>
        </w:rPr>
        <w:t xml:space="preserve"> programme </w:t>
      </w:r>
      <w:r w:rsidR="00C02E3A" w:rsidRPr="00FE7622">
        <w:rPr>
          <w:color w:val="auto"/>
        </w:rPr>
        <w:t>as a result of</w:t>
      </w:r>
      <w:r w:rsidRPr="00FE7622">
        <w:rPr>
          <w:color w:val="auto"/>
        </w:rPr>
        <w:t xml:space="preserve"> changes in knowledge of skeletal muscle biology in the </w:t>
      </w:r>
      <w:r w:rsidR="00C02E3A" w:rsidRPr="00FE7622">
        <w:rPr>
          <w:color w:val="auto"/>
        </w:rPr>
        <w:t>8</w:t>
      </w:r>
      <w:r w:rsidRPr="00FE7622">
        <w:rPr>
          <w:color w:val="auto"/>
        </w:rPr>
        <w:t xml:space="preserve"> years since the original study design. Markers were selected in the following domains</w:t>
      </w:r>
      <w:r w:rsidR="00847726" w:rsidRPr="00FE7622">
        <w:rPr>
          <w:color w:val="auto"/>
        </w:rPr>
        <w:t>.</w:t>
      </w:r>
    </w:p>
    <w:p w14:paraId="6BD62DF4" w14:textId="286CB9E9" w:rsidR="00E038BF" w:rsidRPr="00FE7622" w:rsidRDefault="00E038BF" w:rsidP="00DF3077">
      <w:pPr>
        <w:pStyle w:val="54CheadHeadingsHeadingstyles"/>
        <w:rPr>
          <w:color w:val="auto"/>
        </w:rPr>
      </w:pPr>
      <w:r w:rsidRPr="00FE7622">
        <w:rPr>
          <w:color w:val="auto"/>
        </w:rPr>
        <w:t>Inflammation</w:t>
      </w:r>
    </w:p>
    <w:p w14:paraId="7EC6AE1C" w14:textId="43A665BC" w:rsidR="00F026E8" w:rsidRPr="00FE7622" w:rsidRDefault="00F026E8" w:rsidP="00E623A6">
      <w:pPr>
        <w:pStyle w:val="602TextfoTextstylesTextstyles"/>
        <w:rPr>
          <w:color w:val="auto"/>
        </w:rPr>
      </w:pPr>
      <w:r w:rsidRPr="00FE7622">
        <w:rPr>
          <w:color w:val="auto"/>
        </w:rPr>
        <w:t xml:space="preserve">Resistin, </w:t>
      </w:r>
      <w:r w:rsidR="008F72BA" w:rsidRPr="00FE7622">
        <w:rPr>
          <w:color w:val="auto"/>
        </w:rPr>
        <w:t>tumour necrosis factor-alpha (</w:t>
      </w:r>
      <w:r w:rsidRPr="00FE7622">
        <w:rPr>
          <w:color w:val="auto"/>
        </w:rPr>
        <w:t>TNF</w:t>
      </w:r>
      <w:r w:rsidR="00C02E3A" w:rsidRPr="00FE7622">
        <w:rPr>
          <w:color w:val="auto"/>
        </w:rPr>
        <w:t>-</w:t>
      </w:r>
      <w:r w:rsidRPr="00FE7622">
        <w:rPr>
          <w:color w:val="auto"/>
        </w:rPr>
        <w:t>a</w:t>
      </w:r>
      <w:r w:rsidR="008F72BA" w:rsidRPr="00FE7622">
        <w:rPr>
          <w:color w:val="auto"/>
        </w:rPr>
        <w:t>)</w:t>
      </w:r>
      <w:r w:rsidRPr="00FE7622">
        <w:rPr>
          <w:color w:val="auto"/>
        </w:rPr>
        <w:t xml:space="preserve">, </w:t>
      </w:r>
      <w:r w:rsidRPr="00842651">
        <w:rPr>
          <w:color w:val="auto"/>
        </w:rPr>
        <w:t>IL</w:t>
      </w:r>
      <w:r w:rsidRPr="00FE7622">
        <w:rPr>
          <w:color w:val="auto"/>
        </w:rPr>
        <w:t xml:space="preserve">-6, </w:t>
      </w:r>
      <w:r w:rsidR="007D4D31" w:rsidRPr="00FE7622">
        <w:rPr>
          <w:color w:val="auto"/>
        </w:rPr>
        <w:t>l</w:t>
      </w:r>
      <w:r w:rsidRPr="00FE7622">
        <w:rPr>
          <w:color w:val="auto"/>
        </w:rPr>
        <w:t>ipocalin</w:t>
      </w:r>
      <w:r w:rsidR="00C02E3A" w:rsidRPr="00FE7622">
        <w:rPr>
          <w:color w:val="auto"/>
        </w:rPr>
        <w:t>-</w:t>
      </w:r>
      <w:r w:rsidRPr="00FE7622">
        <w:rPr>
          <w:color w:val="auto"/>
        </w:rPr>
        <w:t>2 (</w:t>
      </w:r>
      <w:r w:rsidRPr="00842651">
        <w:rPr>
          <w:color w:val="auto"/>
        </w:rPr>
        <w:t>LCN2</w:t>
      </w:r>
      <w:r w:rsidRPr="00FE7622">
        <w:rPr>
          <w:color w:val="auto"/>
        </w:rPr>
        <w:t xml:space="preserve">) and </w:t>
      </w:r>
      <w:r w:rsidRPr="00842651">
        <w:rPr>
          <w:color w:val="auto"/>
        </w:rPr>
        <w:t>IL</w:t>
      </w:r>
      <w:r w:rsidRPr="00FE7622">
        <w:rPr>
          <w:color w:val="auto"/>
        </w:rPr>
        <w:t>-18 binding protein (</w:t>
      </w:r>
      <w:r w:rsidRPr="00842651">
        <w:rPr>
          <w:color w:val="auto"/>
        </w:rPr>
        <w:t>IL</w:t>
      </w:r>
      <w:r w:rsidRPr="00FE7622">
        <w:rPr>
          <w:color w:val="auto"/>
        </w:rPr>
        <w:t xml:space="preserve">-18BP) </w:t>
      </w:r>
      <w:r w:rsidR="00E038BF" w:rsidRPr="00E038BF">
        <w:rPr>
          <w:color w:val="FF00FF"/>
          <w:sz w:val="24"/>
        </w:rPr>
        <w:t>[7]</w:t>
      </w:r>
      <w:commentRangeStart w:id="39"/>
      <w:r w:rsidRPr="00FE7622">
        <w:rPr>
          <w:color w:val="auto"/>
        </w:rPr>
        <w:t>all reflect aspects of immune and inflammatory responses</w:t>
      </w:r>
      <w:r w:rsidR="00E13409" w:rsidRPr="00FE7622">
        <w:rPr>
          <w:color w:val="auto"/>
        </w:rPr>
        <w:t xml:space="preserve"> that</w:t>
      </w:r>
      <w:r w:rsidRPr="00FE7622">
        <w:rPr>
          <w:color w:val="auto"/>
        </w:rPr>
        <w:t xml:space="preserve"> have been associated with skeletal muscle function</w:t>
      </w:r>
      <w:commentRangeEnd w:id="39"/>
      <w:r w:rsidR="00E13409" w:rsidRPr="00FE7622">
        <w:rPr>
          <w:rStyle w:val="CommentReference"/>
          <w:rFonts w:ascii="Times New Roman" w:hAnsi="Times New Roman" w:cs="Times New Roman"/>
          <w:color w:val="auto"/>
          <w:lang w:val="en-US"/>
        </w:rPr>
        <w:commentReference w:id="39"/>
      </w:r>
      <w:r w:rsidRPr="00FE7622">
        <w:rPr>
          <w:color w:val="auto"/>
        </w:rPr>
        <w:t xml:space="preserve">. </w:t>
      </w:r>
      <w:r w:rsidR="00E038BF" w:rsidRPr="00E038BF">
        <w:rPr>
          <w:color w:val="FF00FF"/>
          <w:sz w:val="24"/>
        </w:rPr>
        <w:t>[8]</w:t>
      </w:r>
      <w:commentRangeStart w:id="40"/>
      <w:r w:rsidRPr="00FE7622">
        <w:rPr>
          <w:color w:val="auto"/>
        </w:rPr>
        <w:t xml:space="preserve">Resistin is an adipokine </w:t>
      </w:r>
      <w:r w:rsidR="00906B08" w:rsidRPr="00FE7622">
        <w:rPr>
          <w:color w:val="auto"/>
        </w:rPr>
        <w:t>that has</w:t>
      </w:r>
      <w:r w:rsidRPr="00FE7622">
        <w:rPr>
          <w:color w:val="auto"/>
        </w:rPr>
        <w:t xml:space="preserve"> inflammatory and energy metabolism functions</w:t>
      </w:r>
      <w:r w:rsidR="00906B08" w:rsidRPr="00FE7622">
        <w:rPr>
          <w:color w:val="auto"/>
        </w:rPr>
        <w:t>;</w:t>
      </w:r>
      <w:r w:rsidRPr="00FE7622">
        <w:rPr>
          <w:color w:val="auto"/>
        </w:rPr>
        <w:t xml:space="preserve"> higher resistin concentrations have been associated with lower leg strength in observational studies</w:t>
      </w:r>
      <w:commentRangeEnd w:id="40"/>
      <w:r w:rsidR="002715C8" w:rsidRPr="00FE7622">
        <w:rPr>
          <w:rStyle w:val="CommentReference"/>
          <w:rFonts w:ascii="Times New Roman" w:hAnsi="Times New Roman" w:cs="Times New Roman"/>
          <w:color w:val="auto"/>
          <w:lang w:val="en-US"/>
        </w:rPr>
        <w:commentReference w:id="40"/>
      </w:r>
      <w:r w:rsidRPr="00FE7622">
        <w:rPr>
          <w:color w:val="auto"/>
        </w:rPr>
        <w:t>.</w:t>
      </w:r>
      <w:r w:rsidR="00E038BF" w:rsidRPr="00FE7622">
        <w:rPr>
          <w:color w:val="auto"/>
          <w:vertAlign w:val="superscript"/>
        </w:rPr>
        <w:t>53</w:t>
      </w:r>
      <w:r w:rsidRPr="00FE7622">
        <w:rPr>
          <w:color w:val="auto"/>
        </w:rPr>
        <w:t xml:space="preserve"> Higher </w:t>
      </w:r>
      <w:r w:rsidRPr="00842651">
        <w:rPr>
          <w:color w:val="auto"/>
        </w:rPr>
        <w:t>IL</w:t>
      </w:r>
      <w:r w:rsidRPr="00FE7622">
        <w:rPr>
          <w:color w:val="auto"/>
        </w:rPr>
        <w:t>-6 and TNF</w:t>
      </w:r>
      <w:r w:rsidR="00906B08" w:rsidRPr="00FE7622">
        <w:rPr>
          <w:color w:val="auto"/>
        </w:rPr>
        <w:t>-</w:t>
      </w:r>
      <w:r w:rsidRPr="00FE7622">
        <w:rPr>
          <w:color w:val="auto"/>
        </w:rPr>
        <w:t xml:space="preserve">a concentrations are both associated with sarcopenia, but </w:t>
      </w:r>
      <w:r w:rsidRPr="00842651">
        <w:rPr>
          <w:color w:val="auto"/>
        </w:rPr>
        <w:t>IL</w:t>
      </w:r>
      <w:r w:rsidRPr="00FE7622">
        <w:rPr>
          <w:color w:val="auto"/>
        </w:rPr>
        <w:t>-6 also plays an important role in the response to exercise training.</w:t>
      </w:r>
      <w:r w:rsidR="00E038BF" w:rsidRPr="00FE7622">
        <w:rPr>
          <w:color w:val="auto"/>
          <w:vertAlign w:val="superscript"/>
        </w:rPr>
        <w:t>54–56</w:t>
      </w:r>
      <w:r w:rsidRPr="00FE7622">
        <w:rPr>
          <w:color w:val="auto"/>
        </w:rPr>
        <w:t xml:space="preserve"> Loss of </w:t>
      </w:r>
      <w:r w:rsidRPr="00842651">
        <w:rPr>
          <w:color w:val="auto"/>
        </w:rPr>
        <w:t>LCN2</w:t>
      </w:r>
      <w:r w:rsidRPr="00FE7622">
        <w:rPr>
          <w:color w:val="auto"/>
        </w:rPr>
        <w:t xml:space="preserve"> in animal models impairs skeletal muscle regeneration after injury.</w:t>
      </w:r>
      <w:r w:rsidR="00E038BF" w:rsidRPr="00FE7622">
        <w:rPr>
          <w:color w:val="auto"/>
          <w:vertAlign w:val="superscript"/>
        </w:rPr>
        <w:t>57</w:t>
      </w:r>
      <w:r w:rsidRPr="00FE7622">
        <w:rPr>
          <w:color w:val="auto"/>
        </w:rPr>
        <w:t xml:space="preserve"> </w:t>
      </w:r>
      <w:r w:rsidRPr="00842651">
        <w:rPr>
          <w:color w:val="auto"/>
        </w:rPr>
        <w:t>I</w:t>
      </w:r>
      <w:r w:rsidR="00906B08" w:rsidRPr="00842651">
        <w:rPr>
          <w:color w:val="auto"/>
        </w:rPr>
        <w:t>L</w:t>
      </w:r>
      <w:r w:rsidRPr="00FE7622">
        <w:rPr>
          <w:color w:val="auto"/>
        </w:rPr>
        <w:t xml:space="preserve">-18BP regulates the activity of </w:t>
      </w:r>
      <w:r w:rsidRPr="00842651">
        <w:rPr>
          <w:color w:val="auto"/>
        </w:rPr>
        <w:t>IL</w:t>
      </w:r>
      <w:r w:rsidRPr="00FE7622">
        <w:rPr>
          <w:color w:val="auto"/>
        </w:rPr>
        <w:t xml:space="preserve">-18, a key proinflammatory cytokine released by the NLRP3 inflammasome. Higher </w:t>
      </w:r>
      <w:r w:rsidRPr="00842651">
        <w:rPr>
          <w:color w:val="auto"/>
        </w:rPr>
        <w:t>IL</w:t>
      </w:r>
      <w:r w:rsidRPr="00FE7622">
        <w:rPr>
          <w:color w:val="auto"/>
        </w:rPr>
        <w:t>-18 concentrations have been associated with age-related sarcopenia in bovine studies.</w:t>
      </w:r>
      <w:r w:rsidR="00E038BF" w:rsidRPr="00FE7622">
        <w:rPr>
          <w:color w:val="auto"/>
          <w:vertAlign w:val="superscript"/>
        </w:rPr>
        <w:t>58</w:t>
      </w:r>
    </w:p>
    <w:p w14:paraId="5DBD2F5F" w14:textId="6E24F596" w:rsidR="00E038BF" w:rsidRPr="00FE7622" w:rsidRDefault="00E038BF" w:rsidP="00DF3077">
      <w:pPr>
        <w:pStyle w:val="54CheadHeadingsHeadingstyles"/>
        <w:rPr>
          <w:color w:val="auto"/>
        </w:rPr>
      </w:pPr>
      <w:r w:rsidRPr="00FE7622">
        <w:rPr>
          <w:color w:val="auto"/>
        </w:rPr>
        <w:t>Growth factors and hormones</w:t>
      </w:r>
    </w:p>
    <w:p w14:paraId="27125FFC" w14:textId="6E3B3ED2" w:rsidR="00F026E8" w:rsidRPr="00FE7622" w:rsidRDefault="00F026E8" w:rsidP="00E623A6">
      <w:pPr>
        <w:pStyle w:val="602TextfoTextstylesTextstyles"/>
        <w:rPr>
          <w:color w:val="auto"/>
        </w:rPr>
      </w:pPr>
      <w:r w:rsidRPr="00FE7622">
        <w:rPr>
          <w:color w:val="auto"/>
        </w:rPr>
        <w:t>Insulin resistance is common with advancing age, and both insulin resistance and diabetes have been associated with higher rates of sarcopenia.</w:t>
      </w:r>
      <w:r w:rsidR="00E038BF" w:rsidRPr="00FE7622">
        <w:rPr>
          <w:color w:val="auto"/>
          <w:vertAlign w:val="superscript"/>
        </w:rPr>
        <w:t>59</w:t>
      </w:r>
      <w:r w:rsidRPr="00FE7622">
        <w:rPr>
          <w:color w:val="auto"/>
        </w:rPr>
        <w:t xml:space="preserve"> Higher </w:t>
      </w:r>
      <w:r w:rsidRPr="00842651">
        <w:rPr>
          <w:color w:val="auto"/>
        </w:rPr>
        <w:t>IGF-1</w:t>
      </w:r>
      <w:r w:rsidRPr="00FE7622">
        <w:rPr>
          <w:color w:val="auto"/>
        </w:rPr>
        <w:t xml:space="preserve"> concentrations (another key growth factor for skeletal muscle) have been associated with preservation of muscle mass in multiple cohort studies.</w:t>
      </w:r>
      <w:r w:rsidR="00E038BF" w:rsidRPr="00FE7622">
        <w:rPr>
          <w:color w:val="auto"/>
          <w:vertAlign w:val="superscript"/>
        </w:rPr>
        <w:t>53,60</w:t>
      </w:r>
      <w:r w:rsidRPr="00FE7622">
        <w:rPr>
          <w:color w:val="auto"/>
        </w:rPr>
        <w:t xml:space="preserve"> Higher GDF-15 concentrations have been associated with worse muscle function and more rapid deterioration in function in patients with </w:t>
      </w:r>
      <w:r w:rsidRPr="00842651">
        <w:rPr>
          <w:color w:val="auto"/>
        </w:rPr>
        <w:t>COPD</w:t>
      </w:r>
      <w:r w:rsidRPr="00FE7622">
        <w:rPr>
          <w:color w:val="auto"/>
        </w:rPr>
        <w:t xml:space="preserve"> and </w:t>
      </w:r>
      <w:r w:rsidR="00DB44BE" w:rsidRPr="00FE7622">
        <w:rPr>
          <w:color w:val="auto"/>
        </w:rPr>
        <w:t xml:space="preserve">in </w:t>
      </w:r>
      <w:r w:rsidRPr="00FE7622">
        <w:rPr>
          <w:color w:val="auto"/>
        </w:rPr>
        <w:t>older people.</w:t>
      </w:r>
      <w:r w:rsidR="00E038BF" w:rsidRPr="00FE7622">
        <w:rPr>
          <w:color w:val="auto"/>
          <w:vertAlign w:val="superscript"/>
        </w:rPr>
        <w:t>61,62</w:t>
      </w:r>
      <w:r w:rsidRPr="00FE7622">
        <w:rPr>
          <w:color w:val="auto"/>
        </w:rPr>
        <w:t xml:space="preserve"> Renin and serum ACE (unlike markers such as angiotensin II) are easily measured markers of activity of the renin-angiotensin-aldosterone system</w:t>
      </w:r>
      <w:r w:rsidR="00632484" w:rsidRPr="00FE7622">
        <w:rPr>
          <w:color w:val="auto"/>
        </w:rPr>
        <w:t>,</w:t>
      </w:r>
      <w:r w:rsidRPr="00FE7622">
        <w:rPr>
          <w:color w:val="auto"/>
        </w:rPr>
        <w:t xml:space="preserve"> elements of which have been implicated in sarcopenia</w:t>
      </w:r>
      <w:r w:rsidR="003C3A27" w:rsidRPr="00FE7622">
        <w:rPr>
          <w:color w:val="auto"/>
        </w:rPr>
        <w:t>,</w:t>
      </w:r>
      <w:r w:rsidRPr="00FE7622">
        <w:rPr>
          <w:color w:val="auto"/>
        </w:rPr>
        <w:t xml:space="preserve"> as discussed above.</w:t>
      </w:r>
      <w:r w:rsidR="00E038BF" w:rsidRPr="00FE7622">
        <w:rPr>
          <w:color w:val="auto"/>
          <w:vertAlign w:val="superscript"/>
        </w:rPr>
        <w:t>24–26</w:t>
      </w:r>
    </w:p>
    <w:p w14:paraId="2A91B933" w14:textId="1AEE6272" w:rsidR="00E038BF" w:rsidRPr="00FE7622" w:rsidRDefault="00E038BF" w:rsidP="00775C3F">
      <w:pPr>
        <w:pStyle w:val="54CheadHeadingsHeadingstyles"/>
        <w:rPr>
          <w:color w:val="auto"/>
        </w:rPr>
      </w:pPr>
      <w:r w:rsidRPr="00FE7622">
        <w:rPr>
          <w:color w:val="auto"/>
        </w:rPr>
        <w:t>Microribonucleic acid</w:t>
      </w:r>
    </w:p>
    <w:p w14:paraId="06F90B1C" w14:textId="1DD72B51" w:rsidR="00F026E8" w:rsidRPr="00FE7622" w:rsidRDefault="00F026E8" w:rsidP="00E623A6">
      <w:pPr>
        <w:pStyle w:val="602TextfoTextstylesTextstyles"/>
        <w:rPr>
          <w:color w:val="auto"/>
        </w:rPr>
      </w:pPr>
      <w:r w:rsidRPr="00FE7622">
        <w:rPr>
          <w:color w:val="auto"/>
        </w:rPr>
        <w:t>Micro</w:t>
      </w:r>
      <w:r w:rsidR="008512CC" w:rsidRPr="00FE7622">
        <w:rPr>
          <w:color w:val="auto"/>
        </w:rPr>
        <w:t xml:space="preserve">ribonucleic acid </w:t>
      </w:r>
      <w:r w:rsidR="008512CC">
        <w:rPr>
          <w:color w:val="auto"/>
        </w:rPr>
        <w:t>(</w:t>
      </w:r>
      <w:r w:rsidRPr="00FE7622">
        <w:rPr>
          <w:color w:val="auto"/>
        </w:rPr>
        <w:t>RNA</w:t>
      </w:r>
      <w:r w:rsidR="008512CC">
        <w:rPr>
          <w:color w:val="auto"/>
        </w:rPr>
        <w:t>)</w:t>
      </w:r>
      <w:r w:rsidR="002A7E2D">
        <w:rPr>
          <w:color w:val="auto"/>
        </w:rPr>
        <w:t xml:space="preserve"> (miRNA)</w:t>
      </w:r>
      <w:r w:rsidRPr="00FE7622">
        <w:rPr>
          <w:color w:val="auto"/>
        </w:rPr>
        <w:t xml:space="preserve"> involved in complementary signalling systems relevant to skeletal muscle were selected for study. Circulating miR-422a was inversely associated with strength in </w:t>
      </w:r>
      <w:r w:rsidRPr="00842651">
        <w:rPr>
          <w:color w:val="auto"/>
        </w:rPr>
        <w:t>COPD</w:t>
      </w:r>
      <w:r w:rsidR="000C5964" w:rsidRPr="00FE7622">
        <w:rPr>
          <w:color w:val="auto"/>
        </w:rPr>
        <w:t>,</w:t>
      </w:r>
      <w:r w:rsidRPr="00FE7622">
        <w:rPr>
          <w:color w:val="auto"/>
        </w:rPr>
        <w:t xml:space="preserve"> and quadriceps miR-422a was associated with muscle loss in patients undergoing aortic surgery</w:t>
      </w:r>
      <w:r w:rsidR="00C42802" w:rsidRPr="00FE7622">
        <w:rPr>
          <w:color w:val="auto"/>
        </w:rPr>
        <w:t>,</w:t>
      </w:r>
      <w:r w:rsidR="00E038BF" w:rsidRPr="00FE7622">
        <w:rPr>
          <w:color w:val="auto"/>
          <w:vertAlign w:val="superscript"/>
        </w:rPr>
        <w:t>63</w:t>
      </w:r>
      <w:r w:rsidRPr="00FE7622">
        <w:rPr>
          <w:color w:val="auto"/>
        </w:rPr>
        <w:t xml:space="preserve"> probably due to action on the TGF-beta pathway. We have previously shown that imprinted</w:t>
      </w:r>
      <w:r w:rsidR="002A7E2D">
        <w:rPr>
          <w:color w:val="auto"/>
        </w:rPr>
        <w:t xml:space="preserve"> </w:t>
      </w:r>
      <w:r w:rsidRPr="00842651">
        <w:rPr>
          <w:color w:val="auto"/>
        </w:rPr>
        <w:t>miRNA</w:t>
      </w:r>
      <w:r w:rsidRPr="00FE7622">
        <w:rPr>
          <w:color w:val="auto"/>
        </w:rPr>
        <w:t xml:space="preserve"> </w:t>
      </w:r>
      <w:r w:rsidR="008512CC">
        <w:rPr>
          <w:color w:val="auto"/>
        </w:rPr>
        <w:t>is</w:t>
      </w:r>
      <w:r w:rsidRPr="00FE7622">
        <w:rPr>
          <w:color w:val="auto"/>
        </w:rPr>
        <w:t xml:space="preserve"> associated with muscle mass and function both in circulation and in the muscle</w:t>
      </w:r>
      <w:r w:rsidR="00F6618E" w:rsidRPr="00FE7622">
        <w:rPr>
          <w:color w:val="auto"/>
        </w:rPr>
        <w:t>,</w:t>
      </w:r>
      <w:r w:rsidRPr="00FE7622">
        <w:rPr>
          <w:color w:val="auto"/>
        </w:rPr>
        <w:t xml:space="preserve"> with paternally expressed </w:t>
      </w:r>
      <w:r w:rsidRPr="00842651">
        <w:rPr>
          <w:color w:val="auto"/>
        </w:rPr>
        <w:t>miRNAs</w:t>
      </w:r>
      <w:r w:rsidRPr="00FE7622">
        <w:rPr>
          <w:color w:val="auto"/>
        </w:rPr>
        <w:t xml:space="preserve"> (</w:t>
      </w:r>
      <w:r w:rsidR="00F6618E" w:rsidRPr="00FE7622">
        <w:rPr>
          <w:color w:val="auto"/>
        </w:rPr>
        <w:t>e.g.</w:t>
      </w:r>
      <w:r w:rsidRPr="00FE7622">
        <w:rPr>
          <w:color w:val="auto"/>
        </w:rPr>
        <w:t xml:space="preserve"> miR-483</w:t>
      </w:r>
      <w:r w:rsidR="00F6618E" w:rsidRPr="00FE7622">
        <w:rPr>
          <w:color w:val="auto"/>
        </w:rPr>
        <w:t>-</w:t>
      </w:r>
      <w:r w:rsidRPr="00FE7622">
        <w:rPr>
          <w:color w:val="auto"/>
        </w:rPr>
        <w:t xml:space="preserve">5p) positively associated with muscle mass and strength and maternally expressed </w:t>
      </w:r>
      <w:r w:rsidRPr="00842651">
        <w:rPr>
          <w:color w:val="auto"/>
        </w:rPr>
        <w:t>miRNAs</w:t>
      </w:r>
      <w:r w:rsidRPr="00FE7622">
        <w:rPr>
          <w:color w:val="auto"/>
        </w:rPr>
        <w:t xml:space="preserve"> (</w:t>
      </w:r>
      <w:r w:rsidR="00F6618E" w:rsidRPr="00FE7622">
        <w:rPr>
          <w:color w:val="auto"/>
        </w:rPr>
        <w:t>e.g.</w:t>
      </w:r>
      <w:r w:rsidRPr="00FE7622">
        <w:rPr>
          <w:color w:val="auto"/>
        </w:rPr>
        <w:t xml:space="preserve"> miR-485</w:t>
      </w:r>
      <w:r w:rsidR="00F6618E" w:rsidRPr="00FE7622">
        <w:rPr>
          <w:color w:val="auto"/>
        </w:rPr>
        <w:t>-</w:t>
      </w:r>
      <w:r w:rsidRPr="00FE7622">
        <w:rPr>
          <w:color w:val="auto"/>
        </w:rPr>
        <w:t>3p) inversely associated with muscle strength.</w:t>
      </w:r>
      <w:r w:rsidR="00E038BF" w:rsidRPr="00FE7622">
        <w:rPr>
          <w:color w:val="auto"/>
          <w:vertAlign w:val="superscript"/>
        </w:rPr>
        <w:t>64,65</w:t>
      </w:r>
    </w:p>
    <w:p w14:paraId="2F22B13B" w14:textId="46437912" w:rsidR="00E038BF" w:rsidRPr="00FE7622" w:rsidRDefault="00E038BF" w:rsidP="00775C3F">
      <w:pPr>
        <w:pStyle w:val="54CheadHeadingsHeadingstyles"/>
        <w:rPr>
          <w:color w:val="auto"/>
        </w:rPr>
      </w:pPr>
      <w:r w:rsidRPr="00FE7622">
        <w:rPr>
          <w:color w:val="auto"/>
        </w:rPr>
        <w:t>Genetic markers</w:t>
      </w:r>
    </w:p>
    <w:p w14:paraId="1B2BEC5E" w14:textId="62A57899" w:rsidR="00F026E8" w:rsidRPr="00FE7622" w:rsidRDefault="00F026E8" w:rsidP="00E623A6">
      <w:pPr>
        <w:pStyle w:val="602TextfoTextstylesTextstyles"/>
        <w:rPr>
          <w:color w:val="auto"/>
        </w:rPr>
      </w:pPr>
      <w:r w:rsidRPr="00FE7622">
        <w:rPr>
          <w:color w:val="auto"/>
        </w:rPr>
        <w:t xml:space="preserve">Allelic variations in the </w:t>
      </w:r>
      <w:r w:rsidR="00E038BF" w:rsidRPr="00FE7622">
        <w:rPr>
          <w:i/>
          <w:iCs/>
          <w:color w:val="auto"/>
        </w:rPr>
        <w:t>ACE</w:t>
      </w:r>
      <w:r w:rsidRPr="00FE7622">
        <w:rPr>
          <w:color w:val="auto"/>
        </w:rPr>
        <w:t xml:space="preserve">, </w:t>
      </w:r>
      <w:r w:rsidR="00E038BF" w:rsidRPr="00FE7622">
        <w:rPr>
          <w:i/>
          <w:iCs/>
          <w:color w:val="auto"/>
        </w:rPr>
        <w:t>ATVR1B</w:t>
      </w:r>
      <w:r w:rsidRPr="00FE7622">
        <w:rPr>
          <w:color w:val="auto"/>
        </w:rPr>
        <w:t xml:space="preserve"> (</w:t>
      </w:r>
      <w:r w:rsidR="0000385D" w:rsidRPr="00FE7622">
        <w:rPr>
          <w:color w:val="auto"/>
        </w:rPr>
        <w:t>a</w:t>
      </w:r>
      <w:r w:rsidRPr="00FE7622">
        <w:rPr>
          <w:color w:val="auto"/>
        </w:rPr>
        <w:t xml:space="preserve">ctivin receptor involved in myostatin signalling) and </w:t>
      </w:r>
      <w:r w:rsidR="00E038BF" w:rsidRPr="00FE7622">
        <w:rPr>
          <w:i/>
          <w:iCs/>
          <w:color w:val="auto"/>
        </w:rPr>
        <w:t>ACTN3</w:t>
      </w:r>
      <w:r w:rsidRPr="00FE7622">
        <w:rPr>
          <w:color w:val="auto"/>
        </w:rPr>
        <w:t xml:space="preserve"> (alpha-actinin-3</w:t>
      </w:r>
      <w:r w:rsidR="00B81884" w:rsidRPr="00FE7622">
        <w:rPr>
          <w:color w:val="auto"/>
        </w:rPr>
        <w:t>,</w:t>
      </w:r>
      <w:r w:rsidRPr="00FE7622">
        <w:rPr>
          <w:color w:val="auto"/>
        </w:rPr>
        <w:t xml:space="preserve"> an actin binding protein found in type II muscle fibres) genes have all been associated with differences in muscle mass and function in previous studies</w:t>
      </w:r>
      <w:r w:rsidR="00775C3F" w:rsidRPr="00FE7622">
        <w:rPr>
          <w:color w:val="auto"/>
        </w:rPr>
        <w:t>,</w:t>
      </w:r>
      <w:r w:rsidR="00E038BF" w:rsidRPr="00FE7622">
        <w:rPr>
          <w:color w:val="auto"/>
          <w:vertAlign w:val="superscript"/>
        </w:rPr>
        <w:t>66–68</w:t>
      </w:r>
      <w:r w:rsidRPr="00FE7622">
        <w:rPr>
          <w:color w:val="auto"/>
        </w:rPr>
        <w:t xml:space="preserve"> and these genes lie on mechanistic pathways expected to influence skeletal muscle mass and function.</w:t>
      </w:r>
    </w:p>
    <w:p w14:paraId="03FDD6D3" w14:textId="25887039" w:rsidR="00E038BF" w:rsidRPr="00FE7622" w:rsidRDefault="00E038BF" w:rsidP="00C7684D">
      <w:pPr>
        <w:pStyle w:val="52AheadHeadingsHeadingstyles"/>
      </w:pPr>
      <w:bookmarkStart w:id="41" w:name="_Toc79684491"/>
      <w:r w:rsidRPr="00FE7622">
        <w:t>Sample size calculation</w:t>
      </w:r>
      <w:bookmarkEnd w:id="41"/>
    </w:p>
    <w:p w14:paraId="47483BF3" w14:textId="6E098E4E" w:rsidR="00F026E8" w:rsidRPr="00FE7622" w:rsidRDefault="00F026E8" w:rsidP="00C7684D">
      <w:pPr>
        <w:pStyle w:val="602TextfoTextstylesTextstyles"/>
        <w:rPr>
          <w:rFonts w:ascii="Calibri Light" w:hAnsi="Calibri Light"/>
          <w:color w:val="2E74B5"/>
          <w:sz w:val="32"/>
          <w:szCs w:val="32"/>
        </w:rPr>
      </w:pPr>
      <w:r w:rsidRPr="00FE7622">
        <w:rPr>
          <w:color w:val="auto"/>
        </w:rPr>
        <w:t xml:space="preserve">The </w:t>
      </w:r>
      <w:r w:rsidR="00F6618E" w:rsidRPr="00FE7622">
        <w:rPr>
          <w:color w:val="auto"/>
        </w:rPr>
        <w:t xml:space="preserve">minimum clinically important difference </w:t>
      </w:r>
      <w:r w:rsidRPr="00FE7622">
        <w:rPr>
          <w:color w:val="auto"/>
        </w:rPr>
        <w:t>(</w:t>
      </w:r>
      <w:r w:rsidRPr="00842651">
        <w:rPr>
          <w:color w:val="auto"/>
        </w:rPr>
        <w:t>MCID</w:t>
      </w:r>
      <w:r w:rsidRPr="00FE7622">
        <w:rPr>
          <w:color w:val="auto"/>
        </w:rPr>
        <w:t>) for the primary outcome (</w:t>
      </w:r>
      <w:r w:rsidRPr="00842651">
        <w:rPr>
          <w:color w:val="auto"/>
        </w:rPr>
        <w:t>SPPB</w:t>
      </w:r>
      <w:r w:rsidRPr="00FE7622">
        <w:rPr>
          <w:color w:val="auto"/>
        </w:rPr>
        <w:t>) has been estimated at between 0.5 and 1 point</w:t>
      </w:r>
      <w:r w:rsidR="00251F68" w:rsidRPr="00FE7622">
        <w:rPr>
          <w:color w:val="auto"/>
        </w:rPr>
        <w:t>s</w:t>
      </w:r>
      <w:r w:rsidRPr="00FE7622">
        <w:rPr>
          <w:color w:val="auto"/>
        </w:rPr>
        <w:t>.</w:t>
      </w:r>
      <w:r w:rsidR="00E038BF" w:rsidRPr="00FE7622">
        <w:rPr>
          <w:color w:val="auto"/>
          <w:vertAlign w:val="superscript"/>
        </w:rPr>
        <w:t>42,69</w:t>
      </w:r>
      <w:r w:rsidRPr="00FE7622">
        <w:rPr>
          <w:color w:val="auto"/>
        </w:rPr>
        <w:t xml:space="preserve"> We took a deliberately conservative approach to sample size calculation and used a </w:t>
      </w:r>
      <w:r w:rsidRPr="00842651">
        <w:rPr>
          <w:color w:val="auto"/>
        </w:rPr>
        <w:t>MCID</w:t>
      </w:r>
      <w:r w:rsidRPr="00FE7622">
        <w:rPr>
          <w:color w:val="auto"/>
        </w:rPr>
        <w:t xml:space="preserve"> of 0.5 point</w:t>
      </w:r>
      <w:r w:rsidR="00F6618E" w:rsidRPr="00FE7622">
        <w:rPr>
          <w:color w:val="auto"/>
        </w:rPr>
        <w:t>s</w:t>
      </w:r>
      <w:r w:rsidRPr="00FE7622">
        <w:rPr>
          <w:color w:val="auto"/>
        </w:rPr>
        <w:t xml:space="preserve">. Assuming a standard deviation </w:t>
      </w:r>
      <w:r w:rsidR="00A2389C" w:rsidRPr="00FE7622">
        <w:rPr>
          <w:color w:val="auto"/>
        </w:rPr>
        <w:t>(</w:t>
      </w:r>
      <w:r w:rsidR="00A2389C" w:rsidRPr="00842651">
        <w:rPr>
          <w:color w:val="auto"/>
        </w:rPr>
        <w:t>SD</w:t>
      </w:r>
      <w:r w:rsidR="00A2389C" w:rsidRPr="00FE7622">
        <w:rPr>
          <w:color w:val="auto"/>
        </w:rPr>
        <w:t xml:space="preserve">) </w:t>
      </w:r>
      <w:r w:rsidRPr="00FE7622">
        <w:rPr>
          <w:color w:val="auto"/>
        </w:rPr>
        <w:t>of 2.7</w:t>
      </w:r>
      <w:r w:rsidR="00F6618E" w:rsidRPr="00FE7622">
        <w:rPr>
          <w:color w:val="auto"/>
        </w:rPr>
        <w:t>,</w:t>
      </w:r>
      <w:r w:rsidRPr="00FE7622">
        <w:rPr>
          <w:color w:val="auto"/>
        </w:rPr>
        <w:t xml:space="preserve"> as seen in similar previous studies</w:t>
      </w:r>
      <w:r w:rsidR="00F6618E" w:rsidRPr="00FE7622">
        <w:rPr>
          <w:color w:val="auto"/>
        </w:rPr>
        <w:t>,</w:t>
      </w:r>
      <w:r w:rsidRPr="00FE7622">
        <w:rPr>
          <w:color w:val="auto"/>
        </w:rPr>
        <w:t xml:space="preserve"> with a power of 90% at alpha 0.05, and assuming a correlation between time points of 0.7 </w:t>
      </w:r>
      <w:r w:rsidR="00F6618E" w:rsidRPr="00FE7622">
        <w:rPr>
          <w:color w:val="auto"/>
        </w:rPr>
        <w:t xml:space="preserve">as </w:t>
      </w:r>
      <w:r w:rsidRPr="00FE7622">
        <w:rPr>
          <w:color w:val="auto"/>
        </w:rPr>
        <w:t xml:space="preserve">seen in our previous work, we would require a total of 352 participants for each of the </w:t>
      </w:r>
      <w:r w:rsidR="00F6618E" w:rsidRPr="00FE7622">
        <w:rPr>
          <w:color w:val="auto"/>
        </w:rPr>
        <w:t>four</w:t>
      </w:r>
      <w:r w:rsidRPr="00FE7622">
        <w:rPr>
          <w:color w:val="auto"/>
        </w:rPr>
        <w:t xml:space="preserve"> groups (</w:t>
      </w:r>
      <w:r w:rsidR="00F6618E" w:rsidRPr="00FE7622">
        <w:rPr>
          <w:color w:val="auto"/>
        </w:rPr>
        <w:t xml:space="preserve">i.e. </w:t>
      </w:r>
      <w:r w:rsidRPr="00FE7622">
        <w:rPr>
          <w:color w:val="auto"/>
        </w:rPr>
        <w:t>88 per group). Assuming</w:t>
      </w:r>
      <w:r w:rsidR="003F06B4" w:rsidRPr="00FE7622">
        <w:rPr>
          <w:color w:val="auto"/>
        </w:rPr>
        <w:t xml:space="preserve"> a</w:t>
      </w:r>
      <w:r w:rsidRPr="00FE7622">
        <w:rPr>
          <w:color w:val="auto"/>
        </w:rPr>
        <w:t xml:space="preserve"> 20% dropout</w:t>
      </w:r>
      <w:r w:rsidR="00F6618E" w:rsidRPr="00FE7622">
        <w:rPr>
          <w:color w:val="auto"/>
        </w:rPr>
        <w:t xml:space="preserve"> rate</w:t>
      </w:r>
      <w:r w:rsidRPr="00FE7622">
        <w:rPr>
          <w:color w:val="auto"/>
        </w:rPr>
        <w:t xml:space="preserve"> at 12 months (based on previous similar studies),</w:t>
      </w:r>
      <w:r w:rsidR="00E038BF" w:rsidRPr="00FE7622">
        <w:rPr>
          <w:color w:val="auto"/>
          <w:vertAlign w:val="superscript"/>
        </w:rPr>
        <w:t>29,70</w:t>
      </w:r>
      <w:r w:rsidRPr="00FE7622">
        <w:rPr>
          <w:color w:val="auto"/>
        </w:rPr>
        <w:t xml:space="preserve"> we aimed to recruit 440 patients. This sample size would also have 90% power to detect a 5% difference in muscle mass, assuming a baseline value of 19 kg (</w:t>
      </w:r>
      <w:r w:rsidRPr="00842651">
        <w:rPr>
          <w:color w:val="auto"/>
        </w:rPr>
        <w:t>SD</w:t>
      </w:r>
      <w:r w:rsidRPr="00FE7622">
        <w:rPr>
          <w:color w:val="auto"/>
        </w:rPr>
        <w:t xml:space="preserve"> 2.8</w:t>
      </w:r>
      <w:r w:rsidR="002E318C" w:rsidRPr="00FE7622">
        <w:rPr>
          <w:color w:val="auto"/>
        </w:rPr>
        <w:t> kg</w:t>
      </w:r>
      <w:r w:rsidRPr="00FE7622">
        <w:rPr>
          <w:color w:val="auto"/>
        </w:rPr>
        <w:t>)</w:t>
      </w:r>
      <w:r w:rsidR="002E318C" w:rsidRPr="00FE7622">
        <w:rPr>
          <w:color w:val="auto"/>
        </w:rPr>
        <w:t>.</w:t>
      </w:r>
    </w:p>
    <w:p w14:paraId="2685CC9C" w14:textId="29215717" w:rsidR="00E038BF" w:rsidRPr="00FE7622" w:rsidRDefault="00E038BF" w:rsidP="00C7684D">
      <w:pPr>
        <w:pStyle w:val="43ChaptertitleHeadingsHeadingstyles"/>
      </w:pPr>
      <w:bookmarkStart w:id="42" w:name="_Toc79684492"/>
      <w:r w:rsidRPr="00FE7622">
        <w:t>Chapter 3</w:t>
      </w:r>
      <w:r w:rsidRPr="00FE7622">
        <w:t> </w:t>
      </w:r>
      <w:r w:rsidRPr="00FE7622">
        <w:t>Trial methods</w:t>
      </w:r>
      <w:bookmarkEnd w:id="42"/>
    </w:p>
    <w:p w14:paraId="760739E3" w14:textId="77777777" w:rsidR="00E038BF" w:rsidRPr="00FE7622" w:rsidRDefault="00E038BF" w:rsidP="00C7684D">
      <w:pPr>
        <w:pStyle w:val="52AheadHeadingsHeadingstyles"/>
      </w:pPr>
      <w:bookmarkStart w:id="43" w:name="_Toc79684493"/>
      <w:r w:rsidRPr="00FE7622">
        <w:t>Regulatory approval</w:t>
      </w:r>
      <w:bookmarkEnd w:id="43"/>
    </w:p>
    <w:p w14:paraId="70E1760C" w14:textId="6B6EBC22" w:rsidR="00F026E8" w:rsidRPr="00FE7622" w:rsidRDefault="002168E3" w:rsidP="00C7684D">
      <w:pPr>
        <w:pStyle w:val="602TextfoTextstylesTextstyles"/>
        <w:rPr>
          <w:color w:val="auto"/>
        </w:rPr>
      </w:pPr>
      <w:r w:rsidRPr="00FE7622">
        <w:rPr>
          <w:color w:val="auto"/>
        </w:rPr>
        <w:t xml:space="preserve">The </w:t>
      </w:r>
      <w:r w:rsidR="00F026E8" w:rsidRPr="00842651">
        <w:rPr>
          <w:color w:val="auto"/>
        </w:rPr>
        <w:t>LACE</w:t>
      </w:r>
      <w:r w:rsidR="00F026E8" w:rsidRPr="00FE7622">
        <w:rPr>
          <w:color w:val="auto"/>
        </w:rPr>
        <w:t xml:space="preserve"> </w:t>
      </w:r>
      <w:r w:rsidRPr="00FE7622">
        <w:rPr>
          <w:color w:val="auto"/>
        </w:rPr>
        <w:t xml:space="preserve">trial </w:t>
      </w:r>
      <w:r w:rsidR="00F026E8" w:rsidRPr="00FE7622">
        <w:rPr>
          <w:color w:val="auto"/>
        </w:rPr>
        <w:t xml:space="preserve">was a Clinical Trial of an Investigational Medicinal Product (CTIMP). Regulatory approval was obtained from the Medicines and Healthcare </w:t>
      </w:r>
      <w:r w:rsidR="002E318C" w:rsidRPr="00FE7622">
        <w:rPr>
          <w:color w:val="auto"/>
        </w:rPr>
        <w:t xml:space="preserve">products </w:t>
      </w:r>
      <w:r w:rsidR="00F026E8" w:rsidRPr="00FE7622">
        <w:rPr>
          <w:color w:val="auto"/>
        </w:rPr>
        <w:t xml:space="preserve">Regulatory </w:t>
      </w:r>
      <w:r w:rsidR="002E318C" w:rsidRPr="00FE7622">
        <w:rPr>
          <w:color w:val="auto"/>
        </w:rPr>
        <w:t>Agency</w:t>
      </w:r>
      <w:r w:rsidR="00F026E8" w:rsidRPr="00FE7622">
        <w:rPr>
          <w:color w:val="auto"/>
        </w:rPr>
        <w:t xml:space="preserve"> (EudraCT number 2014</w:t>
      </w:r>
      <w:r w:rsidR="002E318C" w:rsidRPr="00FE7622">
        <w:rPr>
          <w:color w:val="auto"/>
        </w:rPr>
        <w:t>-</w:t>
      </w:r>
      <w:r w:rsidR="00F026E8" w:rsidRPr="00FE7622">
        <w:rPr>
          <w:color w:val="auto"/>
        </w:rPr>
        <w:t>003455</w:t>
      </w:r>
      <w:r w:rsidR="002E318C" w:rsidRPr="00FE7622">
        <w:rPr>
          <w:color w:val="auto"/>
        </w:rPr>
        <w:t>-</w:t>
      </w:r>
      <w:r w:rsidR="00F026E8" w:rsidRPr="00FE7622">
        <w:rPr>
          <w:color w:val="auto"/>
        </w:rPr>
        <w:t>61; Clinical Trial Authorisation number 36888/0001/001</w:t>
      </w:r>
      <w:r w:rsidR="002E318C" w:rsidRPr="00FE7622">
        <w:rPr>
          <w:color w:val="auto"/>
        </w:rPr>
        <w:t>-</w:t>
      </w:r>
      <w:r w:rsidR="00F026E8" w:rsidRPr="00FE7622">
        <w:rPr>
          <w:color w:val="auto"/>
        </w:rPr>
        <w:t xml:space="preserve">0001). The East of Scotland NHS </w:t>
      </w:r>
      <w:r w:rsidR="002E318C" w:rsidRPr="00FE7622">
        <w:rPr>
          <w:color w:val="auto"/>
        </w:rPr>
        <w:t xml:space="preserve">Research Ethics Committee </w:t>
      </w:r>
      <w:r w:rsidR="00F026E8" w:rsidRPr="00FE7622">
        <w:rPr>
          <w:color w:val="auto"/>
        </w:rPr>
        <w:t>gave ethics approval (approval 14/ES/1099). The trial was co-sponsored by the University of Dundee and NHS Tayside (Tayside Academic Health Sciences Collaboration) and was registered at www.isrctn.com. The trial registration number was ISRCTN90094835.</w:t>
      </w:r>
    </w:p>
    <w:p w14:paraId="0D2729C4" w14:textId="0AFFC829" w:rsidR="00E038BF" w:rsidRPr="00FE7622" w:rsidRDefault="00E038BF" w:rsidP="00C7684D">
      <w:pPr>
        <w:pStyle w:val="52AheadHeadingsHeadingstyles"/>
      </w:pPr>
      <w:bookmarkStart w:id="44" w:name="_Toc79684494"/>
      <w:r w:rsidRPr="00FE7622">
        <w:t>Participants</w:t>
      </w:r>
      <w:bookmarkEnd w:id="44"/>
    </w:p>
    <w:p w14:paraId="327A03D2" w14:textId="18F47BE8" w:rsidR="00E038BF" w:rsidRPr="00FE7622" w:rsidRDefault="00E038BF" w:rsidP="00C7684D">
      <w:pPr>
        <w:pStyle w:val="53BheadHeadingsHeadingstyles"/>
      </w:pPr>
      <w:bookmarkStart w:id="45" w:name="_Toc79684495"/>
      <w:r w:rsidRPr="00FE7622">
        <w:t>Site identification</w:t>
      </w:r>
      <w:bookmarkEnd w:id="45"/>
    </w:p>
    <w:p w14:paraId="72A815FF" w14:textId="1234519A" w:rsidR="00F026E8" w:rsidRPr="00FE7622" w:rsidRDefault="00F026E8" w:rsidP="00C7684D">
      <w:pPr>
        <w:pStyle w:val="602TextfoTextstylesTextstyles"/>
        <w:rPr>
          <w:color w:val="auto"/>
        </w:rPr>
      </w:pPr>
      <w:r w:rsidRPr="00FE7622">
        <w:rPr>
          <w:color w:val="auto"/>
        </w:rPr>
        <w:t xml:space="preserve">Potential sites were identified via the </w:t>
      </w:r>
      <w:r w:rsidRPr="00842651">
        <w:rPr>
          <w:color w:val="auto"/>
        </w:rPr>
        <w:t>NIHR</w:t>
      </w:r>
      <w:r w:rsidRPr="00FE7622">
        <w:rPr>
          <w:color w:val="auto"/>
        </w:rPr>
        <w:t xml:space="preserve"> Ageing Clinical Research Network and by personal contacts of the trial team and</w:t>
      </w:r>
      <w:r w:rsidR="00525C8B" w:rsidRPr="00FE7622">
        <w:rPr>
          <w:color w:val="auto"/>
        </w:rPr>
        <w:t xml:space="preserve"> Trial Steering Committee</w:t>
      </w:r>
      <w:r w:rsidRPr="00FE7622">
        <w:rPr>
          <w:color w:val="auto"/>
        </w:rPr>
        <w:t xml:space="preserve"> </w:t>
      </w:r>
      <w:r w:rsidR="00525C8B" w:rsidRPr="00FE7622">
        <w:rPr>
          <w:color w:val="auto"/>
        </w:rPr>
        <w:t>(</w:t>
      </w:r>
      <w:r w:rsidRPr="00842651">
        <w:rPr>
          <w:color w:val="auto"/>
        </w:rPr>
        <w:t>TSC</w:t>
      </w:r>
      <w:r w:rsidR="00525C8B" w:rsidRPr="00FE7622">
        <w:rPr>
          <w:color w:val="auto"/>
        </w:rPr>
        <w:t>)</w:t>
      </w:r>
      <w:r w:rsidRPr="00FE7622">
        <w:rPr>
          <w:color w:val="auto"/>
        </w:rPr>
        <w:t xml:space="preserve">. The trial was advertised to potential sites </w:t>
      </w:r>
      <w:r w:rsidR="002E318C" w:rsidRPr="00FE7622">
        <w:rPr>
          <w:color w:val="auto"/>
        </w:rPr>
        <w:t>in</w:t>
      </w:r>
      <w:r w:rsidRPr="00FE7622">
        <w:rPr>
          <w:color w:val="auto"/>
        </w:rPr>
        <w:t xml:space="preserve"> talks at national meetings and </w:t>
      </w:r>
      <w:r w:rsidR="00F04B3E" w:rsidRPr="00FE7622">
        <w:rPr>
          <w:color w:val="auto"/>
        </w:rPr>
        <w:t>in</w:t>
      </w:r>
      <w:r w:rsidRPr="00FE7622">
        <w:rPr>
          <w:color w:val="auto"/>
        </w:rPr>
        <w:t xml:space="preserve"> e</w:t>
      </w:r>
      <w:r w:rsidR="002E318C" w:rsidRPr="00FE7622">
        <w:rPr>
          <w:color w:val="auto"/>
        </w:rPr>
        <w:t>-</w:t>
      </w:r>
      <w:r w:rsidRPr="00FE7622">
        <w:rPr>
          <w:color w:val="auto"/>
        </w:rPr>
        <w:t>mail</w:t>
      </w:r>
      <w:r w:rsidR="00F04B3E" w:rsidRPr="00FE7622">
        <w:rPr>
          <w:color w:val="auto"/>
        </w:rPr>
        <w:t>s to</w:t>
      </w:r>
      <w:r w:rsidRPr="00FE7622">
        <w:rPr>
          <w:color w:val="auto"/>
        </w:rPr>
        <w:t xml:space="preserve"> members of the British Geriatrics Society. For sites to participate, research nurse time had to be available alongside a </w:t>
      </w:r>
      <w:r w:rsidR="00CB0916" w:rsidRPr="00FE7622">
        <w:rPr>
          <w:color w:val="auto"/>
        </w:rPr>
        <w:t>principal investigator</w:t>
      </w:r>
      <w:r w:rsidRPr="00FE7622">
        <w:rPr>
          <w:color w:val="auto"/>
        </w:rPr>
        <w:t xml:space="preserve"> </w:t>
      </w:r>
      <w:r w:rsidR="00F31393" w:rsidRPr="00FE7622">
        <w:rPr>
          <w:color w:val="auto"/>
        </w:rPr>
        <w:t>who had</w:t>
      </w:r>
      <w:r w:rsidRPr="00FE7622">
        <w:rPr>
          <w:color w:val="auto"/>
        </w:rPr>
        <w:t xml:space="preserve"> appropriate Good Clinical Practice trainin</w:t>
      </w:r>
      <w:r w:rsidR="00F31393" w:rsidRPr="00FE7622">
        <w:rPr>
          <w:color w:val="auto"/>
        </w:rPr>
        <w:t>g; and</w:t>
      </w:r>
      <w:r w:rsidRPr="00FE7622">
        <w:rPr>
          <w:color w:val="auto"/>
        </w:rPr>
        <w:t xml:space="preserve"> the site had to have access to suitable clinical trials pharmacy support, medication storage, –80 °C freezer space, and </w:t>
      </w:r>
      <w:r w:rsidR="00A671FF" w:rsidRPr="00FE7622">
        <w:rPr>
          <w:color w:val="auto"/>
        </w:rPr>
        <w:t>dual-energy X-ray absorptiometry (</w:t>
      </w:r>
      <w:r w:rsidRPr="00842651">
        <w:rPr>
          <w:color w:val="auto"/>
        </w:rPr>
        <w:t>DXA</w:t>
      </w:r>
      <w:r w:rsidR="00A671FF" w:rsidRPr="00FE7622">
        <w:rPr>
          <w:color w:val="auto"/>
        </w:rPr>
        <w:t>)</w:t>
      </w:r>
      <w:r w:rsidRPr="00FE7622">
        <w:rPr>
          <w:color w:val="auto"/>
        </w:rPr>
        <w:t xml:space="preserve"> scanning able to measure whole-body muscle mass.</w:t>
      </w:r>
    </w:p>
    <w:p w14:paraId="3716CFAE" w14:textId="71D7E189" w:rsidR="00E038BF" w:rsidRPr="00FE7622" w:rsidRDefault="00E038BF" w:rsidP="00C7684D">
      <w:pPr>
        <w:pStyle w:val="53BheadHeadingsHeadingstyles"/>
      </w:pPr>
      <w:bookmarkStart w:id="46" w:name="_Toc79684496"/>
      <w:r w:rsidRPr="00FE7622">
        <w:t>Participant identification</w:t>
      </w:r>
      <w:bookmarkEnd w:id="46"/>
    </w:p>
    <w:p w14:paraId="5DE674A1" w14:textId="7C2B2E20" w:rsidR="00F026E8" w:rsidRPr="00FE7622" w:rsidRDefault="00F026E8" w:rsidP="00C7684D">
      <w:pPr>
        <w:pStyle w:val="602TextfoTextstylesTextstyles"/>
        <w:rPr>
          <w:color w:val="auto"/>
        </w:rPr>
      </w:pPr>
      <w:r w:rsidRPr="00FE7622">
        <w:rPr>
          <w:color w:val="auto"/>
        </w:rPr>
        <w:t>Participants were identified through geriatric medicine secondary care services (inpatient and outpatient) or through primary care. Local clinicians and research nurses reviewed inpatient and outpatient medical notes and then approached potentially eligible patients face</w:t>
      </w:r>
      <w:r w:rsidR="002E318C" w:rsidRPr="00FE7622">
        <w:rPr>
          <w:color w:val="auto"/>
        </w:rPr>
        <w:t xml:space="preserve"> </w:t>
      </w:r>
      <w:r w:rsidRPr="00FE7622">
        <w:rPr>
          <w:color w:val="auto"/>
        </w:rPr>
        <w:t>to</w:t>
      </w:r>
      <w:r w:rsidR="002E318C" w:rsidRPr="00FE7622">
        <w:rPr>
          <w:color w:val="auto"/>
        </w:rPr>
        <w:t xml:space="preserve"> </w:t>
      </w:r>
      <w:r w:rsidRPr="00FE7622">
        <w:rPr>
          <w:color w:val="auto"/>
        </w:rPr>
        <w:t xml:space="preserve">face or </w:t>
      </w:r>
      <w:r w:rsidR="002E318C" w:rsidRPr="00FE7622">
        <w:rPr>
          <w:color w:val="auto"/>
        </w:rPr>
        <w:t>by</w:t>
      </w:r>
      <w:r w:rsidRPr="00FE7622">
        <w:rPr>
          <w:color w:val="auto"/>
        </w:rPr>
        <w:t xml:space="preserve"> letter if time was not available for an approach during clinic.</w:t>
      </w:r>
    </w:p>
    <w:p w14:paraId="6D1528E4" w14:textId="02579A22" w:rsidR="00F026E8" w:rsidRPr="00FE7622" w:rsidRDefault="00F026E8" w:rsidP="00C7684D">
      <w:pPr>
        <w:pStyle w:val="602TextfoTextstylesTextstyles"/>
        <w:rPr>
          <w:color w:val="auto"/>
        </w:rPr>
      </w:pPr>
      <w:r w:rsidRPr="00FE7622">
        <w:rPr>
          <w:color w:val="auto"/>
        </w:rPr>
        <w:t xml:space="preserve">For primary care recruitment, </w:t>
      </w:r>
      <w:r w:rsidR="00CB0916" w:rsidRPr="00FE7622">
        <w:rPr>
          <w:color w:val="auto"/>
        </w:rPr>
        <w:t>general</w:t>
      </w:r>
      <w:r w:rsidRPr="00FE7622">
        <w:rPr>
          <w:color w:val="auto"/>
        </w:rPr>
        <w:t xml:space="preserve"> practices within easy reach of a hospital-based care centre were approached via the </w:t>
      </w:r>
      <w:r w:rsidRPr="00842651">
        <w:rPr>
          <w:color w:val="auto"/>
        </w:rPr>
        <w:t>NIHR</w:t>
      </w:r>
      <w:r w:rsidRPr="00FE7622">
        <w:rPr>
          <w:color w:val="auto"/>
        </w:rPr>
        <w:t xml:space="preserve"> Primary Care Clinical Research Network. Practices who agreed to collaborate with participant identification reviewed their practice lists to identify patients </w:t>
      </w:r>
      <w:r w:rsidR="008A0848" w:rsidRPr="00FE7622">
        <w:rPr>
          <w:color w:val="auto"/>
        </w:rPr>
        <w:t xml:space="preserve">who were </w:t>
      </w:r>
      <w:r w:rsidRPr="00FE7622">
        <w:rPr>
          <w:color w:val="auto"/>
        </w:rPr>
        <w:t xml:space="preserve">aged </w:t>
      </w:r>
      <w:r w:rsidR="008A0848" w:rsidRPr="00FE7622">
        <w:rPr>
          <w:color w:val="auto"/>
        </w:rPr>
        <w:t>≥ </w:t>
      </w:r>
      <w:r w:rsidRPr="00FE7622">
        <w:rPr>
          <w:color w:val="auto"/>
        </w:rPr>
        <w:t>70</w:t>
      </w:r>
      <w:r w:rsidR="007E38D2" w:rsidRPr="00FE7622">
        <w:rPr>
          <w:color w:val="auto"/>
        </w:rPr>
        <w:t xml:space="preserve"> years</w:t>
      </w:r>
      <w:r w:rsidRPr="00FE7622">
        <w:rPr>
          <w:color w:val="auto"/>
        </w:rPr>
        <w:t xml:space="preserve">, </w:t>
      </w:r>
      <w:r w:rsidR="008A0848" w:rsidRPr="00FE7622">
        <w:rPr>
          <w:color w:val="auto"/>
        </w:rPr>
        <w:t xml:space="preserve">were </w:t>
      </w:r>
      <w:r w:rsidRPr="00FE7622">
        <w:rPr>
          <w:color w:val="auto"/>
        </w:rPr>
        <w:t xml:space="preserve">not taking </w:t>
      </w:r>
      <w:r w:rsidRPr="00842651">
        <w:rPr>
          <w:color w:val="auto"/>
        </w:rPr>
        <w:t>ACEi</w:t>
      </w:r>
      <w:r w:rsidR="007E38D2" w:rsidRPr="00FE7622">
        <w:rPr>
          <w:color w:val="auto"/>
        </w:rPr>
        <w:t xml:space="preserve"> drugs</w:t>
      </w:r>
      <w:r w:rsidRPr="00FE7622">
        <w:rPr>
          <w:color w:val="auto"/>
        </w:rPr>
        <w:t xml:space="preserve"> and </w:t>
      </w:r>
      <w:r w:rsidR="008A0848" w:rsidRPr="00FE7622">
        <w:rPr>
          <w:color w:val="auto"/>
        </w:rPr>
        <w:t>did not have</w:t>
      </w:r>
      <w:r w:rsidRPr="00FE7622">
        <w:rPr>
          <w:color w:val="auto"/>
        </w:rPr>
        <w:t xml:space="preserve"> heart failure, </w:t>
      </w:r>
      <w:r w:rsidRPr="00842651">
        <w:rPr>
          <w:color w:val="auto"/>
        </w:rPr>
        <w:t>COPD</w:t>
      </w:r>
      <w:r w:rsidRPr="00FE7622">
        <w:rPr>
          <w:color w:val="auto"/>
        </w:rPr>
        <w:t xml:space="preserve">, aortic stenosis, chronic kidney disease </w:t>
      </w:r>
      <w:r w:rsidR="00883B18" w:rsidRPr="00FE7622">
        <w:rPr>
          <w:color w:val="auto"/>
        </w:rPr>
        <w:t xml:space="preserve">of </w:t>
      </w:r>
      <w:r w:rsidRPr="00FE7622">
        <w:rPr>
          <w:color w:val="auto"/>
        </w:rPr>
        <w:t>stage 4 or 5, or thyrotoxicosis. Potentially eligible participants were sent a brief (two</w:t>
      </w:r>
      <w:r w:rsidR="008A0848" w:rsidRPr="00FE7622">
        <w:rPr>
          <w:color w:val="auto"/>
        </w:rPr>
        <w:t>-</w:t>
      </w:r>
      <w:r w:rsidRPr="00FE7622">
        <w:rPr>
          <w:color w:val="auto"/>
        </w:rPr>
        <w:t xml:space="preserve">page) information sheet with </w:t>
      </w:r>
      <w:r w:rsidR="00CD2BFE" w:rsidRPr="00FE7622">
        <w:rPr>
          <w:color w:val="auto"/>
        </w:rPr>
        <w:t xml:space="preserve">a </w:t>
      </w:r>
      <w:r w:rsidRPr="00FE7622">
        <w:rPr>
          <w:color w:val="auto"/>
        </w:rPr>
        <w:t>reply slip and</w:t>
      </w:r>
      <w:r w:rsidR="00CD2BFE" w:rsidRPr="00FE7622">
        <w:rPr>
          <w:color w:val="auto"/>
        </w:rPr>
        <w:t xml:space="preserve"> a</w:t>
      </w:r>
      <w:r w:rsidRPr="00FE7622">
        <w:rPr>
          <w:color w:val="auto"/>
        </w:rPr>
        <w:t xml:space="preserve"> paid-for return envelope. Participants who returned the reply slip indicating </w:t>
      </w:r>
      <w:r w:rsidR="00E83E46" w:rsidRPr="00FE7622">
        <w:rPr>
          <w:color w:val="auto"/>
        </w:rPr>
        <w:t xml:space="preserve">their </w:t>
      </w:r>
      <w:r w:rsidRPr="00FE7622">
        <w:rPr>
          <w:color w:val="auto"/>
        </w:rPr>
        <w:t xml:space="preserve">interest in the trial were contacted by the local study team by telephone </w:t>
      </w:r>
      <w:r w:rsidR="00E83E46" w:rsidRPr="00FE7622">
        <w:rPr>
          <w:color w:val="auto"/>
        </w:rPr>
        <w:t>to undergo</w:t>
      </w:r>
      <w:r w:rsidRPr="00FE7622">
        <w:rPr>
          <w:color w:val="auto"/>
        </w:rPr>
        <w:t xml:space="preserve"> pre-screening.</w:t>
      </w:r>
    </w:p>
    <w:p w14:paraId="2DF2230D" w14:textId="2EC425B2" w:rsidR="00E038BF" w:rsidRPr="00FE7622" w:rsidRDefault="00E038BF" w:rsidP="00C7684D">
      <w:pPr>
        <w:pStyle w:val="53BheadHeadingsHeadingstyles"/>
      </w:pPr>
      <w:bookmarkStart w:id="47" w:name="_Toc79684497"/>
      <w:r w:rsidRPr="00FE7622">
        <w:t>Recruitment and screening processes</w:t>
      </w:r>
      <w:bookmarkEnd w:id="47"/>
    </w:p>
    <w:p w14:paraId="3D376AB0" w14:textId="3011E890" w:rsidR="00E038BF" w:rsidRPr="00FE7622" w:rsidRDefault="00E038BF" w:rsidP="00C7684D">
      <w:pPr>
        <w:pStyle w:val="54CheadHeadingsHeadingstyles"/>
        <w:rPr>
          <w:color w:val="auto"/>
        </w:rPr>
      </w:pPr>
      <w:r w:rsidRPr="00FE7622">
        <w:rPr>
          <w:color w:val="auto"/>
        </w:rPr>
        <w:t>Pre-screening</w:t>
      </w:r>
    </w:p>
    <w:p w14:paraId="378F7FB4" w14:textId="7FA54869" w:rsidR="00F026E8" w:rsidRPr="00FE7622" w:rsidRDefault="00F026E8" w:rsidP="00C7684D">
      <w:pPr>
        <w:pStyle w:val="602TextfoTextstylesTextstyles"/>
        <w:rPr>
          <w:color w:val="auto"/>
        </w:rPr>
      </w:pPr>
      <w:r w:rsidRPr="00FE7622">
        <w:rPr>
          <w:color w:val="auto"/>
        </w:rPr>
        <w:t xml:space="preserve">Pre-screening telephone calls were conducted with all potential participants who returned expressions of interest. </w:t>
      </w:r>
      <w:r w:rsidR="00AA68BC" w:rsidRPr="00FE7622">
        <w:rPr>
          <w:color w:val="auto"/>
        </w:rPr>
        <w:t>Telephone p</w:t>
      </w:r>
      <w:r w:rsidRPr="00FE7622">
        <w:rPr>
          <w:color w:val="auto"/>
        </w:rPr>
        <w:t>re-screening was performed by local research nurses for some centres</w:t>
      </w:r>
      <w:r w:rsidR="00156F53" w:rsidRPr="00FE7622">
        <w:rPr>
          <w:color w:val="auto"/>
        </w:rPr>
        <w:t>;</w:t>
      </w:r>
      <w:r w:rsidRPr="00FE7622">
        <w:rPr>
          <w:color w:val="auto"/>
        </w:rPr>
        <w:t xml:space="preserve"> for centres lacking the staff capacity to do this, </w:t>
      </w:r>
      <w:r w:rsidR="00AA68BC" w:rsidRPr="00FE7622">
        <w:rPr>
          <w:color w:val="auto"/>
        </w:rPr>
        <w:t>it</w:t>
      </w:r>
      <w:r w:rsidRPr="00FE7622">
        <w:rPr>
          <w:color w:val="auto"/>
        </w:rPr>
        <w:t xml:space="preserve"> was conducted centrally by non-clinical staff in Tayside Clinical Trials Unit. </w:t>
      </w:r>
      <w:r w:rsidR="00467698" w:rsidRPr="00FE7622">
        <w:rPr>
          <w:color w:val="auto"/>
        </w:rPr>
        <w:t>P</w:t>
      </w:r>
      <w:r w:rsidRPr="00FE7622">
        <w:rPr>
          <w:color w:val="auto"/>
        </w:rPr>
        <w:t xml:space="preserve">atients in secondary care </w:t>
      </w:r>
      <w:r w:rsidR="00467698" w:rsidRPr="00FE7622">
        <w:rPr>
          <w:color w:val="auto"/>
        </w:rPr>
        <w:t xml:space="preserve">who were </w:t>
      </w:r>
      <w:r w:rsidRPr="00FE7622">
        <w:rPr>
          <w:color w:val="auto"/>
        </w:rPr>
        <w:t>approached face</w:t>
      </w:r>
      <w:r w:rsidR="008A0848" w:rsidRPr="00FE7622">
        <w:rPr>
          <w:color w:val="auto"/>
        </w:rPr>
        <w:t xml:space="preserve"> </w:t>
      </w:r>
      <w:r w:rsidRPr="00FE7622">
        <w:rPr>
          <w:color w:val="auto"/>
        </w:rPr>
        <w:t>to</w:t>
      </w:r>
      <w:r w:rsidR="008A0848" w:rsidRPr="00FE7622">
        <w:rPr>
          <w:color w:val="auto"/>
        </w:rPr>
        <w:t xml:space="preserve"> </w:t>
      </w:r>
      <w:r w:rsidRPr="00FE7622">
        <w:rPr>
          <w:color w:val="auto"/>
        </w:rPr>
        <w:t>face</w:t>
      </w:r>
      <w:r w:rsidR="00467698" w:rsidRPr="00FE7622">
        <w:rPr>
          <w:color w:val="auto"/>
        </w:rPr>
        <w:t xml:space="preserve"> underwent</w:t>
      </w:r>
      <w:r w:rsidRPr="00FE7622">
        <w:rPr>
          <w:color w:val="auto"/>
        </w:rPr>
        <w:t xml:space="preserve"> pre-</w:t>
      </w:r>
      <w:r w:rsidR="00467698" w:rsidRPr="00FE7622">
        <w:rPr>
          <w:color w:val="auto"/>
        </w:rPr>
        <w:t>screening</w:t>
      </w:r>
      <w:r w:rsidRPr="00FE7622">
        <w:rPr>
          <w:color w:val="auto"/>
        </w:rPr>
        <w:t xml:space="preserve"> as part of th</w:t>
      </w:r>
      <w:r w:rsidR="005E08B3" w:rsidRPr="00FE7622">
        <w:rPr>
          <w:color w:val="auto"/>
        </w:rPr>
        <w:t>at</w:t>
      </w:r>
      <w:r w:rsidRPr="00FE7622">
        <w:rPr>
          <w:color w:val="auto"/>
        </w:rPr>
        <w:t xml:space="preserve"> approach. Questions regarding potential exclusion criteria were asked, </w:t>
      </w:r>
      <w:r w:rsidR="00287BA1" w:rsidRPr="00FE7622">
        <w:rPr>
          <w:color w:val="auto"/>
        </w:rPr>
        <w:t>and</w:t>
      </w:r>
      <w:r w:rsidRPr="00FE7622">
        <w:rPr>
          <w:color w:val="auto"/>
        </w:rPr>
        <w:t xml:space="preserve"> the 10-point </w:t>
      </w:r>
      <w:r w:rsidR="00CB0916" w:rsidRPr="00FE7622">
        <w:rPr>
          <w:color w:val="auto"/>
        </w:rPr>
        <w:t>Strength Assistance Rise Climb – Falls (</w:t>
      </w:r>
      <w:r w:rsidRPr="00842651">
        <w:rPr>
          <w:color w:val="auto"/>
        </w:rPr>
        <w:t>SARC-F</w:t>
      </w:r>
      <w:r w:rsidR="00CB0916" w:rsidRPr="00FE7622">
        <w:rPr>
          <w:color w:val="auto"/>
        </w:rPr>
        <w:t>)</w:t>
      </w:r>
      <w:r w:rsidRPr="00FE7622">
        <w:rPr>
          <w:color w:val="auto"/>
        </w:rPr>
        <w:t xml:space="preserve"> questionnaire</w:t>
      </w:r>
      <w:r w:rsidR="00287BA1" w:rsidRPr="00FE7622">
        <w:rPr>
          <w:color w:val="auto"/>
        </w:rPr>
        <w:t xml:space="preserve"> was administered</w:t>
      </w:r>
      <w:r w:rsidR="008A0848" w:rsidRPr="00FE7622">
        <w:rPr>
          <w:color w:val="auto"/>
        </w:rPr>
        <w:t>,</w:t>
      </w:r>
      <w:r w:rsidR="00E038BF" w:rsidRPr="00FE7622">
        <w:rPr>
          <w:color w:val="auto"/>
          <w:vertAlign w:val="superscript"/>
        </w:rPr>
        <w:t>71</w:t>
      </w:r>
      <w:r w:rsidRPr="00FE7622">
        <w:rPr>
          <w:color w:val="auto"/>
        </w:rPr>
        <w:t xml:space="preserve"> which sums </w:t>
      </w:r>
      <w:r w:rsidR="00FF2648" w:rsidRPr="00FE7622">
        <w:rPr>
          <w:color w:val="auto"/>
        </w:rPr>
        <w:t xml:space="preserve">the </w:t>
      </w:r>
      <w:r w:rsidRPr="00FE7622">
        <w:rPr>
          <w:color w:val="auto"/>
        </w:rPr>
        <w:t>results from five simple questions about everyday function and has been proposed as a screening score to identify patients with sarcopenia. The optimal cut-off</w:t>
      </w:r>
      <w:r w:rsidR="008A0848" w:rsidRPr="00FE7622">
        <w:rPr>
          <w:color w:val="auto"/>
        </w:rPr>
        <w:t xml:space="preserve"> value</w:t>
      </w:r>
      <w:r w:rsidRPr="00FE7622">
        <w:rPr>
          <w:color w:val="auto"/>
        </w:rPr>
        <w:t xml:space="preserve"> for identifying patients with sarcopenia in a UK population was not known at the time of </w:t>
      </w:r>
      <w:r w:rsidR="00811B1A" w:rsidRPr="00FE7622">
        <w:rPr>
          <w:color w:val="auto"/>
        </w:rPr>
        <w:t xml:space="preserve">the trial was </w:t>
      </w:r>
      <w:r w:rsidRPr="00FE7622">
        <w:rPr>
          <w:color w:val="auto"/>
        </w:rPr>
        <w:t>design</w:t>
      </w:r>
      <w:r w:rsidR="00811B1A" w:rsidRPr="00FE7622">
        <w:rPr>
          <w:color w:val="auto"/>
        </w:rPr>
        <w:t>ed</w:t>
      </w:r>
      <w:r w:rsidRPr="00FE7622">
        <w:rPr>
          <w:color w:val="auto"/>
        </w:rPr>
        <w:t xml:space="preserve">. The protocol therefore allowed the threshold score for the </w:t>
      </w:r>
      <w:r w:rsidRPr="00842651">
        <w:rPr>
          <w:color w:val="auto"/>
        </w:rPr>
        <w:t>SARC-F</w:t>
      </w:r>
      <w:r w:rsidRPr="00FE7622">
        <w:rPr>
          <w:color w:val="auto"/>
        </w:rPr>
        <w:t xml:space="preserve"> to be changed during the trial. At the start of the trial, </w:t>
      </w:r>
      <w:r w:rsidR="00BF731E" w:rsidRPr="00FE7622">
        <w:rPr>
          <w:color w:val="auto"/>
        </w:rPr>
        <w:t xml:space="preserve">patients required </w:t>
      </w:r>
      <w:r w:rsidRPr="00FE7622">
        <w:rPr>
          <w:color w:val="auto"/>
        </w:rPr>
        <w:t xml:space="preserve">a </w:t>
      </w:r>
      <w:r w:rsidRPr="00842651">
        <w:rPr>
          <w:color w:val="auto"/>
        </w:rPr>
        <w:t>SARC-F</w:t>
      </w:r>
      <w:r w:rsidRPr="00FE7622">
        <w:rPr>
          <w:color w:val="auto"/>
        </w:rPr>
        <w:t xml:space="preserve"> score of </w:t>
      </w:r>
      <w:r w:rsidR="008A0848" w:rsidRPr="00FE7622">
        <w:rPr>
          <w:color w:val="auto"/>
        </w:rPr>
        <w:t>≥ </w:t>
      </w:r>
      <w:r w:rsidRPr="00FE7622">
        <w:rPr>
          <w:color w:val="auto"/>
        </w:rPr>
        <w:t xml:space="preserve">4 to proceed from prescreening to a screening visit. This was adjusted after </w:t>
      </w:r>
      <w:r w:rsidR="008A0848" w:rsidRPr="00FE7622">
        <w:rPr>
          <w:color w:val="auto"/>
        </w:rPr>
        <w:t>6</w:t>
      </w:r>
      <w:r w:rsidRPr="00FE7622">
        <w:rPr>
          <w:color w:val="auto"/>
        </w:rPr>
        <w:t xml:space="preserve"> months of recruitment to a threshold of 3 points to increase the number of participants proceeding to a screening visit. Participants who were eligible at pre</w:t>
      </w:r>
      <w:r w:rsidR="009A6450" w:rsidRPr="00FE7622">
        <w:rPr>
          <w:color w:val="auto"/>
        </w:rPr>
        <w:t>-</w:t>
      </w:r>
      <w:r w:rsidRPr="00FE7622">
        <w:rPr>
          <w:color w:val="auto"/>
        </w:rPr>
        <w:t>screening were sent the full information sheet and then invited to attend a face-to-face screening visit.</w:t>
      </w:r>
    </w:p>
    <w:p w14:paraId="11FE58C2" w14:textId="4F16C411" w:rsidR="00E038BF" w:rsidRPr="00FE7622" w:rsidRDefault="00E038BF" w:rsidP="00C7684D">
      <w:pPr>
        <w:pStyle w:val="54CheadHeadingsHeadingstyles"/>
        <w:rPr>
          <w:color w:val="auto"/>
        </w:rPr>
      </w:pPr>
      <w:r w:rsidRPr="00FE7622">
        <w:rPr>
          <w:color w:val="auto"/>
        </w:rPr>
        <w:t>Screening visit</w:t>
      </w:r>
    </w:p>
    <w:p w14:paraId="30E5E2C8" w14:textId="42EDB301" w:rsidR="00F026E8" w:rsidRPr="00FE7622" w:rsidRDefault="00F026E8" w:rsidP="00C7684D">
      <w:pPr>
        <w:pStyle w:val="602TextfoTextstylesTextstyles"/>
        <w:rPr>
          <w:color w:val="auto"/>
        </w:rPr>
      </w:pPr>
      <w:r w:rsidRPr="00FE7622">
        <w:rPr>
          <w:color w:val="auto"/>
        </w:rPr>
        <w:t xml:space="preserve">At the screening visit, muscle mass was measured using the Akern </w:t>
      </w:r>
      <w:r w:rsidR="00C2438C" w:rsidRPr="00FE7622">
        <w:rPr>
          <w:color w:val="auto"/>
        </w:rPr>
        <w:t xml:space="preserve">BIA </w:t>
      </w:r>
      <w:r w:rsidRPr="00FE7622">
        <w:rPr>
          <w:color w:val="auto"/>
        </w:rPr>
        <w:t>101. Muscle strength was measured using handgrip dynamometry (the maximum value of three attempts using the dominant hand was taken). Gait speed was measured over a 4-metre course. To be eligible for entry to the trial, participants had to have muscle mass below the sex</w:t>
      </w:r>
      <w:r w:rsidR="00673986" w:rsidRPr="00FE7622">
        <w:rPr>
          <w:color w:val="auto"/>
        </w:rPr>
        <w:t>-</w:t>
      </w:r>
      <w:r w:rsidRPr="00FE7622">
        <w:rPr>
          <w:color w:val="auto"/>
        </w:rPr>
        <w:t xml:space="preserve"> and </w:t>
      </w:r>
      <w:r w:rsidRPr="00842651">
        <w:rPr>
          <w:color w:val="auto"/>
        </w:rPr>
        <w:t>BMI</w:t>
      </w:r>
      <w:r w:rsidRPr="00FE7622">
        <w:rPr>
          <w:color w:val="auto"/>
        </w:rPr>
        <w:t xml:space="preserve">-specific threshold (see </w:t>
      </w:r>
      <w:r w:rsidR="00E038BF" w:rsidRPr="00FE7622">
        <w:rPr>
          <w:i/>
          <w:color w:val="auto"/>
        </w:rPr>
        <w:t>Table 1</w:t>
      </w:r>
      <w:r w:rsidRPr="00FE7622">
        <w:rPr>
          <w:color w:val="auto"/>
        </w:rPr>
        <w:t>), and either a gait speed of &lt; 0.8 m/s</w:t>
      </w:r>
      <w:r w:rsidR="00673986" w:rsidRPr="00FE7622">
        <w:rPr>
          <w:color w:val="auto"/>
        </w:rPr>
        <w:t>econd</w:t>
      </w:r>
      <w:r w:rsidRPr="00FE7622">
        <w:rPr>
          <w:color w:val="auto"/>
        </w:rPr>
        <w:t xml:space="preserve"> or a maximum handgrip strength </w:t>
      </w:r>
      <w:r w:rsidR="00D044FF" w:rsidRPr="00FE7622">
        <w:rPr>
          <w:color w:val="auto"/>
        </w:rPr>
        <w:t>of &lt; </w:t>
      </w:r>
      <w:r w:rsidRPr="00FE7622">
        <w:rPr>
          <w:color w:val="auto"/>
        </w:rPr>
        <w:t>20 kg (</w:t>
      </w:r>
      <w:r w:rsidR="00D044FF" w:rsidRPr="00FE7622">
        <w:rPr>
          <w:color w:val="auto"/>
        </w:rPr>
        <w:t xml:space="preserve">for </w:t>
      </w:r>
      <w:r w:rsidRPr="00FE7622">
        <w:rPr>
          <w:color w:val="auto"/>
        </w:rPr>
        <w:t xml:space="preserve">women) or </w:t>
      </w:r>
      <w:r w:rsidR="00D044FF" w:rsidRPr="00FE7622">
        <w:rPr>
          <w:color w:val="auto"/>
        </w:rPr>
        <w:t>&lt; </w:t>
      </w:r>
      <w:r w:rsidRPr="00FE7622">
        <w:rPr>
          <w:color w:val="auto"/>
        </w:rPr>
        <w:t>30 kg (</w:t>
      </w:r>
      <w:r w:rsidR="00D044FF" w:rsidRPr="00FE7622">
        <w:rPr>
          <w:color w:val="auto"/>
        </w:rPr>
        <w:t xml:space="preserve">for </w:t>
      </w:r>
      <w:r w:rsidRPr="00FE7622">
        <w:rPr>
          <w:color w:val="auto"/>
        </w:rPr>
        <w:t>men). Screening blood tests for sodium, potassium and creatinine were obtained along with lying and standing blood pressure. Participants eligible after the screening visit were invited to attend the baseline visit.</w:t>
      </w:r>
    </w:p>
    <w:p w14:paraId="598BFD1B" w14:textId="376C9DFD" w:rsidR="00E038BF" w:rsidRPr="00FE7622" w:rsidRDefault="00E038BF" w:rsidP="00C7684D">
      <w:pPr>
        <w:pStyle w:val="52AheadHeadingsHeadingstyles"/>
      </w:pPr>
      <w:bookmarkStart w:id="48" w:name="_Toc79684498"/>
      <w:r w:rsidRPr="00FE7622">
        <w:t>Randomisation and treatment allocation</w:t>
      </w:r>
      <w:bookmarkEnd w:id="48"/>
    </w:p>
    <w:p w14:paraId="0F10175D" w14:textId="33F9106B" w:rsidR="00F026E8" w:rsidRPr="00FE7622" w:rsidRDefault="00F026E8" w:rsidP="00C7684D">
      <w:pPr>
        <w:pStyle w:val="602TextfoTextstylesTextstyles"/>
        <w:rPr>
          <w:color w:val="auto"/>
        </w:rPr>
      </w:pPr>
      <w:r w:rsidRPr="00FE7622">
        <w:rPr>
          <w:color w:val="auto"/>
        </w:rPr>
        <w:t xml:space="preserve">Randomisation was performed at the end of the baseline visit. Randomisation and treatment allocation were performed using an interactive web-based randomisation, drug assignment and inventory management system (TRuST) run by the Health Informatics Centre, University of Dundee. The system was run independently </w:t>
      </w:r>
      <w:r w:rsidR="00673986" w:rsidRPr="00FE7622">
        <w:rPr>
          <w:color w:val="auto"/>
        </w:rPr>
        <w:t>of</w:t>
      </w:r>
      <w:r w:rsidRPr="00FE7622">
        <w:rPr>
          <w:color w:val="auto"/>
        </w:rPr>
        <w:t xml:space="preserve"> the research team to preserve allocation concealment. Randomisation was performed in a one</w:t>
      </w:r>
      <w:r w:rsidR="00BF13CC" w:rsidRPr="00FE7622">
        <w:rPr>
          <w:color w:val="auto"/>
        </w:rPr>
        <w:t>-</w:t>
      </w:r>
      <w:r w:rsidRPr="00FE7622">
        <w:rPr>
          <w:color w:val="auto"/>
        </w:rPr>
        <w:t>to-one ratio for both perindopril/placebo and leucine/placebo, stratified by site, and employed a minimisation algorithm with a small random element using the following minimisation factors: age (</w:t>
      </w:r>
      <w:r w:rsidR="00852E08" w:rsidRPr="00FE7622">
        <w:rPr>
          <w:color w:val="auto"/>
        </w:rPr>
        <w:t>≤ </w:t>
      </w:r>
      <w:r w:rsidRPr="00FE7622">
        <w:rPr>
          <w:color w:val="auto"/>
        </w:rPr>
        <w:t>80 or &gt; 80</w:t>
      </w:r>
      <w:r w:rsidR="00852E08" w:rsidRPr="00FE7622">
        <w:rPr>
          <w:color w:val="auto"/>
        </w:rPr>
        <w:t xml:space="preserve"> years</w:t>
      </w:r>
      <w:r w:rsidRPr="00FE7622">
        <w:rPr>
          <w:color w:val="auto"/>
        </w:rPr>
        <w:t xml:space="preserve">), sex, </w:t>
      </w:r>
      <w:r w:rsidRPr="00842651">
        <w:rPr>
          <w:color w:val="auto"/>
        </w:rPr>
        <w:t>SPPB</w:t>
      </w:r>
      <w:r w:rsidRPr="00FE7622">
        <w:rPr>
          <w:color w:val="auto"/>
        </w:rPr>
        <w:t xml:space="preserve"> (</w:t>
      </w:r>
      <w:r w:rsidR="00852E08" w:rsidRPr="00FE7622">
        <w:rPr>
          <w:color w:val="auto"/>
        </w:rPr>
        <w:t>≤ </w:t>
      </w:r>
      <w:r w:rsidRPr="00FE7622">
        <w:rPr>
          <w:color w:val="auto"/>
        </w:rPr>
        <w:t>8 or &gt; 8 points</w:t>
      </w:r>
      <w:r w:rsidR="00852E08" w:rsidRPr="00FE7622">
        <w:rPr>
          <w:color w:val="auto"/>
        </w:rPr>
        <w:t>)</w:t>
      </w:r>
      <w:r w:rsidRPr="00FE7622">
        <w:rPr>
          <w:color w:val="auto"/>
        </w:rPr>
        <w:t>, Charlson</w:t>
      </w:r>
      <w:r w:rsidR="00852E08" w:rsidRPr="00FE7622">
        <w:rPr>
          <w:color w:val="auto"/>
        </w:rPr>
        <w:t xml:space="preserve"> Comorbidity</w:t>
      </w:r>
      <w:r w:rsidR="00E516C6" w:rsidRPr="00FE7622">
        <w:rPr>
          <w:color w:val="auto"/>
        </w:rPr>
        <w:t xml:space="preserve"> Index</w:t>
      </w:r>
      <w:r w:rsidRPr="00FE7622">
        <w:rPr>
          <w:color w:val="auto"/>
        </w:rPr>
        <w:t xml:space="preserve"> score (</w:t>
      </w:r>
      <w:r w:rsidR="00852E08" w:rsidRPr="00FE7622">
        <w:rPr>
          <w:color w:val="auto"/>
        </w:rPr>
        <w:t>≤ </w:t>
      </w:r>
      <w:r w:rsidRPr="00FE7622">
        <w:rPr>
          <w:color w:val="auto"/>
        </w:rPr>
        <w:t>3 or &gt; 3 points), grip strength (</w:t>
      </w:r>
      <w:r w:rsidR="00852E08" w:rsidRPr="00FE7622">
        <w:rPr>
          <w:color w:val="auto"/>
        </w:rPr>
        <w:t>≤ </w:t>
      </w:r>
      <w:r w:rsidRPr="00FE7622">
        <w:rPr>
          <w:color w:val="auto"/>
        </w:rPr>
        <w:t>25 or &gt; 25 kg for men</w:t>
      </w:r>
      <w:r w:rsidR="00852E08" w:rsidRPr="00FE7622">
        <w:rPr>
          <w:color w:val="auto"/>
        </w:rPr>
        <w:t>, and</w:t>
      </w:r>
      <w:r w:rsidRPr="00FE7622">
        <w:rPr>
          <w:color w:val="auto"/>
        </w:rPr>
        <w:t xml:space="preserve"> </w:t>
      </w:r>
      <w:r w:rsidR="00852E08" w:rsidRPr="00FE7622">
        <w:rPr>
          <w:color w:val="auto"/>
        </w:rPr>
        <w:t>≤ </w:t>
      </w:r>
      <w:r w:rsidRPr="00FE7622">
        <w:rPr>
          <w:color w:val="auto"/>
        </w:rPr>
        <w:t>15 or &gt; 15 kg for women)</w:t>
      </w:r>
      <w:r w:rsidR="00852E08" w:rsidRPr="00FE7622">
        <w:rPr>
          <w:color w:val="auto"/>
        </w:rPr>
        <w:t>.</w:t>
      </w:r>
    </w:p>
    <w:p w14:paraId="775D090C" w14:textId="6024D4EC" w:rsidR="00F026E8" w:rsidRPr="00FE7622" w:rsidRDefault="00F026E8" w:rsidP="00C7684D">
      <w:pPr>
        <w:pStyle w:val="602TextfoTextstylesTextstyles"/>
        <w:rPr>
          <w:color w:val="auto"/>
        </w:rPr>
      </w:pPr>
      <w:r w:rsidRPr="00FE7622">
        <w:rPr>
          <w:color w:val="auto"/>
        </w:rPr>
        <w:t xml:space="preserve">Participants were allocated study medication bottles </w:t>
      </w:r>
      <w:r w:rsidR="00671194" w:rsidRPr="00FE7622">
        <w:rPr>
          <w:color w:val="auto"/>
        </w:rPr>
        <w:t>containing</w:t>
      </w:r>
      <w:r w:rsidRPr="00FE7622">
        <w:rPr>
          <w:color w:val="auto"/>
        </w:rPr>
        <w:t xml:space="preserve"> either perindopril capsules or matching placebo, and tubs </w:t>
      </w:r>
      <w:r w:rsidR="00671194" w:rsidRPr="00FE7622">
        <w:rPr>
          <w:color w:val="auto"/>
        </w:rPr>
        <w:t>containing either</w:t>
      </w:r>
      <w:r w:rsidRPr="00FE7622">
        <w:rPr>
          <w:color w:val="auto"/>
        </w:rPr>
        <w:t xml:space="preserve"> 400 g </w:t>
      </w:r>
      <w:r w:rsidR="00671194" w:rsidRPr="00FE7622">
        <w:rPr>
          <w:color w:val="auto"/>
        </w:rPr>
        <w:t xml:space="preserve">of </w:t>
      </w:r>
      <w:r w:rsidRPr="00FE7622">
        <w:rPr>
          <w:color w:val="auto"/>
        </w:rPr>
        <w:t xml:space="preserve">leucine or matching placebo. Bottles and tubs were allocated based on bottle </w:t>
      </w:r>
      <w:r w:rsidR="00370FA4" w:rsidRPr="00FE7622">
        <w:rPr>
          <w:color w:val="auto"/>
        </w:rPr>
        <w:t xml:space="preserve">and tub </w:t>
      </w:r>
      <w:r w:rsidRPr="00FE7622">
        <w:rPr>
          <w:color w:val="auto"/>
        </w:rPr>
        <w:t xml:space="preserve">ID numbers generated by the TRuST randomisation system and were not labelled with any indication of whether they contained the active or </w:t>
      </w:r>
      <w:r w:rsidR="00944F17" w:rsidRPr="00FE7622">
        <w:rPr>
          <w:color w:val="auto"/>
        </w:rPr>
        <w:t xml:space="preserve">the </w:t>
      </w:r>
      <w:r w:rsidRPr="00FE7622">
        <w:rPr>
          <w:color w:val="auto"/>
        </w:rPr>
        <w:t>placebo substance.</w:t>
      </w:r>
    </w:p>
    <w:p w14:paraId="4975284F" w14:textId="01F11AD4" w:rsidR="00E038BF" w:rsidRPr="00FE7622" w:rsidRDefault="00E038BF" w:rsidP="00C7684D">
      <w:pPr>
        <w:pStyle w:val="53BheadHeadingsHeadingstyles"/>
      </w:pPr>
      <w:r w:rsidRPr="00FE7622">
        <w:t>Unmasking</w:t>
      </w:r>
    </w:p>
    <w:p w14:paraId="402836E3" w14:textId="74F7B7A7" w:rsidR="00F026E8" w:rsidRPr="00FE7622" w:rsidRDefault="00F026E8" w:rsidP="00C7684D">
      <w:pPr>
        <w:pStyle w:val="602TextfoTextstylesTextstyles"/>
        <w:rPr>
          <w:color w:val="auto"/>
        </w:rPr>
      </w:pPr>
      <w:r w:rsidRPr="00FE7622">
        <w:rPr>
          <w:color w:val="auto"/>
        </w:rPr>
        <w:t>The treatment code was broken only when the clinical team treating the participant deemed knowledge of treatment allocation to be essential for manag</w:t>
      </w:r>
      <w:r w:rsidR="006512D3" w:rsidRPr="00FE7622">
        <w:rPr>
          <w:color w:val="auto"/>
        </w:rPr>
        <w:t>ing</w:t>
      </w:r>
      <w:r w:rsidRPr="00FE7622">
        <w:rPr>
          <w:color w:val="auto"/>
        </w:rPr>
        <w:t xml:space="preserve"> the participant. Unmasking was performed using the web-based randomisation and medication management system for the trial. After unmasking, the TRuST system automatically informed the trial team of the unmasking event without disclosing treatment allocation. Participants who were unmasked were not removed from the analysis. No tests </w:t>
      </w:r>
      <w:r w:rsidR="008566EE" w:rsidRPr="00FE7622">
        <w:rPr>
          <w:color w:val="auto"/>
        </w:rPr>
        <w:t>of</w:t>
      </w:r>
      <w:r w:rsidRPr="00FE7622">
        <w:rPr>
          <w:color w:val="auto"/>
        </w:rPr>
        <w:t xml:space="preserve"> the success of masking (</w:t>
      </w:r>
      <w:r w:rsidR="00EB46F5" w:rsidRPr="00FE7622">
        <w:rPr>
          <w:color w:val="auto"/>
        </w:rPr>
        <w:t>e.g.</w:t>
      </w:r>
      <w:r w:rsidRPr="00FE7622">
        <w:rPr>
          <w:color w:val="auto"/>
        </w:rPr>
        <w:t xml:space="preserve"> asking trial personnel to guess which group participants were allocated to) were performed.</w:t>
      </w:r>
    </w:p>
    <w:p w14:paraId="493BC409" w14:textId="199ED8A9" w:rsidR="00E038BF" w:rsidRPr="00FE7622" w:rsidRDefault="00E038BF" w:rsidP="00C7684D">
      <w:pPr>
        <w:pStyle w:val="52AheadHeadingsHeadingstyles"/>
      </w:pPr>
      <w:bookmarkStart w:id="49" w:name="_Toc79684499"/>
      <w:r w:rsidRPr="00FE7622">
        <w:t>Interventions and comparators</w:t>
      </w:r>
      <w:bookmarkEnd w:id="49"/>
    </w:p>
    <w:p w14:paraId="14DC5F3E" w14:textId="3FDD65AF" w:rsidR="00E038BF" w:rsidRPr="00FE7622" w:rsidRDefault="00E038BF" w:rsidP="00C7684D">
      <w:pPr>
        <w:pStyle w:val="53BheadHeadingsHeadingstyles"/>
      </w:pPr>
      <w:r w:rsidRPr="00FE7622">
        <w:t>Perindopril/placebo</w:t>
      </w:r>
    </w:p>
    <w:p w14:paraId="3DD4CFF7" w14:textId="5E4D7941" w:rsidR="00F026E8" w:rsidRPr="00FE7622" w:rsidRDefault="00F026E8" w:rsidP="00C7684D">
      <w:pPr>
        <w:pStyle w:val="602TextfoTextstylesTextstyles"/>
        <w:rPr>
          <w:color w:val="auto"/>
        </w:rPr>
      </w:pPr>
      <w:r w:rsidRPr="00FE7622">
        <w:rPr>
          <w:color w:val="auto"/>
        </w:rPr>
        <w:t>The trial intervention consisted of either perindopril erbumine (KRKA Polska, Warsaw, Poland</w:t>
      </w:r>
      <w:r w:rsidR="008552E9" w:rsidRPr="00FE7622">
        <w:rPr>
          <w:color w:val="auto"/>
        </w:rPr>
        <w:t>,</w:t>
      </w:r>
      <w:r w:rsidRPr="00FE7622">
        <w:rPr>
          <w:color w:val="auto"/>
        </w:rPr>
        <w:t xml:space="preserve"> and TEVA </w:t>
      </w:r>
      <w:r w:rsidR="008552E9" w:rsidRPr="00FE7622">
        <w:rPr>
          <w:color w:val="auto"/>
        </w:rPr>
        <w:t>P</w:t>
      </w:r>
      <w:r w:rsidRPr="00FE7622">
        <w:rPr>
          <w:color w:val="auto"/>
        </w:rPr>
        <w:t xml:space="preserve">harmaceuticals, Peta Tikva, Israel), overencapsulated with a gelatine capsule packed with microcrystalline cellulose, or matching placebo capsules packed only with microcrystalline cellulose. Active and placebo tablets were manufactured and bottled by Tayside Pharmaceuticals, Dundee, UK, </w:t>
      </w:r>
      <w:bookmarkStart w:id="50" w:name="_Hlk30928410"/>
      <w:r w:rsidR="00D20DD8" w:rsidRPr="00FE7622">
        <w:rPr>
          <w:color w:val="auto"/>
        </w:rPr>
        <w:t>which</w:t>
      </w:r>
      <w:r w:rsidRPr="00FE7622">
        <w:rPr>
          <w:color w:val="auto"/>
        </w:rPr>
        <w:t xml:space="preserve"> undertook quality testing</w:t>
      </w:r>
      <w:r w:rsidR="00D20DD8" w:rsidRPr="00FE7622">
        <w:rPr>
          <w:color w:val="auto"/>
        </w:rPr>
        <w:t xml:space="preserve"> and</w:t>
      </w:r>
      <w:r w:rsidRPr="00FE7622">
        <w:rPr>
          <w:color w:val="auto"/>
        </w:rPr>
        <w:t xml:space="preserve"> Qualified Person release and distributed bottles to participating sites. Study medications were held at site pharmacies under temperature-controlled conditions prior to</w:t>
      </w:r>
      <w:r w:rsidR="00D20DD8" w:rsidRPr="00FE7622">
        <w:rPr>
          <w:color w:val="auto"/>
        </w:rPr>
        <w:t xml:space="preserve"> being</w:t>
      </w:r>
      <w:r w:rsidRPr="00FE7622">
        <w:rPr>
          <w:color w:val="auto"/>
        </w:rPr>
        <w:t xml:space="preserve"> dispens</w:t>
      </w:r>
      <w:r w:rsidR="00D20DD8" w:rsidRPr="00FE7622">
        <w:rPr>
          <w:color w:val="auto"/>
        </w:rPr>
        <w:t>ed</w:t>
      </w:r>
      <w:r w:rsidRPr="00FE7622">
        <w:rPr>
          <w:color w:val="auto"/>
        </w:rPr>
        <w:t xml:space="preserve"> to participants</w:t>
      </w:r>
      <w:bookmarkEnd w:id="50"/>
      <w:r w:rsidRPr="00FE7622">
        <w:rPr>
          <w:color w:val="auto"/>
        </w:rPr>
        <w:t xml:space="preserve">. For the first </w:t>
      </w:r>
      <w:r w:rsidR="00B230D7" w:rsidRPr="00FE7622">
        <w:rPr>
          <w:color w:val="auto"/>
        </w:rPr>
        <w:t>2</w:t>
      </w:r>
      <w:r w:rsidRPr="00FE7622">
        <w:rPr>
          <w:color w:val="auto"/>
        </w:rPr>
        <w:t xml:space="preserve"> weeks of participation, participants were given capsules containing 2 mg </w:t>
      </w:r>
      <w:r w:rsidR="00B230D7" w:rsidRPr="00FE7622">
        <w:rPr>
          <w:color w:val="auto"/>
        </w:rPr>
        <w:t xml:space="preserve">of </w:t>
      </w:r>
      <w:r w:rsidRPr="00FE7622">
        <w:rPr>
          <w:color w:val="auto"/>
        </w:rPr>
        <w:t xml:space="preserve">perindopril or placebo and instructed to take one capsule per day. If uptitration occurred at 2 weeks, a fresh supply of capsules was dispensed, containing 4 mg </w:t>
      </w:r>
      <w:r w:rsidR="00B230D7" w:rsidRPr="00FE7622">
        <w:rPr>
          <w:color w:val="auto"/>
        </w:rPr>
        <w:t xml:space="preserve">of </w:t>
      </w:r>
      <w:r w:rsidRPr="00FE7622">
        <w:rPr>
          <w:color w:val="auto"/>
        </w:rPr>
        <w:t>perindopril or placebo; participants were again instructed to take one capsule per day.</w:t>
      </w:r>
    </w:p>
    <w:p w14:paraId="283B11C5" w14:textId="02D7D61D" w:rsidR="00F026E8" w:rsidRPr="00FE7622" w:rsidRDefault="00F026E8" w:rsidP="00C7684D">
      <w:pPr>
        <w:pStyle w:val="602TextfoTextstylesTextstyles"/>
        <w:rPr>
          <w:color w:val="auto"/>
        </w:rPr>
      </w:pPr>
      <w:r w:rsidRPr="00FE7622">
        <w:rPr>
          <w:color w:val="auto"/>
        </w:rPr>
        <w:t>Perindopril 2 mg or matching placebo was commenced immediately after randomisation. The titration and discontinuation criteria were based on current clinical practice among geriatricians and were similar to those used in previous trials of perindopril targeting similar populations.</w:t>
      </w:r>
      <w:r w:rsidR="00E038BF" w:rsidRPr="00FE7622">
        <w:rPr>
          <w:color w:val="auto"/>
          <w:vertAlign w:val="superscript"/>
        </w:rPr>
        <w:t>30,34</w:t>
      </w:r>
      <w:r w:rsidRPr="00FE7622">
        <w:rPr>
          <w:color w:val="auto"/>
        </w:rPr>
        <w:t xml:space="preserve"> At </w:t>
      </w:r>
      <w:r w:rsidR="008A321A" w:rsidRPr="00FE7622">
        <w:rPr>
          <w:color w:val="auto"/>
        </w:rPr>
        <w:t>2</w:t>
      </w:r>
      <w:r w:rsidRPr="00FE7622">
        <w:rPr>
          <w:color w:val="auto"/>
        </w:rPr>
        <w:t xml:space="preserve"> weeks, blood pressure, sodium, potassium and creatinine </w:t>
      </w:r>
      <w:r w:rsidR="008A321A" w:rsidRPr="00FE7622">
        <w:rPr>
          <w:color w:val="auto"/>
        </w:rPr>
        <w:t xml:space="preserve">levels </w:t>
      </w:r>
      <w:r w:rsidRPr="00FE7622">
        <w:rPr>
          <w:color w:val="auto"/>
        </w:rPr>
        <w:t xml:space="preserve">were checked. Uptitration to 4 mg or matching placebo was performed if all parameters </w:t>
      </w:r>
      <w:r w:rsidR="008A321A" w:rsidRPr="00FE7622">
        <w:rPr>
          <w:color w:val="auto"/>
        </w:rPr>
        <w:t>were</w:t>
      </w:r>
      <w:r w:rsidRPr="00FE7622">
        <w:rPr>
          <w:color w:val="auto"/>
        </w:rPr>
        <w:t xml:space="preserve"> within safety limits. Further safety checks were performed at 5 weeks</w:t>
      </w:r>
      <w:r w:rsidR="008A321A" w:rsidRPr="00FE7622">
        <w:rPr>
          <w:color w:val="auto"/>
        </w:rPr>
        <w:t xml:space="preserve"> and at</w:t>
      </w:r>
      <w:r w:rsidRPr="00FE7622">
        <w:rPr>
          <w:color w:val="auto"/>
        </w:rPr>
        <w:t xml:space="preserve"> 3, 6 and 9 months, with dose adjustment contingent on the results of </w:t>
      </w:r>
      <w:r w:rsidR="005F745A" w:rsidRPr="00FE7622">
        <w:rPr>
          <w:color w:val="auto"/>
        </w:rPr>
        <w:t>these</w:t>
      </w:r>
      <w:r w:rsidRPr="00FE7622">
        <w:rPr>
          <w:color w:val="auto"/>
        </w:rPr>
        <w:t xml:space="preserve">. The algorithm for dose titration is given in </w:t>
      </w:r>
      <w:r w:rsidR="00E038BF" w:rsidRPr="00FE7622">
        <w:rPr>
          <w:i/>
          <w:color w:val="FF0000"/>
        </w:rPr>
        <w:t>Figure 1</w:t>
      </w:r>
      <w:r w:rsidRPr="00FE7622">
        <w:rPr>
          <w:color w:val="auto"/>
        </w:rPr>
        <w:t>. Uptitration from 2 mg to 4 mg of perindopril was performed at 2 weeks</w:t>
      </w:r>
      <w:r w:rsidR="00B4067D" w:rsidRPr="00FE7622">
        <w:rPr>
          <w:color w:val="auto"/>
        </w:rPr>
        <w:t xml:space="preserve"> only</w:t>
      </w:r>
      <w:r w:rsidRPr="00FE7622">
        <w:rPr>
          <w:color w:val="auto"/>
        </w:rPr>
        <w:t>; if uptitration was not indicated at this point, participants stayed on 2 mg of perindopril or matching placebo for the rest of the trial.</w:t>
      </w:r>
    </w:p>
    <w:p w14:paraId="22B945F4" w14:textId="5D31888E" w:rsidR="0031492E" w:rsidRPr="00FE7622" w:rsidRDefault="00E038BF" w:rsidP="0031492E">
      <w:pPr>
        <w:pStyle w:val="81FigurelegendTableFigureBoxstyles"/>
        <w:rPr>
          <w:lang w:val="en-GB"/>
        </w:rPr>
      </w:pPr>
      <w:r w:rsidRPr="00FE7622">
        <w:rPr>
          <w:b/>
        </w:rPr>
        <w:t>FIGURE 1</w:t>
      </w:r>
      <w:r w:rsidRPr="00FE7622">
        <w:rPr>
          <w:b/>
        </w:rPr>
        <w:t> </w:t>
      </w:r>
      <w:r w:rsidR="0031492E" w:rsidRPr="00FE7622">
        <w:rPr>
          <w:lang w:val="en-GB"/>
        </w:rPr>
        <w:t>Perindopril/placebo titration decision tree</w:t>
      </w:r>
      <w:r w:rsidR="00556E96" w:rsidRPr="00FE7622">
        <w:rPr>
          <w:lang w:val="en-GB"/>
        </w:rPr>
        <w:t>.</w:t>
      </w:r>
    </w:p>
    <w:p w14:paraId="05026F6F" w14:textId="02AA52EF" w:rsidR="00E038BF" w:rsidRPr="00FE7622" w:rsidRDefault="00E038BF" w:rsidP="00C7684D">
      <w:pPr>
        <w:pStyle w:val="53BheadHeadingsHeadingstyles"/>
      </w:pPr>
      <w:r w:rsidRPr="00FE7622">
        <w:t>Leucine/placebo</w:t>
      </w:r>
    </w:p>
    <w:p w14:paraId="22C4F7C2" w14:textId="50509689" w:rsidR="00F026E8" w:rsidRPr="00FE7622" w:rsidRDefault="00F026E8" w:rsidP="00C7684D">
      <w:pPr>
        <w:pStyle w:val="602TextfoTextstylesTextstyles"/>
        <w:rPr>
          <w:color w:val="auto"/>
        </w:rPr>
      </w:pPr>
      <w:r w:rsidRPr="00FE7622">
        <w:rPr>
          <w:color w:val="auto"/>
        </w:rPr>
        <w:t>Bulk leucine powder was obtained from Amino GmbH (Freilstedt, Germany). Study pots (one pot per participant per month) were prepared by Tayside Pharmaceuticals, Dundee, UK</w:t>
      </w:r>
      <w:r w:rsidR="00E04EA0" w:rsidRPr="00FE7622">
        <w:rPr>
          <w:color w:val="auto"/>
        </w:rPr>
        <w:t>,</w:t>
      </w:r>
      <w:r w:rsidRPr="00FE7622">
        <w:rPr>
          <w:color w:val="auto"/>
        </w:rPr>
        <w:t xml:space="preserve"> </w:t>
      </w:r>
      <w:r w:rsidR="00E04EA0" w:rsidRPr="00FE7622">
        <w:rPr>
          <w:color w:val="auto"/>
        </w:rPr>
        <w:t>which</w:t>
      </w:r>
      <w:r w:rsidRPr="00FE7622">
        <w:rPr>
          <w:color w:val="auto"/>
        </w:rPr>
        <w:t xml:space="preserve"> undertook quality testing</w:t>
      </w:r>
      <w:r w:rsidR="00E04EA0" w:rsidRPr="00FE7622">
        <w:rPr>
          <w:color w:val="auto"/>
        </w:rPr>
        <w:t xml:space="preserve"> and</w:t>
      </w:r>
      <w:r w:rsidRPr="00FE7622">
        <w:rPr>
          <w:color w:val="auto"/>
        </w:rPr>
        <w:t xml:space="preserve"> </w:t>
      </w:r>
      <w:r w:rsidR="00A97023" w:rsidRPr="00FE7622">
        <w:rPr>
          <w:color w:val="auto"/>
        </w:rPr>
        <w:t xml:space="preserve">Qualified Person </w:t>
      </w:r>
      <w:r w:rsidRPr="00FE7622">
        <w:rPr>
          <w:color w:val="auto"/>
        </w:rPr>
        <w:t xml:space="preserve">release and distributed pots to participating sites. Leucine/placebo pots were held at site pharmacies under temperature-controlled conditions prior to </w:t>
      </w:r>
      <w:r w:rsidR="00E04EA0" w:rsidRPr="00FE7622">
        <w:rPr>
          <w:color w:val="auto"/>
        </w:rPr>
        <w:t xml:space="preserve">being </w:t>
      </w:r>
      <w:r w:rsidRPr="00FE7622">
        <w:rPr>
          <w:color w:val="auto"/>
        </w:rPr>
        <w:t>dispens</w:t>
      </w:r>
      <w:r w:rsidR="00E04EA0" w:rsidRPr="00FE7622">
        <w:rPr>
          <w:color w:val="auto"/>
        </w:rPr>
        <w:t>ed</w:t>
      </w:r>
      <w:r w:rsidRPr="00FE7622">
        <w:rPr>
          <w:color w:val="auto"/>
        </w:rPr>
        <w:t xml:space="preserve"> to participants. Pots contained either 400 g of leucine powder or 400 g of lactose powder, </w:t>
      </w:r>
      <w:r w:rsidR="005A2AF6" w:rsidRPr="00FE7622">
        <w:rPr>
          <w:color w:val="auto"/>
        </w:rPr>
        <w:t xml:space="preserve">the latter </w:t>
      </w:r>
      <w:r w:rsidRPr="00FE7622">
        <w:rPr>
          <w:color w:val="auto"/>
        </w:rPr>
        <w:t>selected for its similarity of appearance</w:t>
      </w:r>
      <w:r w:rsidR="00AE7D25" w:rsidRPr="00FE7622">
        <w:rPr>
          <w:color w:val="auto"/>
        </w:rPr>
        <w:t xml:space="preserve"> to the former</w:t>
      </w:r>
      <w:r w:rsidRPr="00FE7622">
        <w:rPr>
          <w:color w:val="auto"/>
        </w:rPr>
        <w:t>. Participants were supplied with 1.5</w:t>
      </w:r>
      <w:r w:rsidR="006E388D" w:rsidRPr="00FE7622">
        <w:rPr>
          <w:color w:val="auto"/>
        </w:rPr>
        <w:t>-</w:t>
      </w:r>
      <w:r w:rsidRPr="00FE7622">
        <w:rPr>
          <w:color w:val="auto"/>
        </w:rPr>
        <w:t>ml scoops and were asked to ingest three scoops of powder (2.5 g</w:t>
      </w:r>
      <w:r w:rsidR="006E388D" w:rsidRPr="00FE7622">
        <w:rPr>
          <w:color w:val="auto"/>
        </w:rPr>
        <w:t xml:space="preserve"> of</w:t>
      </w:r>
      <w:r w:rsidRPr="00FE7622">
        <w:rPr>
          <w:color w:val="auto"/>
        </w:rPr>
        <w:t xml:space="preserve"> leucine</w:t>
      </w:r>
      <w:r w:rsidR="006E388D" w:rsidRPr="00FE7622">
        <w:rPr>
          <w:color w:val="auto"/>
        </w:rPr>
        <w:t>,</w:t>
      </w:r>
      <w:r w:rsidRPr="00FE7622">
        <w:rPr>
          <w:color w:val="auto"/>
        </w:rPr>
        <w:t xml:space="preserve"> total </w:t>
      </w:r>
      <w:r w:rsidR="006E388D" w:rsidRPr="00FE7622">
        <w:rPr>
          <w:color w:val="auto"/>
        </w:rPr>
        <w:t xml:space="preserve">of </w:t>
      </w:r>
      <w:r w:rsidRPr="00FE7622">
        <w:rPr>
          <w:color w:val="auto"/>
        </w:rPr>
        <w:t>7.5</w:t>
      </w:r>
      <w:r w:rsidR="00AE52D6" w:rsidRPr="00FE7622">
        <w:rPr>
          <w:color w:val="auto"/>
        </w:rPr>
        <w:t> </w:t>
      </w:r>
      <w:r w:rsidRPr="00FE7622">
        <w:rPr>
          <w:color w:val="auto"/>
        </w:rPr>
        <w:t>g</w:t>
      </w:r>
      <w:r w:rsidR="006E388D" w:rsidRPr="00FE7622">
        <w:rPr>
          <w:color w:val="auto"/>
        </w:rPr>
        <w:t xml:space="preserve"> per </w:t>
      </w:r>
      <w:r w:rsidRPr="00FE7622">
        <w:rPr>
          <w:color w:val="auto"/>
        </w:rPr>
        <w:t xml:space="preserve">day, or </w:t>
      </w:r>
      <w:r w:rsidR="006E388D" w:rsidRPr="00FE7622">
        <w:rPr>
          <w:color w:val="auto"/>
        </w:rPr>
        <w:t xml:space="preserve">the </w:t>
      </w:r>
      <w:r w:rsidRPr="00FE7622">
        <w:rPr>
          <w:color w:val="auto"/>
        </w:rPr>
        <w:t xml:space="preserve">equivalent lactose volume), three times </w:t>
      </w:r>
      <w:r w:rsidR="006E388D" w:rsidRPr="00FE7622">
        <w:rPr>
          <w:color w:val="auto"/>
        </w:rPr>
        <w:t>per</w:t>
      </w:r>
      <w:r w:rsidRPr="00FE7622">
        <w:rPr>
          <w:color w:val="auto"/>
        </w:rPr>
        <w:t xml:space="preserve"> day, with meals. Participants were encouraged to mix the powder with drinks and yoghurts or spread the powder on food; serving suggestions were shared with participants at the start of their participation.</w:t>
      </w:r>
    </w:p>
    <w:p w14:paraId="5CEBFC90" w14:textId="5B3C48E7" w:rsidR="00E038BF" w:rsidRPr="00FE7622" w:rsidRDefault="00E038BF" w:rsidP="00C7684D">
      <w:pPr>
        <w:pStyle w:val="53BheadHeadingsHeadingstyles"/>
      </w:pPr>
      <w:bookmarkStart w:id="51" w:name="_Toc79684500"/>
      <w:r w:rsidRPr="00FE7622">
        <w:t>Returned medication and adherence measurement</w:t>
      </w:r>
      <w:bookmarkEnd w:id="51"/>
    </w:p>
    <w:p w14:paraId="461C1C90" w14:textId="3EABF5A3" w:rsidR="00F026E8" w:rsidRPr="00FE7622" w:rsidRDefault="00F026E8" w:rsidP="00C7684D">
      <w:pPr>
        <w:pStyle w:val="602TextfoTextstylesTextstyles"/>
        <w:rPr>
          <w:color w:val="auto"/>
        </w:rPr>
      </w:pPr>
      <w:r w:rsidRPr="00FE7622">
        <w:rPr>
          <w:color w:val="auto"/>
        </w:rPr>
        <w:t xml:space="preserve">Adherence to perindopril or placebo was ascertained by tablet counting, with adherence calculated as </w:t>
      </w:r>
      <w:r w:rsidR="00B930E1" w:rsidRPr="00FE7622">
        <w:rPr>
          <w:color w:val="auto"/>
        </w:rPr>
        <w:t xml:space="preserve">the </w:t>
      </w:r>
      <w:r w:rsidRPr="00FE7622">
        <w:rPr>
          <w:color w:val="auto"/>
        </w:rPr>
        <w:t>number of tablets taken</w:t>
      </w:r>
      <w:r w:rsidR="00B930E1" w:rsidRPr="00FE7622">
        <w:rPr>
          <w:color w:val="auto"/>
        </w:rPr>
        <w:t xml:space="preserve"> ÷ the </w:t>
      </w:r>
      <w:r w:rsidRPr="00FE7622">
        <w:rPr>
          <w:color w:val="auto"/>
        </w:rPr>
        <w:t xml:space="preserve">number of tablets scheduled to be taken between baseline and study completion or dropout. Leucine/placebo adherence was checked by weighing container tubs at each safety visit, with adherence calculated as </w:t>
      </w:r>
      <w:r w:rsidR="00B930E1" w:rsidRPr="00FE7622">
        <w:rPr>
          <w:color w:val="auto"/>
        </w:rPr>
        <w:t xml:space="preserve">the </w:t>
      </w:r>
      <w:r w:rsidRPr="00FE7622">
        <w:rPr>
          <w:color w:val="auto"/>
        </w:rPr>
        <w:t>weight of powder used</w:t>
      </w:r>
      <w:r w:rsidR="00B930E1" w:rsidRPr="00FE7622">
        <w:rPr>
          <w:color w:val="auto"/>
        </w:rPr>
        <w:t xml:space="preserve"> ÷ the </w:t>
      </w:r>
      <w:r w:rsidRPr="00FE7622">
        <w:rPr>
          <w:color w:val="auto"/>
        </w:rPr>
        <w:t>weight expected to be used between baseline and study completion or dropout.</w:t>
      </w:r>
    </w:p>
    <w:p w14:paraId="41972760" w14:textId="736838AA" w:rsidR="00E038BF" w:rsidRPr="00FE7622" w:rsidRDefault="00E038BF" w:rsidP="00C7684D">
      <w:pPr>
        <w:pStyle w:val="52AheadHeadingsHeadingstyles"/>
      </w:pPr>
      <w:bookmarkStart w:id="52" w:name="_Toc79684501"/>
      <w:r w:rsidRPr="00FE7622">
        <w:t>Outcomes measurement</w:t>
      </w:r>
      <w:bookmarkEnd w:id="52"/>
    </w:p>
    <w:p w14:paraId="43813D85" w14:textId="65FB4F52" w:rsidR="00F026E8" w:rsidRPr="00FE7622" w:rsidRDefault="00F026E8" w:rsidP="00C7684D">
      <w:pPr>
        <w:pStyle w:val="602TextfoTextstylesTextstyles"/>
        <w:rPr>
          <w:color w:val="auto"/>
        </w:rPr>
      </w:pPr>
      <w:r w:rsidRPr="00FE7622">
        <w:rPr>
          <w:color w:val="auto"/>
        </w:rPr>
        <w:t>Outcomes were measured at baseline</w:t>
      </w:r>
      <w:r w:rsidR="00472310" w:rsidRPr="00FE7622">
        <w:rPr>
          <w:color w:val="auto"/>
        </w:rPr>
        <w:t xml:space="preserve"> and at</w:t>
      </w:r>
      <w:r w:rsidRPr="00FE7622">
        <w:rPr>
          <w:color w:val="auto"/>
        </w:rPr>
        <w:t xml:space="preserve"> </w:t>
      </w:r>
      <w:r w:rsidR="00472310" w:rsidRPr="00FE7622">
        <w:rPr>
          <w:color w:val="auto"/>
        </w:rPr>
        <w:t>3</w:t>
      </w:r>
      <w:r w:rsidRPr="00FE7622">
        <w:rPr>
          <w:color w:val="auto"/>
        </w:rPr>
        <w:t xml:space="preserve">, </w:t>
      </w:r>
      <w:r w:rsidR="00472310" w:rsidRPr="00FE7622">
        <w:rPr>
          <w:color w:val="auto"/>
        </w:rPr>
        <w:t>6</w:t>
      </w:r>
      <w:r w:rsidRPr="00FE7622">
        <w:rPr>
          <w:color w:val="auto"/>
        </w:rPr>
        <w:t xml:space="preserve"> and 12 months. An additional visit for safety blood</w:t>
      </w:r>
      <w:r w:rsidR="00E67BF3" w:rsidRPr="00FE7622">
        <w:rPr>
          <w:color w:val="auto"/>
        </w:rPr>
        <w:t xml:space="preserve"> test</w:t>
      </w:r>
      <w:r w:rsidRPr="00FE7622">
        <w:rPr>
          <w:color w:val="auto"/>
        </w:rPr>
        <w:t>s and uptitration of perindopril/placebo took place at 2 weeks, with further safety blood</w:t>
      </w:r>
      <w:r w:rsidR="00E67BF3" w:rsidRPr="00FE7622">
        <w:rPr>
          <w:color w:val="auto"/>
        </w:rPr>
        <w:t xml:space="preserve"> test</w:t>
      </w:r>
      <w:r w:rsidRPr="00FE7622">
        <w:rPr>
          <w:color w:val="auto"/>
        </w:rPr>
        <w:t xml:space="preserve">s at 5 weeks. Outcomes were collected at each site </w:t>
      </w:r>
      <w:r w:rsidR="005209CF" w:rsidRPr="00FE7622">
        <w:rPr>
          <w:color w:val="auto"/>
        </w:rPr>
        <w:t xml:space="preserve">by research nurses </w:t>
      </w:r>
      <w:r w:rsidRPr="00FE7622">
        <w:rPr>
          <w:color w:val="auto"/>
        </w:rPr>
        <w:t>who were masked to treatment allocation. All research nurses were trained in measur</w:t>
      </w:r>
      <w:r w:rsidR="00404153" w:rsidRPr="00FE7622">
        <w:rPr>
          <w:color w:val="auto"/>
        </w:rPr>
        <w:t>ing</w:t>
      </w:r>
      <w:r w:rsidRPr="00FE7622">
        <w:rPr>
          <w:color w:val="auto"/>
        </w:rPr>
        <w:t xml:space="preserve"> the study outcomes at the </w:t>
      </w:r>
      <w:r w:rsidR="00472310" w:rsidRPr="00FE7622">
        <w:rPr>
          <w:color w:val="auto"/>
        </w:rPr>
        <w:t xml:space="preserve">site initiation visit </w:t>
      </w:r>
      <w:r w:rsidR="00993877" w:rsidRPr="00FE7622">
        <w:rPr>
          <w:color w:val="auto"/>
        </w:rPr>
        <w:t>and received</w:t>
      </w:r>
      <w:r w:rsidRPr="00FE7622">
        <w:rPr>
          <w:color w:val="auto"/>
        </w:rPr>
        <w:t xml:space="preserve"> regular refresher sessions throughout the trial; all study procedures were conducted </w:t>
      </w:r>
      <w:r w:rsidR="00950D63" w:rsidRPr="00FE7622">
        <w:rPr>
          <w:color w:val="auto"/>
        </w:rPr>
        <w:t>in accordance with</w:t>
      </w:r>
      <w:r w:rsidRPr="00FE7622">
        <w:rPr>
          <w:color w:val="auto"/>
        </w:rPr>
        <w:t xml:space="preserve"> trial-specific standard operating procedures. </w:t>
      </w:r>
      <w:r w:rsidR="00E038BF" w:rsidRPr="00FE7622">
        <w:rPr>
          <w:i/>
          <w:color w:val="FF0000"/>
        </w:rPr>
        <w:t>Figure 2</w:t>
      </w:r>
      <w:r w:rsidRPr="00FE7622">
        <w:rPr>
          <w:color w:val="auto"/>
        </w:rPr>
        <w:t xml:space="preserve"> shows the original planned study processes at each visit from screening to the end of trial participation, </w:t>
      </w:r>
      <w:r w:rsidR="00C92799" w:rsidRPr="00FE7622">
        <w:rPr>
          <w:color w:val="auto"/>
        </w:rPr>
        <w:t>and</w:t>
      </w:r>
      <w:r w:rsidRPr="00FE7622">
        <w:rPr>
          <w:color w:val="auto"/>
        </w:rPr>
        <w:t xml:space="preserve"> the numbers </w:t>
      </w:r>
      <w:r w:rsidR="00C92799" w:rsidRPr="00FE7622">
        <w:rPr>
          <w:color w:val="auto"/>
        </w:rPr>
        <w:t xml:space="preserve">of participants </w:t>
      </w:r>
      <w:r w:rsidR="00993877" w:rsidRPr="00FE7622">
        <w:rPr>
          <w:color w:val="auto"/>
        </w:rPr>
        <w:t xml:space="preserve">planned </w:t>
      </w:r>
      <w:r w:rsidRPr="00FE7622">
        <w:rPr>
          <w:color w:val="auto"/>
        </w:rPr>
        <w:t>to be randomised to each intervention.</w:t>
      </w:r>
    </w:p>
    <w:p w14:paraId="5021FFEA" w14:textId="751EE636" w:rsidR="00F026E8" w:rsidRPr="00FE7622" w:rsidRDefault="00E038BF" w:rsidP="00F026E8">
      <w:pPr>
        <w:pStyle w:val="81FigurelegendTableFigureBoxstyles"/>
        <w:rPr>
          <w:lang w:val="en-GB"/>
        </w:rPr>
      </w:pPr>
      <w:r w:rsidRPr="00FE7622">
        <w:rPr>
          <w:b/>
        </w:rPr>
        <w:t>FIGURE 2</w:t>
      </w:r>
      <w:r w:rsidRPr="00FE7622">
        <w:rPr>
          <w:b/>
        </w:rPr>
        <w:t> </w:t>
      </w:r>
      <w:r w:rsidR="00F026E8" w:rsidRPr="00FE7622">
        <w:t xml:space="preserve">Original planned design for participant flow through the trial. </w:t>
      </w:r>
      <w:r w:rsidR="00F026E8" w:rsidRPr="00842651">
        <w:rPr>
          <w:lang w:val="en-GB"/>
        </w:rPr>
        <w:t>EQ</w:t>
      </w:r>
      <w:r w:rsidR="00DA092C" w:rsidRPr="00842651">
        <w:rPr>
          <w:lang w:val="en-GB"/>
        </w:rPr>
        <w:t>-</w:t>
      </w:r>
      <w:r w:rsidR="00F026E8" w:rsidRPr="00842651">
        <w:rPr>
          <w:lang w:val="en-GB"/>
        </w:rPr>
        <w:t>5D</w:t>
      </w:r>
      <w:r w:rsidR="00A05AF1" w:rsidRPr="00FE7622">
        <w:rPr>
          <w:lang w:val="en-GB"/>
        </w:rPr>
        <w:t>,</w:t>
      </w:r>
      <w:r w:rsidR="00F026E8" w:rsidRPr="00FE7622">
        <w:rPr>
          <w:lang w:val="en-GB"/>
        </w:rPr>
        <w:t xml:space="preserve"> EuroQoL</w:t>
      </w:r>
      <w:r w:rsidR="00111D63" w:rsidRPr="00FE7622">
        <w:rPr>
          <w:lang w:val="en-GB"/>
        </w:rPr>
        <w:t>-</w:t>
      </w:r>
      <w:r w:rsidR="00F026E8" w:rsidRPr="00FE7622">
        <w:rPr>
          <w:lang w:val="en-GB"/>
        </w:rPr>
        <w:t>5</w:t>
      </w:r>
      <w:r w:rsidR="00111D63" w:rsidRPr="00FE7622">
        <w:rPr>
          <w:lang w:val="en-GB"/>
        </w:rPr>
        <w:t xml:space="preserve"> </w:t>
      </w:r>
      <w:r w:rsidR="00F026E8" w:rsidRPr="00FE7622">
        <w:rPr>
          <w:lang w:val="en-GB"/>
        </w:rPr>
        <w:t>D</w:t>
      </w:r>
      <w:r w:rsidR="00111D63" w:rsidRPr="00FE7622">
        <w:rPr>
          <w:lang w:val="en-GB"/>
        </w:rPr>
        <w:t>imensions</w:t>
      </w:r>
      <w:r w:rsidR="00A05AF1" w:rsidRPr="00FE7622">
        <w:rPr>
          <w:lang w:val="en-GB"/>
        </w:rPr>
        <w:t>;</w:t>
      </w:r>
      <w:r w:rsidR="00F026E8" w:rsidRPr="00FE7622">
        <w:rPr>
          <w:lang w:val="en-GB"/>
        </w:rPr>
        <w:t xml:space="preserve"> </w:t>
      </w:r>
      <w:r w:rsidR="00A05AF1" w:rsidRPr="00FE7622">
        <w:rPr>
          <w:lang w:val="en-GB"/>
        </w:rPr>
        <w:t xml:space="preserve">FFQ, Food Frequency Questionnaire; </w:t>
      </w:r>
      <w:r w:rsidR="00F026E8" w:rsidRPr="00FE7622">
        <w:rPr>
          <w:lang w:val="en-GB"/>
        </w:rPr>
        <w:t>NEADL</w:t>
      </w:r>
      <w:r w:rsidR="00A05AF1" w:rsidRPr="00FE7622">
        <w:rPr>
          <w:lang w:val="en-GB"/>
        </w:rPr>
        <w:t>,</w:t>
      </w:r>
      <w:r w:rsidR="00F026E8" w:rsidRPr="00FE7622">
        <w:rPr>
          <w:lang w:val="en-GB"/>
        </w:rPr>
        <w:t xml:space="preserve"> Nottingham Extended Activities of Daily Living.</w:t>
      </w:r>
    </w:p>
    <w:p w14:paraId="6BE821E3" w14:textId="47C39AA7" w:rsidR="00E038BF" w:rsidRPr="00FE7622" w:rsidRDefault="00E038BF" w:rsidP="00C7684D">
      <w:pPr>
        <w:pStyle w:val="52AheadHeadingsHeadingstyles"/>
      </w:pPr>
      <w:bookmarkStart w:id="53" w:name="_Toc79684502"/>
      <w:r w:rsidRPr="00FE7622">
        <w:t>Data management</w:t>
      </w:r>
      <w:bookmarkEnd w:id="53"/>
    </w:p>
    <w:p w14:paraId="608CE9BD" w14:textId="3D729543" w:rsidR="00F026E8" w:rsidRPr="00FE7622" w:rsidRDefault="00F026E8" w:rsidP="00C7684D">
      <w:pPr>
        <w:pStyle w:val="602TextfoTextstylesTextstyles"/>
        <w:rPr>
          <w:color w:val="auto"/>
        </w:rPr>
      </w:pPr>
      <w:r w:rsidRPr="00FE7622">
        <w:rPr>
          <w:color w:val="auto"/>
        </w:rPr>
        <w:t>Trial data were collected on paper case report forms</w:t>
      </w:r>
      <w:r w:rsidR="00DA092C" w:rsidRPr="00FE7622">
        <w:rPr>
          <w:color w:val="auto"/>
        </w:rPr>
        <w:t xml:space="preserve"> and</w:t>
      </w:r>
      <w:r w:rsidRPr="00FE7622">
        <w:rPr>
          <w:color w:val="auto"/>
        </w:rPr>
        <w:t xml:space="preserve"> then entered </w:t>
      </w:r>
      <w:r w:rsidR="00DA092C" w:rsidRPr="00FE7622">
        <w:rPr>
          <w:color w:val="auto"/>
        </w:rPr>
        <w:t>i</w:t>
      </w:r>
      <w:r w:rsidRPr="00FE7622">
        <w:rPr>
          <w:color w:val="auto"/>
        </w:rPr>
        <w:t xml:space="preserve">nto a trial-specific database built using OpenClinica software (OpenClinica LLC, Waltham, </w:t>
      </w:r>
      <w:r w:rsidR="00DA092C" w:rsidRPr="00FE7622">
        <w:rPr>
          <w:color w:val="auto"/>
        </w:rPr>
        <w:t>MA</w:t>
      </w:r>
      <w:r w:rsidRPr="00FE7622">
        <w:rPr>
          <w:color w:val="auto"/>
        </w:rPr>
        <w:t xml:space="preserve">, USA). Participants were identified using a unique study identifier, and data were stored on a secure, backed-up University of Dundee server system. Source data verification was conducted for all randomised participants for age, sex, inclusion and exclusion criteria, safety blood tests and adverse events. Batch validation and database audit procedures were run as outlined in the trial Data Management Plan. Target error rates </w:t>
      </w:r>
      <w:r w:rsidR="00D95608" w:rsidRPr="00FE7622">
        <w:rPr>
          <w:color w:val="auto"/>
        </w:rPr>
        <w:t xml:space="preserve">were set in the Data Management Plan at &lt; 0.5% </w:t>
      </w:r>
      <w:r w:rsidRPr="00FE7622">
        <w:rPr>
          <w:color w:val="auto"/>
        </w:rPr>
        <w:t xml:space="preserve">for the primary outcome and adverse events and </w:t>
      </w:r>
      <w:r w:rsidR="00D95608" w:rsidRPr="00FE7622">
        <w:rPr>
          <w:color w:val="auto"/>
        </w:rPr>
        <w:t xml:space="preserve">at &lt; 2% </w:t>
      </w:r>
      <w:r w:rsidRPr="00FE7622">
        <w:rPr>
          <w:color w:val="auto"/>
        </w:rPr>
        <w:t>for other audited fields</w:t>
      </w:r>
      <w:r w:rsidR="00D95608" w:rsidRPr="00FE7622">
        <w:rPr>
          <w:color w:val="auto"/>
        </w:rPr>
        <w:t>.</w:t>
      </w:r>
      <w:r w:rsidRPr="00FE7622">
        <w:rPr>
          <w:color w:val="auto"/>
        </w:rPr>
        <w:t xml:space="preserve"> The error rates from all audited fields fell within these limits.</w:t>
      </w:r>
    </w:p>
    <w:p w14:paraId="4DF5D7DE" w14:textId="0B73BAD7" w:rsidR="00E038BF" w:rsidRPr="00FE7622" w:rsidRDefault="00E038BF" w:rsidP="007574FC">
      <w:pPr>
        <w:pStyle w:val="52AheadHeadingsHeadingstyles"/>
      </w:pPr>
      <w:bookmarkStart w:id="54" w:name="_Toc79684503"/>
      <w:r w:rsidRPr="00FE7622">
        <w:t>Safety reporting</w:t>
      </w:r>
      <w:bookmarkEnd w:id="54"/>
    </w:p>
    <w:p w14:paraId="46D7040C" w14:textId="6FD4F7B0" w:rsidR="00F026E8" w:rsidRPr="00FE7622" w:rsidRDefault="00F026E8" w:rsidP="007574FC">
      <w:pPr>
        <w:pStyle w:val="602TextfoTextstylesTextstyles"/>
        <w:rPr>
          <w:color w:val="auto"/>
        </w:rPr>
      </w:pPr>
      <w:r w:rsidRPr="00FE7622">
        <w:rPr>
          <w:color w:val="auto"/>
        </w:rPr>
        <w:t xml:space="preserve">Adverse event logs were used by each site to collect </w:t>
      </w:r>
      <w:r w:rsidR="00095838" w:rsidRPr="00FE7622">
        <w:rPr>
          <w:color w:val="auto"/>
        </w:rPr>
        <w:t xml:space="preserve">information on </w:t>
      </w:r>
      <w:r w:rsidRPr="00FE7622">
        <w:rPr>
          <w:color w:val="auto"/>
        </w:rPr>
        <w:t xml:space="preserve">serious and non-serious adverse events. All events were coded by Tayside Clinical Trials Unit according to the Medical Dictionary for Regulatory Activities (MedDRA) coding dictionary version 21.0 (www.meddra.org), using </w:t>
      </w:r>
      <w:r w:rsidR="00D733DE" w:rsidRPr="00FE7622">
        <w:rPr>
          <w:color w:val="auto"/>
        </w:rPr>
        <w:t xml:space="preserve">the </w:t>
      </w:r>
      <w:r w:rsidRPr="00FE7622">
        <w:rPr>
          <w:color w:val="auto"/>
        </w:rPr>
        <w:t xml:space="preserve">System Organ Class and Preferred Term categories. We anticipated a high frequency of adverse events in this study population </w:t>
      </w:r>
      <w:r w:rsidR="00A26D57" w:rsidRPr="00FE7622">
        <w:rPr>
          <w:color w:val="auto"/>
        </w:rPr>
        <w:t>as a result of</w:t>
      </w:r>
      <w:r w:rsidRPr="00FE7622">
        <w:rPr>
          <w:color w:val="auto"/>
        </w:rPr>
        <w:t xml:space="preserve"> the presence of frailty and multimorbidity. Serious </w:t>
      </w:r>
      <w:r w:rsidR="0077206F" w:rsidRPr="00FE7622">
        <w:rPr>
          <w:color w:val="auto"/>
        </w:rPr>
        <w:t>adverse events</w:t>
      </w:r>
      <w:r w:rsidRPr="00FE7622">
        <w:rPr>
          <w:color w:val="auto"/>
        </w:rPr>
        <w:t xml:space="preserve"> were therefore collected, but </w:t>
      </w:r>
      <w:r w:rsidR="0077206F" w:rsidRPr="00FE7622">
        <w:rPr>
          <w:color w:val="auto"/>
        </w:rPr>
        <w:t xml:space="preserve">they were </w:t>
      </w:r>
      <w:r w:rsidRPr="00FE7622">
        <w:rPr>
          <w:color w:val="auto"/>
        </w:rPr>
        <w:t>not reported to the trial sponsor or to the regulatory authority (</w:t>
      </w:r>
      <w:r w:rsidR="008552E9" w:rsidRPr="00FE7622">
        <w:rPr>
          <w:color w:val="auto"/>
        </w:rPr>
        <w:t xml:space="preserve">the </w:t>
      </w:r>
      <w:r w:rsidRPr="00FE7622">
        <w:rPr>
          <w:color w:val="auto"/>
        </w:rPr>
        <w:t>M</w:t>
      </w:r>
      <w:r w:rsidR="008552E9" w:rsidRPr="00FE7622">
        <w:rPr>
          <w:color w:val="auto"/>
        </w:rPr>
        <w:t xml:space="preserve">edicines and </w:t>
      </w:r>
      <w:r w:rsidRPr="00FE7622">
        <w:rPr>
          <w:color w:val="auto"/>
        </w:rPr>
        <w:t>H</w:t>
      </w:r>
      <w:r w:rsidR="008552E9" w:rsidRPr="00FE7622">
        <w:rPr>
          <w:color w:val="auto"/>
        </w:rPr>
        <w:t xml:space="preserve">ealthcare products </w:t>
      </w:r>
      <w:r w:rsidRPr="00FE7622">
        <w:rPr>
          <w:color w:val="auto"/>
        </w:rPr>
        <w:t>R</w:t>
      </w:r>
      <w:r w:rsidR="008552E9" w:rsidRPr="00FE7622">
        <w:rPr>
          <w:color w:val="auto"/>
        </w:rPr>
        <w:t xml:space="preserve">egulatory </w:t>
      </w:r>
      <w:r w:rsidRPr="00FE7622">
        <w:rPr>
          <w:color w:val="auto"/>
        </w:rPr>
        <w:t>A</w:t>
      </w:r>
      <w:r w:rsidR="008552E9" w:rsidRPr="00FE7622">
        <w:rPr>
          <w:color w:val="auto"/>
        </w:rPr>
        <w:t>gency</w:t>
      </w:r>
      <w:r w:rsidRPr="00FE7622">
        <w:rPr>
          <w:color w:val="auto"/>
        </w:rPr>
        <w:t xml:space="preserve">) if they fell into </w:t>
      </w:r>
      <w:r w:rsidR="00DA092C" w:rsidRPr="00FE7622">
        <w:rPr>
          <w:color w:val="auto"/>
        </w:rPr>
        <w:t xml:space="preserve">one of </w:t>
      </w:r>
      <w:r w:rsidRPr="00FE7622">
        <w:rPr>
          <w:color w:val="auto"/>
        </w:rPr>
        <w:t>the following categories:</w:t>
      </w:r>
    </w:p>
    <w:p w14:paraId="41C3139B" w14:textId="68384BBE" w:rsidR="00F026E8" w:rsidRPr="00FE7622" w:rsidRDefault="00DA092C" w:rsidP="00DA092C">
      <w:pPr>
        <w:pStyle w:val="611BulletlistTextstyles"/>
        <w:rPr>
          <w:color w:val="auto"/>
        </w:rPr>
      </w:pPr>
      <w:r w:rsidRPr="00FE7622">
        <w:rPr>
          <w:color w:val="auto"/>
        </w:rPr>
        <w:t>a</w:t>
      </w:r>
      <w:r w:rsidR="00F026E8" w:rsidRPr="00FE7622">
        <w:rPr>
          <w:color w:val="auto"/>
        </w:rPr>
        <w:t xml:space="preserve">ny death or hospitalisation due to new cardiovascular event </w:t>
      </w:r>
      <w:r w:rsidR="00AE5126" w:rsidRPr="00FE7622">
        <w:rPr>
          <w:color w:val="auto"/>
        </w:rPr>
        <w:t>[</w:t>
      </w:r>
      <w:r w:rsidR="00F026E8" w:rsidRPr="00FE7622">
        <w:rPr>
          <w:color w:val="auto"/>
        </w:rPr>
        <w:t xml:space="preserve">with the exception of </w:t>
      </w:r>
      <w:r w:rsidR="00AE5126" w:rsidRPr="00FE7622">
        <w:rPr>
          <w:color w:val="auto"/>
        </w:rPr>
        <w:t>(1</w:t>
      </w:r>
      <w:r w:rsidR="00F026E8" w:rsidRPr="00FE7622">
        <w:rPr>
          <w:color w:val="auto"/>
        </w:rPr>
        <w:t xml:space="preserve">) angioedema, and </w:t>
      </w:r>
      <w:r w:rsidR="00AE5126" w:rsidRPr="00FE7622">
        <w:rPr>
          <w:color w:val="auto"/>
        </w:rPr>
        <w:t>(2</w:t>
      </w:r>
      <w:r w:rsidR="00F026E8" w:rsidRPr="00FE7622">
        <w:rPr>
          <w:color w:val="auto"/>
        </w:rPr>
        <w:t xml:space="preserve">) symptomatic hypotension as a primary cause, which were reportable as </w:t>
      </w:r>
      <w:r w:rsidR="005F0BD6" w:rsidRPr="00FE7622">
        <w:rPr>
          <w:color w:val="auto"/>
        </w:rPr>
        <w:t>serious adverse events]</w:t>
      </w:r>
    </w:p>
    <w:p w14:paraId="73D3F394" w14:textId="791EA135" w:rsidR="00F026E8" w:rsidRPr="00FE7622" w:rsidRDefault="00DA092C" w:rsidP="00DA092C">
      <w:pPr>
        <w:pStyle w:val="611BulletlistTextstyles"/>
        <w:rPr>
          <w:color w:val="auto"/>
        </w:rPr>
      </w:pPr>
      <w:r w:rsidRPr="00FE7622">
        <w:rPr>
          <w:color w:val="auto"/>
        </w:rPr>
        <w:t>a</w:t>
      </w:r>
      <w:r w:rsidR="00F026E8" w:rsidRPr="00FE7622">
        <w:rPr>
          <w:color w:val="auto"/>
        </w:rPr>
        <w:t xml:space="preserve">ny death or hospitalisation due to </w:t>
      </w:r>
      <w:r w:rsidR="005F0BD6" w:rsidRPr="00FE7622">
        <w:rPr>
          <w:color w:val="auto"/>
        </w:rPr>
        <w:t xml:space="preserve">a </w:t>
      </w:r>
      <w:r w:rsidR="00F026E8" w:rsidRPr="00FE7622">
        <w:rPr>
          <w:color w:val="auto"/>
        </w:rPr>
        <w:t>new diagnosis or treatment of cancer</w:t>
      </w:r>
    </w:p>
    <w:p w14:paraId="25345F8A" w14:textId="2CBB37D9" w:rsidR="00F026E8" w:rsidRPr="00FE7622" w:rsidRDefault="00E367B4" w:rsidP="00DA092C">
      <w:pPr>
        <w:pStyle w:val="611BulletlistTextstyles"/>
        <w:rPr>
          <w:color w:val="auto"/>
        </w:rPr>
      </w:pPr>
      <w:r w:rsidRPr="00FE7622">
        <w:rPr>
          <w:color w:val="auto"/>
        </w:rPr>
        <w:t>a</w:t>
      </w:r>
      <w:r w:rsidR="00F026E8" w:rsidRPr="00FE7622">
        <w:rPr>
          <w:color w:val="auto"/>
        </w:rPr>
        <w:t>ny death or hospitalisation due to fall or fracture</w:t>
      </w:r>
    </w:p>
    <w:p w14:paraId="654204D3" w14:textId="7368C394" w:rsidR="00F026E8" w:rsidRPr="00FE7622" w:rsidRDefault="00DA092C" w:rsidP="00DA092C">
      <w:pPr>
        <w:pStyle w:val="611BulletlistTextstyles"/>
        <w:rPr>
          <w:color w:val="auto"/>
        </w:rPr>
      </w:pPr>
      <w:r w:rsidRPr="00FE7622">
        <w:rPr>
          <w:color w:val="auto"/>
        </w:rPr>
        <w:t>a</w:t>
      </w:r>
      <w:r w:rsidR="00F026E8" w:rsidRPr="00FE7622">
        <w:rPr>
          <w:color w:val="auto"/>
        </w:rPr>
        <w:t>ny death or hospitalisation due to infection</w:t>
      </w:r>
    </w:p>
    <w:p w14:paraId="30C00EBC" w14:textId="1D82EE64" w:rsidR="00F026E8" w:rsidRPr="00FE7622" w:rsidRDefault="00DA092C" w:rsidP="00DA092C">
      <w:pPr>
        <w:pStyle w:val="611BulletlistTextstyles"/>
        <w:rPr>
          <w:color w:val="auto"/>
        </w:rPr>
      </w:pPr>
      <w:r w:rsidRPr="00FE7622">
        <w:rPr>
          <w:color w:val="auto"/>
        </w:rPr>
        <w:t>a</w:t>
      </w:r>
      <w:r w:rsidR="00F026E8" w:rsidRPr="00FE7622">
        <w:rPr>
          <w:color w:val="auto"/>
        </w:rPr>
        <w:t xml:space="preserve">ny death or hospitalisation due to </w:t>
      </w:r>
      <w:r w:rsidR="005F0BD6" w:rsidRPr="00FE7622">
        <w:rPr>
          <w:color w:val="auto"/>
        </w:rPr>
        <w:t xml:space="preserve">the </w:t>
      </w:r>
      <w:r w:rsidR="00F026E8" w:rsidRPr="00FE7622">
        <w:rPr>
          <w:color w:val="auto"/>
        </w:rPr>
        <w:t>exacerbation of an existing medical condition</w:t>
      </w:r>
    </w:p>
    <w:p w14:paraId="53021458" w14:textId="5AA1858A" w:rsidR="00F026E8" w:rsidRPr="00FE7622" w:rsidRDefault="00DA092C" w:rsidP="00DA092C">
      <w:pPr>
        <w:pStyle w:val="611BulletlistTextstyles"/>
        <w:rPr>
          <w:color w:val="auto"/>
        </w:rPr>
      </w:pPr>
      <w:r w:rsidRPr="00FE7622">
        <w:rPr>
          <w:color w:val="auto"/>
        </w:rPr>
        <w:t>a</w:t>
      </w:r>
      <w:r w:rsidR="00F026E8" w:rsidRPr="00FE7622">
        <w:rPr>
          <w:color w:val="auto"/>
        </w:rPr>
        <w:t xml:space="preserve">ny admission for </w:t>
      </w:r>
      <w:r w:rsidR="005F0BD6" w:rsidRPr="00FE7622">
        <w:rPr>
          <w:color w:val="auto"/>
        </w:rPr>
        <w:t xml:space="preserve">an </w:t>
      </w:r>
      <w:r w:rsidR="00F026E8" w:rsidRPr="00FE7622">
        <w:rPr>
          <w:color w:val="auto"/>
        </w:rPr>
        <w:t xml:space="preserve">elective or </w:t>
      </w:r>
      <w:r w:rsidR="005F0BD6" w:rsidRPr="00FE7622">
        <w:rPr>
          <w:color w:val="auto"/>
        </w:rPr>
        <w:t xml:space="preserve">a </w:t>
      </w:r>
      <w:r w:rsidR="00F026E8" w:rsidRPr="00FE7622">
        <w:rPr>
          <w:color w:val="auto"/>
        </w:rPr>
        <w:t>planned investigation or treatment</w:t>
      </w:r>
    </w:p>
    <w:p w14:paraId="11D349D7" w14:textId="7DF4AA25" w:rsidR="00F026E8" w:rsidRPr="00FE7622" w:rsidRDefault="00DA092C" w:rsidP="00DA092C">
      <w:pPr>
        <w:pStyle w:val="611BulletlistTextstyles"/>
        <w:rPr>
          <w:color w:val="auto"/>
        </w:rPr>
      </w:pPr>
      <w:r w:rsidRPr="00FE7622">
        <w:rPr>
          <w:color w:val="auto"/>
        </w:rPr>
        <w:t>a</w:t>
      </w:r>
      <w:r w:rsidR="00F026E8" w:rsidRPr="00FE7622">
        <w:rPr>
          <w:color w:val="auto"/>
        </w:rPr>
        <w:t>ny death or hospitalisation for deteriorating renal function</w:t>
      </w:r>
      <w:r w:rsidRPr="00FE7622">
        <w:rPr>
          <w:color w:val="auto"/>
        </w:rPr>
        <w:t xml:space="preserve"> or</w:t>
      </w:r>
      <w:r w:rsidR="00F026E8" w:rsidRPr="00FE7622">
        <w:rPr>
          <w:color w:val="auto"/>
        </w:rPr>
        <w:t xml:space="preserve"> high or low potassium levels</w:t>
      </w:r>
    </w:p>
    <w:p w14:paraId="71C476B9" w14:textId="108E6035" w:rsidR="00F026E8" w:rsidRPr="00FE7622" w:rsidRDefault="00DA092C" w:rsidP="00DA092C">
      <w:pPr>
        <w:pStyle w:val="614TextbulletlistlastTextstylesTextstyles"/>
        <w:rPr>
          <w:color w:val="auto"/>
        </w:rPr>
      </w:pPr>
      <w:r w:rsidRPr="00FE7622">
        <w:rPr>
          <w:color w:val="auto"/>
        </w:rPr>
        <w:t>a</w:t>
      </w:r>
      <w:r w:rsidR="00F026E8" w:rsidRPr="00FE7622">
        <w:rPr>
          <w:color w:val="auto"/>
        </w:rPr>
        <w:t>ny hospitalisation due to nausea, vomiting, constipation or diarrhoea</w:t>
      </w:r>
      <w:r w:rsidRPr="00FE7622">
        <w:rPr>
          <w:color w:val="auto"/>
        </w:rPr>
        <w:t>.</w:t>
      </w:r>
    </w:p>
    <w:p w14:paraId="190B8B33" w14:textId="7E985ECF" w:rsidR="00F026E8" w:rsidRPr="00FE7622" w:rsidRDefault="00F026E8" w:rsidP="007574FC">
      <w:pPr>
        <w:pStyle w:val="602TextfoTextstylesTextstyles"/>
        <w:rPr>
          <w:color w:val="auto"/>
        </w:rPr>
      </w:pPr>
      <w:r w:rsidRPr="00FE7622">
        <w:rPr>
          <w:color w:val="auto"/>
        </w:rPr>
        <w:t xml:space="preserve">All adverse events, including those in the above list, were presented to the independent Data Monitoring Committee </w:t>
      </w:r>
      <w:r w:rsidR="0050306B" w:rsidRPr="00FE7622">
        <w:rPr>
          <w:color w:val="auto"/>
        </w:rPr>
        <w:t>(</w:t>
      </w:r>
      <w:r w:rsidR="0050306B" w:rsidRPr="00842651">
        <w:rPr>
          <w:color w:val="auto"/>
        </w:rPr>
        <w:t>DMC</w:t>
      </w:r>
      <w:r w:rsidR="0050306B" w:rsidRPr="00FE7622">
        <w:rPr>
          <w:color w:val="auto"/>
        </w:rPr>
        <w:t xml:space="preserve">) </w:t>
      </w:r>
      <w:r w:rsidRPr="00FE7622">
        <w:rPr>
          <w:color w:val="auto"/>
        </w:rPr>
        <w:t>classified by MedDRA System Organ Class. All adverse events were included in the reported analysis.</w:t>
      </w:r>
    </w:p>
    <w:p w14:paraId="7A8415FD" w14:textId="17219410" w:rsidR="00E038BF" w:rsidRPr="00FE7622" w:rsidRDefault="00E038BF" w:rsidP="007574FC">
      <w:pPr>
        <w:pStyle w:val="52AheadHeadingsHeadingstyles"/>
      </w:pPr>
      <w:bookmarkStart w:id="55" w:name="_Toc79684504"/>
      <w:r w:rsidRPr="00FE7622">
        <w:t>Trial oversight committees</w:t>
      </w:r>
      <w:bookmarkEnd w:id="55"/>
    </w:p>
    <w:p w14:paraId="5C388723" w14:textId="582F1EA9" w:rsidR="00F026E8" w:rsidRPr="00FE7622" w:rsidRDefault="00F026E8" w:rsidP="007574FC">
      <w:pPr>
        <w:pStyle w:val="602TextfoTextstylesTextstyles"/>
        <w:rPr>
          <w:color w:val="auto"/>
        </w:rPr>
      </w:pPr>
      <w:r w:rsidRPr="00FE7622">
        <w:rPr>
          <w:color w:val="auto"/>
        </w:rPr>
        <w:t xml:space="preserve">An independent </w:t>
      </w:r>
      <w:r w:rsidRPr="00842651">
        <w:rPr>
          <w:color w:val="auto"/>
        </w:rPr>
        <w:t>DMC</w:t>
      </w:r>
      <w:r w:rsidRPr="00FE7622">
        <w:rPr>
          <w:color w:val="auto"/>
        </w:rPr>
        <w:t xml:space="preserve"> met every </w:t>
      </w:r>
      <w:r w:rsidR="00332759" w:rsidRPr="00FE7622">
        <w:rPr>
          <w:color w:val="auto"/>
        </w:rPr>
        <w:t>6</w:t>
      </w:r>
      <w:r w:rsidRPr="00FE7622">
        <w:rPr>
          <w:color w:val="auto"/>
        </w:rPr>
        <w:t xml:space="preserve"> months. The </w:t>
      </w:r>
      <w:r w:rsidRPr="00842651">
        <w:rPr>
          <w:color w:val="auto"/>
        </w:rPr>
        <w:t>DMC</w:t>
      </w:r>
      <w:r w:rsidRPr="00FE7622">
        <w:rPr>
          <w:color w:val="auto"/>
        </w:rPr>
        <w:t xml:space="preserve"> was chaired by an experienced trials biostatistician and included two other academic geriatricians </w:t>
      </w:r>
      <w:r w:rsidR="00AE7D25" w:rsidRPr="00FE7622">
        <w:rPr>
          <w:color w:val="auto"/>
        </w:rPr>
        <w:t>who had</w:t>
      </w:r>
      <w:r w:rsidRPr="00FE7622">
        <w:rPr>
          <w:color w:val="auto"/>
        </w:rPr>
        <w:t xml:space="preserve"> trials expertise. The </w:t>
      </w:r>
      <w:r w:rsidRPr="00842651">
        <w:rPr>
          <w:color w:val="auto"/>
        </w:rPr>
        <w:t>DMC</w:t>
      </w:r>
      <w:r w:rsidRPr="00FE7622">
        <w:rPr>
          <w:color w:val="auto"/>
        </w:rPr>
        <w:t xml:space="preserve"> had access to unblinded data on baseline participant characteristics and adverse events, provided by an unblinded statistician who operated independently </w:t>
      </w:r>
      <w:r w:rsidR="00332759" w:rsidRPr="00FE7622">
        <w:rPr>
          <w:color w:val="auto"/>
        </w:rPr>
        <w:t>of</w:t>
      </w:r>
      <w:r w:rsidRPr="00FE7622">
        <w:rPr>
          <w:color w:val="auto"/>
        </w:rPr>
        <w:t xml:space="preserve"> the rest of the trial management team. The </w:t>
      </w:r>
      <w:r w:rsidRPr="00842651">
        <w:rPr>
          <w:color w:val="auto"/>
        </w:rPr>
        <w:t>DMC</w:t>
      </w:r>
      <w:r w:rsidRPr="00FE7622">
        <w:rPr>
          <w:color w:val="auto"/>
        </w:rPr>
        <w:t xml:space="preserve"> reported to the chair</w:t>
      </w:r>
      <w:r w:rsidR="004D0181" w:rsidRPr="00FE7622">
        <w:rPr>
          <w:color w:val="auto"/>
        </w:rPr>
        <w:t>person</w:t>
      </w:r>
      <w:r w:rsidRPr="00FE7622">
        <w:rPr>
          <w:color w:val="auto"/>
        </w:rPr>
        <w:t xml:space="preserve"> of the independent </w:t>
      </w:r>
      <w:r w:rsidR="00724A55" w:rsidRPr="00842651">
        <w:rPr>
          <w:color w:val="auto"/>
        </w:rPr>
        <w:t>TSC</w:t>
      </w:r>
      <w:r w:rsidRPr="00FE7622">
        <w:rPr>
          <w:color w:val="auto"/>
        </w:rPr>
        <w:t xml:space="preserve">, </w:t>
      </w:r>
      <w:r w:rsidR="004D0181" w:rsidRPr="00FE7622">
        <w:rPr>
          <w:color w:val="auto"/>
        </w:rPr>
        <w:t>was</w:t>
      </w:r>
      <w:r w:rsidRPr="00FE7622">
        <w:rPr>
          <w:color w:val="auto"/>
        </w:rPr>
        <w:t xml:space="preserve"> appointed by </w:t>
      </w:r>
      <w:r w:rsidRPr="00842651">
        <w:rPr>
          <w:color w:val="auto"/>
        </w:rPr>
        <w:t>NIHR</w:t>
      </w:r>
      <w:r w:rsidRPr="00FE7622">
        <w:rPr>
          <w:color w:val="auto"/>
        </w:rPr>
        <w:t xml:space="preserve"> and operated under an agreed charter.</w:t>
      </w:r>
    </w:p>
    <w:p w14:paraId="7FA527BF" w14:textId="48DC0588" w:rsidR="00F026E8" w:rsidRPr="00FE7622" w:rsidRDefault="00F026E8" w:rsidP="007574FC">
      <w:pPr>
        <w:pStyle w:val="602TextfoTextstylesTextstyles"/>
        <w:rPr>
          <w:color w:val="auto"/>
        </w:rPr>
      </w:pPr>
      <w:r w:rsidRPr="00FE7622">
        <w:rPr>
          <w:color w:val="auto"/>
        </w:rPr>
        <w:t xml:space="preserve">The independent </w:t>
      </w:r>
      <w:r w:rsidRPr="00842651">
        <w:rPr>
          <w:color w:val="auto"/>
        </w:rPr>
        <w:t>TSC</w:t>
      </w:r>
      <w:r w:rsidRPr="00FE7622">
        <w:rPr>
          <w:color w:val="auto"/>
        </w:rPr>
        <w:t xml:space="preserve"> was appointed by </w:t>
      </w:r>
      <w:r w:rsidRPr="00842651">
        <w:rPr>
          <w:color w:val="auto"/>
        </w:rPr>
        <w:t>NIHR</w:t>
      </w:r>
      <w:r w:rsidRPr="00FE7622">
        <w:rPr>
          <w:color w:val="auto"/>
        </w:rPr>
        <w:t xml:space="preserve"> and was chaired by an experienced academic geriatrician. Other independent members of the </w:t>
      </w:r>
      <w:r w:rsidRPr="00842651">
        <w:rPr>
          <w:color w:val="auto"/>
        </w:rPr>
        <w:t>TSC</w:t>
      </w:r>
      <w:r w:rsidRPr="00FE7622">
        <w:rPr>
          <w:color w:val="auto"/>
        </w:rPr>
        <w:t xml:space="preserve"> were an academic with expertise in psychiatry of old age</w:t>
      </w:r>
      <w:r w:rsidR="00724A55" w:rsidRPr="00FE7622">
        <w:rPr>
          <w:color w:val="auto"/>
        </w:rPr>
        <w:t>,</w:t>
      </w:r>
      <w:r w:rsidRPr="00FE7622">
        <w:rPr>
          <w:color w:val="auto"/>
        </w:rPr>
        <w:t xml:space="preserve"> including dementia trials</w:t>
      </w:r>
      <w:r w:rsidR="003172F9" w:rsidRPr="00FE7622">
        <w:rPr>
          <w:color w:val="auto"/>
        </w:rPr>
        <w:t>;</w:t>
      </w:r>
      <w:r w:rsidRPr="00FE7622">
        <w:rPr>
          <w:color w:val="auto"/>
        </w:rPr>
        <w:t xml:space="preserve"> another academic geriatrician</w:t>
      </w:r>
      <w:r w:rsidR="003172F9" w:rsidRPr="00FE7622">
        <w:rPr>
          <w:color w:val="auto"/>
        </w:rPr>
        <w:t>;</w:t>
      </w:r>
      <w:r w:rsidRPr="00FE7622">
        <w:rPr>
          <w:color w:val="auto"/>
        </w:rPr>
        <w:t xml:space="preserve"> and three lay members</w:t>
      </w:r>
      <w:r w:rsidR="003172F9" w:rsidRPr="00FE7622">
        <w:rPr>
          <w:color w:val="auto"/>
        </w:rPr>
        <w:t>, all of</w:t>
      </w:r>
      <w:r w:rsidRPr="00FE7622">
        <w:rPr>
          <w:color w:val="auto"/>
        </w:rPr>
        <w:t xml:space="preserve"> who</w:t>
      </w:r>
      <w:r w:rsidR="003172F9" w:rsidRPr="00FE7622">
        <w:rPr>
          <w:color w:val="auto"/>
        </w:rPr>
        <w:t>m</w:t>
      </w:r>
      <w:r w:rsidRPr="00FE7622">
        <w:rPr>
          <w:color w:val="auto"/>
        </w:rPr>
        <w:t xml:space="preserve"> were older people. The </w:t>
      </w:r>
      <w:r w:rsidRPr="00842651">
        <w:rPr>
          <w:color w:val="auto"/>
        </w:rPr>
        <w:t>TSC</w:t>
      </w:r>
      <w:r w:rsidRPr="00FE7622">
        <w:rPr>
          <w:color w:val="auto"/>
        </w:rPr>
        <w:t xml:space="preserve"> met at least every </w:t>
      </w:r>
      <w:r w:rsidR="00332759" w:rsidRPr="00FE7622">
        <w:rPr>
          <w:color w:val="auto"/>
        </w:rPr>
        <w:t>6</w:t>
      </w:r>
      <w:r w:rsidRPr="00FE7622">
        <w:rPr>
          <w:color w:val="auto"/>
        </w:rPr>
        <w:t xml:space="preserve"> months over the course of the trial; additional meetings were held as required for timely decision-making. The </w:t>
      </w:r>
      <w:r w:rsidRPr="00842651">
        <w:rPr>
          <w:color w:val="auto"/>
        </w:rPr>
        <w:t>TSC</w:t>
      </w:r>
      <w:r w:rsidRPr="00FE7622">
        <w:rPr>
          <w:color w:val="auto"/>
        </w:rPr>
        <w:t xml:space="preserve"> operated under an agreed Charter. The </w:t>
      </w:r>
      <w:r w:rsidRPr="00842651">
        <w:rPr>
          <w:color w:val="auto"/>
        </w:rPr>
        <w:t>TSC</w:t>
      </w:r>
      <w:r w:rsidRPr="00FE7622">
        <w:rPr>
          <w:color w:val="auto"/>
        </w:rPr>
        <w:t xml:space="preserve"> chair</w:t>
      </w:r>
      <w:r w:rsidR="00332759" w:rsidRPr="00FE7622">
        <w:rPr>
          <w:color w:val="auto"/>
        </w:rPr>
        <w:t>person</w:t>
      </w:r>
      <w:r w:rsidRPr="00FE7622">
        <w:rPr>
          <w:color w:val="auto"/>
        </w:rPr>
        <w:t xml:space="preserve"> reported to the project manager at </w:t>
      </w:r>
      <w:r w:rsidRPr="00842651">
        <w:rPr>
          <w:color w:val="auto"/>
        </w:rPr>
        <w:t>NIHR</w:t>
      </w:r>
      <w:r w:rsidRPr="00FE7622">
        <w:rPr>
          <w:color w:val="auto"/>
        </w:rPr>
        <w:t xml:space="preserve"> by letter and minutes after each </w:t>
      </w:r>
      <w:r w:rsidRPr="00842651">
        <w:rPr>
          <w:color w:val="auto"/>
        </w:rPr>
        <w:t>TSC</w:t>
      </w:r>
      <w:r w:rsidRPr="00FE7622">
        <w:rPr>
          <w:color w:val="auto"/>
        </w:rPr>
        <w:t xml:space="preserve"> meeting.</w:t>
      </w:r>
    </w:p>
    <w:p w14:paraId="7DF2C903" w14:textId="0065413B" w:rsidR="00F026E8" w:rsidRPr="00FE7622" w:rsidRDefault="00F026E8" w:rsidP="007574FC">
      <w:pPr>
        <w:pStyle w:val="602TextfoTextstylesTextstyles"/>
        <w:rPr>
          <w:color w:val="auto"/>
        </w:rPr>
      </w:pPr>
      <w:r w:rsidRPr="00FE7622">
        <w:rPr>
          <w:color w:val="auto"/>
        </w:rPr>
        <w:t>The Trial Management Group (</w:t>
      </w:r>
      <w:r w:rsidRPr="00842651">
        <w:rPr>
          <w:color w:val="auto"/>
        </w:rPr>
        <w:t>TMG</w:t>
      </w:r>
      <w:r w:rsidRPr="00FE7622">
        <w:rPr>
          <w:color w:val="auto"/>
        </w:rPr>
        <w:t xml:space="preserve">) comprised the lead applicant, co-applicants, and Tayside Clinical Trials Unit staff and was responsible for operational management of the trial. All local investigators and research nurses at each site were invited to join all </w:t>
      </w:r>
      <w:r w:rsidRPr="00842651">
        <w:rPr>
          <w:color w:val="auto"/>
        </w:rPr>
        <w:t>TMG</w:t>
      </w:r>
      <w:r w:rsidRPr="00FE7622">
        <w:rPr>
          <w:color w:val="auto"/>
        </w:rPr>
        <w:t xml:space="preserve"> meetings, which took place monthly until the end of recruitment</w:t>
      </w:r>
      <w:r w:rsidR="002D75F1" w:rsidRPr="00FE7622">
        <w:rPr>
          <w:color w:val="auto"/>
        </w:rPr>
        <w:t xml:space="preserve"> and</w:t>
      </w:r>
      <w:r w:rsidRPr="00FE7622">
        <w:rPr>
          <w:color w:val="auto"/>
        </w:rPr>
        <w:t xml:space="preserve"> then every </w:t>
      </w:r>
      <w:r w:rsidR="002D75F1" w:rsidRPr="00FE7622">
        <w:rPr>
          <w:color w:val="auto"/>
        </w:rPr>
        <w:t>2</w:t>
      </w:r>
      <w:r w:rsidRPr="00FE7622">
        <w:rPr>
          <w:color w:val="auto"/>
        </w:rPr>
        <w:t xml:space="preserve"> months until the end of the grant funding period. In addition, monthly teleconferences took place between the trial manager and research nurses to share best recruitment practice and troubleshoot trial processes.</w:t>
      </w:r>
    </w:p>
    <w:p w14:paraId="0577CDB7" w14:textId="4022E13D" w:rsidR="00E038BF" w:rsidRPr="00FE7622" w:rsidRDefault="00E038BF" w:rsidP="007574FC">
      <w:pPr>
        <w:pStyle w:val="52AheadHeadingsHeadingstyles"/>
      </w:pPr>
      <w:bookmarkStart w:id="56" w:name="_Toc79684505"/>
      <w:r w:rsidRPr="00FE7622">
        <w:t>Role of patient and public involvement</w:t>
      </w:r>
      <w:bookmarkEnd w:id="56"/>
    </w:p>
    <w:p w14:paraId="06EF288C" w14:textId="22B81FD3" w:rsidR="00F026E8" w:rsidRPr="00FE7622" w:rsidRDefault="00F026E8" w:rsidP="007574FC">
      <w:pPr>
        <w:pStyle w:val="602TextfoTextstylesTextstyles"/>
        <w:rPr>
          <w:color w:val="auto"/>
        </w:rPr>
      </w:pPr>
      <w:r w:rsidRPr="00FE7622">
        <w:rPr>
          <w:color w:val="auto"/>
        </w:rPr>
        <w:t xml:space="preserve">Patients and the public were involved in the design of the trial, development of trial information and study processes, oversight of the </w:t>
      </w:r>
      <w:r w:rsidRPr="00842651">
        <w:rPr>
          <w:color w:val="auto"/>
        </w:rPr>
        <w:t>LACE</w:t>
      </w:r>
      <w:r w:rsidRPr="00FE7622">
        <w:rPr>
          <w:color w:val="auto"/>
        </w:rPr>
        <w:t xml:space="preserve"> programme, and planning dissemination of the findings. </w:t>
      </w:r>
      <w:r w:rsidR="0074103C" w:rsidRPr="00FE7622">
        <w:rPr>
          <w:color w:val="auto"/>
        </w:rPr>
        <w:t>The k</w:t>
      </w:r>
      <w:r w:rsidRPr="00FE7622">
        <w:rPr>
          <w:color w:val="auto"/>
        </w:rPr>
        <w:t>ey areas of involvement were</w:t>
      </w:r>
      <w:r w:rsidR="00C23575" w:rsidRPr="00FE7622">
        <w:rPr>
          <w:color w:val="auto"/>
        </w:rPr>
        <w:t xml:space="preserve"> as follows</w:t>
      </w:r>
      <w:r w:rsidRPr="00FE7622">
        <w:rPr>
          <w:color w:val="auto"/>
        </w:rPr>
        <w:t>:</w:t>
      </w:r>
    </w:p>
    <w:p w14:paraId="1FF347F2" w14:textId="33CC0693" w:rsidR="00F026E8" w:rsidRPr="00FE7622" w:rsidRDefault="00F026E8" w:rsidP="00DA092C">
      <w:pPr>
        <w:pStyle w:val="611BulletlistTextstyles"/>
        <w:rPr>
          <w:color w:val="auto"/>
        </w:rPr>
      </w:pPr>
      <w:r w:rsidRPr="00FE7622">
        <w:rPr>
          <w:color w:val="auto"/>
        </w:rPr>
        <w:t xml:space="preserve">The trial design was discussed with a panel of older people at the stage of grant development; their views, together with feedback from processes in previous trials conducted by the trial team, played a key role in selecting trial outcomes that were feasible, and </w:t>
      </w:r>
      <w:r w:rsidR="001569B1" w:rsidRPr="00FE7622">
        <w:rPr>
          <w:color w:val="auto"/>
        </w:rPr>
        <w:t xml:space="preserve">in </w:t>
      </w:r>
      <w:r w:rsidRPr="00FE7622">
        <w:rPr>
          <w:color w:val="auto"/>
        </w:rPr>
        <w:t>advising on the screening and recruitment process</w:t>
      </w:r>
      <w:r w:rsidR="00DA092C" w:rsidRPr="00FE7622">
        <w:rPr>
          <w:color w:val="auto"/>
        </w:rPr>
        <w:t>.</w:t>
      </w:r>
    </w:p>
    <w:p w14:paraId="531BD486" w14:textId="15C3D3E3" w:rsidR="00F026E8" w:rsidRPr="00FE7622" w:rsidRDefault="00F026E8" w:rsidP="00DA092C">
      <w:pPr>
        <w:pStyle w:val="611BulletlistTextstyles"/>
        <w:rPr>
          <w:color w:val="auto"/>
        </w:rPr>
      </w:pPr>
      <w:r w:rsidRPr="00FE7622">
        <w:rPr>
          <w:color w:val="auto"/>
        </w:rPr>
        <w:t>Participant information sheets and brief study information were developed and refined with input from older people</w:t>
      </w:r>
      <w:r w:rsidR="00DA092C" w:rsidRPr="00FE7622">
        <w:rPr>
          <w:color w:val="auto"/>
        </w:rPr>
        <w:t>.</w:t>
      </w:r>
    </w:p>
    <w:p w14:paraId="6DB4E8B3" w14:textId="69065CB8" w:rsidR="00F026E8" w:rsidRPr="00FE7622" w:rsidRDefault="00F026E8" w:rsidP="00DA092C">
      <w:pPr>
        <w:pStyle w:val="611BulletlistTextstyles"/>
        <w:rPr>
          <w:color w:val="auto"/>
        </w:rPr>
      </w:pPr>
      <w:r w:rsidRPr="00FE7622">
        <w:rPr>
          <w:color w:val="auto"/>
        </w:rPr>
        <w:t>Taste testing of the leucine in combination with different food</w:t>
      </w:r>
      <w:r w:rsidR="001569B1" w:rsidRPr="00FE7622">
        <w:rPr>
          <w:color w:val="auto"/>
        </w:rPr>
        <w:t>s</w:t>
      </w:r>
      <w:r w:rsidRPr="00FE7622">
        <w:rPr>
          <w:color w:val="auto"/>
        </w:rPr>
        <w:t xml:space="preserve"> and drink</w:t>
      </w:r>
      <w:r w:rsidR="001569B1" w:rsidRPr="00FE7622">
        <w:rPr>
          <w:color w:val="auto"/>
        </w:rPr>
        <w:t>s</w:t>
      </w:r>
      <w:r w:rsidRPr="00FE7622">
        <w:rPr>
          <w:color w:val="auto"/>
        </w:rPr>
        <w:t xml:space="preserve"> was conducted with a panel of older people to develop advice sheets for participants </w:t>
      </w:r>
      <w:r w:rsidR="00BE26D6" w:rsidRPr="00FE7622">
        <w:rPr>
          <w:color w:val="auto"/>
        </w:rPr>
        <w:t xml:space="preserve">who were </w:t>
      </w:r>
      <w:r w:rsidRPr="00FE7622">
        <w:rPr>
          <w:color w:val="auto"/>
        </w:rPr>
        <w:t>taking the leucine or placebo powder with meals</w:t>
      </w:r>
      <w:r w:rsidR="00DA092C" w:rsidRPr="00FE7622">
        <w:rPr>
          <w:color w:val="auto"/>
        </w:rPr>
        <w:t>.</w:t>
      </w:r>
    </w:p>
    <w:p w14:paraId="50501AEE" w14:textId="42101D6C" w:rsidR="00F026E8" w:rsidRPr="00FE7622" w:rsidRDefault="00F026E8" w:rsidP="00DA092C">
      <w:pPr>
        <w:pStyle w:val="611BulletlistTextstyles"/>
        <w:rPr>
          <w:color w:val="auto"/>
        </w:rPr>
      </w:pPr>
      <w:r w:rsidRPr="00FE7622">
        <w:rPr>
          <w:color w:val="auto"/>
        </w:rPr>
        <w:t xml:space="preserve">Three older people formed the lay members on the independent </w:t>
      </w:r>
      <w:r w:rsidR="009A4ED4" w:rsidRPr="00842651">
        <w:rPr>
          <w:color w:val="auto"/>
        </w:rPr>
        <w:t>TSC</w:t>
      </w:r>
      <w:r w:rsidRPr="00FE7622">
        <w:rPr>
          <w:color w:val="auto"/>
        </w:rPr>
        <w:t>, giving advice on recruitment, retention and oversight of the programme</w:t>
      </w:r>
      <w:r w:rsidR="00DA092C" w:rsidRPr="00FE7622">
        <w:rPr>
          <w:color w:val="auto"/>
        </w:rPr>
        <w:t>.</w:t>
      </w:r>
    </w:p>
    <w:p w14:paraId="2C25F8B3" w14:textId="0B19F3A4" w:rsidR="00F026E8" w:rsidRPr="00FE7622" w:rsidRDefault="00F026E8" w:rsidP="00DA092C">
      <w:pPr>
        <w:pStyle w:val="614TextbulletlistlastTextstylesTextstyles"/>
        <w:rPr>
          <w:color w:val="auto"/>
        </w:rPr>
      </w:pPr>
      <w:r w:rsidRPr="00FE7622">
        <w:rPr>
          <w:color w:val="auto"/>
        </w:rPr>
        <w:t xml:space="preserve">The </w:t>
      </w:r>
      <w:r w:rsidRPr="00842651">
        <w:rPr>
          <w:color w:val="auto"/>
        </w:rPr>
        <w:t>TSC</w:t>
      </w:r>
      <w:r w:rsidRPr="00FE7622">
        <w:rPr>
          <w:color w:val="auto"/>
        </w:rPr>
        <w:t xml:space="preserve"> lay members also helped to develop the dissemination strategy for the </w:t>
      </w:r>
      <w:r w:rsidRPr="00842651">
        <w:rPr>
          <w:color w:val="auto"/>
        </w:rPr>
        <w:t>LACE</w:t>
      </w:r>
      <w:r w:rsidRPr="00FE7622">
        <w:rPr>
          <w:color w:val="auto"/>
        </w:rPr>
        <w:t xml:space="preserve"> </w:t>
      </w:r>
      <w:r w:rsidR="00424468" w:rsidRPr="00FE7622">
        <w:rPr>
          <w:color w:val="auto"/>
        </w:rPr>
        <w:t xml:space="preserve">trial </w:t>
      </w:r>
      <w:r w:rsidRPr="00FE7622">
        <w:rPr>
          <w:color w:val="auto"/>
        </w:rPr>
        <w:t>results, including papers, conferences, blogs, presentations and public engagement events</w:t>
      </w:r>
      <w:r w:rsidR="00DA092C" w:rsidRPr="00FE7622">
        <w:rPr>
          <w:color w:val="auto"/>
        </w:rPr>
        <w:t>.</w:t>
      </w:r>
    </w:p>
    <w:p w14:paraId="549A9FA1" w14:textId="694D9CE6" w:rsidR="00E038BF" w:rsidRPr="00FE7622" w:rsidRDefault="00E038BF" w:rsidP="006C36F8">
      <w:pPr>
        <w:pStyle w:val="52AheadHeadingsHeadingstyles"/>
      </w:pPr>
      <w:bookmarkStart w:id="57" w:name="_Toc79684506"/>
      <w:r w:rsidRPr="00FE7622">
        <w:t>Important changes to the trial design and conduct after trial commencement</w:t>
      </w:r>
      <w:bookmarkEnd w:id="57"/>
    </w:p>
    <w:p w14:paraId="13BA04D6" w14:textId="0CA9A0BF" w:rsidR="00F026E8" w:rsidRPr="00FE7622" w:rsidRDefault="00F026E8" w:rsidP="006C36F8">
      <w:pPr>
        <w:pStyle w:val="602TextfoTextstylesTextstyles"/>
        <w:rPr>
          <w:color w:val="auto"/>
        </w:rPr>
      </w:pPr>
      <w:r w:rsidRPr="00FE7622">
        <w:rPr>
          <w:color w:val="auto"/>
        </w:rPr>
        <w:t>Several changes were made to the design and conduct of the trial in response to low recruitment rates; these are detailed below</w:t>
      </w:r>
      <w:r w:rsidR="00034629" w:rsidRPr="00FE7622">
        <w:rPr>
          <w:color w:val="auto"/>
        </w:rPr>
        <w:t>.</w:t>
      </w:r>
    </w:p>
    <w:p w14:paraId="4C7807CA" w14:textId="30E3175D" w:rsidR="00E038BF" w:rsidRPr="00FE7622" w:rsidRDefault="00E038BF" w:rsidP="006C36F8">
      <w:pPr>
        <w:pStyle w:val="53BheadHeadingsHeadingstyles"/>
      </w:pPr>
      <w:r w:rsidRPr="00FE7622">
        <w:t>Changes to screening criteria</w:t>
      </w:r>
    </w:p>
    <w:p w14:paraId="6DA64A5E" w14:textId="6288709D" w:rsidR="00F026E8" w:rsidRPr="00FE7622" w:rsidRDefault="00F026E8" w:rsidP="00332759">
      <w:pPr>
        <w:pStyle w:val="611BulletlistTextstyles"/>
        <w:rPr>
          <w:color w:val="auto"/>
        </w:rPr>
      </w:pPr>
      <w:r w:rsidRPr="00FE7622">
        <w:rPr>
          <w:color w:val="auto"/>
        </w:rPr>
        <w:t xml:space="preserve">The prescreening </w:t>
      </w:r>
      <w:r w:rsidRPr="00842651">
        <w:rPr>
          <w:color w:val="auto"/>
        </w:rPr>
        <w:t>SARC-F</w:t>
      </w:r>
      <w:r w:rsidRPr="00FE7622">
        <w:rPr>
          <w:color w:val="auto"/>
        </w:rPr>
        <w:t xml:space="preserve"> score threshold for progression to screening was changed from </w:t>
      </w:r>
      <w:r w:rsidR="004C1F44" w:rsidRPr="00FE7622">
        <w:rPr>
          <w:color w:val="auto"/>
        </w:rPr>
        <w:t>≥ </w:t>
      </w:r>
      <w:r w:rsidRPr="00FE7622">
        <w:rPr>
          <w:color w:val="auto"/>
        </w:rPr>
        <w:t xml:space="preserve">4 to </w:t>
      </w:r>
      <w:r w:rsidR="004C1F44" w:rsidRPr="00FE7622">
        <w:rPr>
          <w:color w:val="auto"/>
        </w:rPr>
        <w:t>≥</w:t>
      </w:r>
      <w:r w:rsidR="00D75E62" w:rsidRPr="00FE7622">
        <w:rPr>
          <w:color w:val="auto"/>
        </w:rPr>
        <w:t> </w:t>
      </w:r>
      <w:r w:rsidRPr="00FE7622">
        <w:rPr>
          <w:color w:val="auto"/>
        </w:rPr>
        <w:t xml:space="preserve">3 after 6 months of recruitment. This was in line with the protocol, which allowed for variation in the </w:t>
      </w:r>
      <w:r w:rsidRPr="00842651">
        <w:rPr>
          <w:color w:val="auto"/>
        </w:rPr>
        <w:t>SARC-F</w:t>
      </w:r>
      <w:r w:rsidRPr="00FE7622">
        <w:rPr>
          <w:color w:val="auto"/>
        </w:rPr>
        <w:t xml:space="preserve"> pre-screening threshold based on </w:t>
      </w:r>
      <w:r w:rsidR="00ED3697" w:rsidRPr="00FE7622">
        <w:rPr>
          <w:color w:val="auto"/>
        </w:rPr>
        <w:t xml:space="preserve">the </w:t>
      </w:r>
      <w:r w:rsidRPr="00FE7622">
        <w:rPr>
          <w:color w:val="auto"/>
        </w:rPr>
        <w:t>response rate.</w:t>
      </w:r>
    </w:p>
    <w:p w14:paraId="1F7FE34C" w14:textId="7A747ABF" w:rsidR="00F026E8" w:rsidRPr="00FE7622" w:rsidRDefault="00F026E8" w:rsidP="00332759">
      <w:pPr>
        <w:pStyle w:val="614TextbulletlistlastTextstylesTextstyles"/>
        <w:rPr>
          <w:color w:val="auto"/>
        </w:rPr>
      </w:pPr>
      <w:r w:rsidRPr="00FE7622">
        <w:rPr>
          <w:color w:val="auto"/>
        </w:rPr>
        <w:t xml:space="preserve">The equation to calculate skeletal muscle mass at screening (via bioimpedance) and the thresholds used for low muscle mass were changed after </w:t>
      </w:r>
      <w:r w:rsidR="00332759" w:rsidRPr="00FE7622">
        <w:rPr>
          <w:color w:val="auto"/>
        </w:rPr>
        <w:t>6</w:t>
      </w:r>
      <w:r w:rsidRPr="00FE7622">
        <w:rPr>
          <w:color w:val="auto"/>
        </w:rPr>
        <w:t xml:space="preserve"> months of recruitment. During that period, only </w:t>
      </w:r>
      <w:r w:rsidR="00332759" w:rsidRPr="00FE7622">
        <w:rPr>
          <w:color w:val="auto"/>
        </w:rPr>
        <w:t>1</w:t>
      </w:r>
      <w:r w:rsidRPr="00FE7622">
        <w:rPr>
          <w:color w:val="auto"/>
        </w:rPr>
        <w:t xml:space="preserve"> of 20 people screened had a total body skeletal muscle mass</w:t>
      </w:r>
      <w:r w:rsidR="007719B5" w:rsidRPr="00FE7622">
        <w:rPr>
          <w:color w:val="auto"/>
        </w:rPr>
        <w:t>,</w:t>
      </w:r>
      <w:r w:rsidRPr="00FE7622">
        <w:rPr>
          <w:color w:val="auto"/>
        </w:rPr>
        <w:t xml:space="preserve"> measured by </w:t>
      </w:r>
      <w:r w:rsidRPr="00842651">
        <w:rPr>
          <w:color w:val="auto"/>
        </w:rPr>
        <w:t>BIA</w:t>
      </w:r>
      <w:r w:rsidRPr="00FE7622">
        <w:rPr>
          <w:color w:val="auto"/>
        </w:rPr>
        <w:t xml:space="preserve"> using the Janssen equation</w:t>
      </w:r>
      <w:r w:rsidR="007719B5" w:rsidRPr="00FE7622">
        <w:rPr>
          <w:color w:val="auto"/>
        </w:rPr>
        <w:t>,</w:t>
      </w:r>
      <w:r w:rsidR="00E038BF" w:rsidRPr="00FE7622">
        <w:rPr>
          <w:color w:val="auto"/>
          <w:vertAlign w:val="superscript"/>
        </w:rPr>
        <w:t>72</w:t>
      </w:r>
      <w:r w:rsidRPr="00FE7622">
        <w:rPr>
          <w:color w:val="auto"/>
        </w:rPr>
        <w:t xml:space="preserve"> below the original screening threshold (&lt; 13 kg for women</w:t>
      </w:r>
      <w:r w:rsidR="007719B5" w:rsidRPr="00FE7622">
        <w:rPr>
          <w:color w:val="auto"/>
        </w:rPr>
        <w:t xml:space="preserve"> and</w:t>
      </w:r>
      <w:r w:rsidRPr="00FE7622">
        <w:rPr>
          <w:color w:val="auto"/>
        </w:rPr>
        <w:t xml:space="preserve"> &lt; 20.5 kg for men). New information on the likely accuracy of different </w:t>
      </w:r>
      <w:r w:rsidRPr="00842651">
        <w:rPr>
          <w:color w:val="auto"/>
        </w:rPr>
        <w:t>BIA</w:t>
      </w:r>
      <w:r w:rsidRPr="00FE7622">
        <w:rPr>
          <w:color w:val="auto"/>
        </w:rPr>
        <w:t xml:space="preserve"> equations and on thresholds in the UK population (derived from UK Biobank)</w:t>
      </w:r>
      <w:r w:rsidR="00E038BF" w:rsidRPr="00FE7622">
        <w:rPr>
          <w:color w:val="auto"/>
          <w:vertAlign w:val="superscript"/>
        </w:rPr>
        <w:t>37</w:t>
      </w:r>
      <w:r w:rsidRPr="00FE7622">
        <w:rPr>
          <w:color w:val="auto"/>
        </w:rPr>
        <w:t xml:space="preserve"> became available; the Sergi equation</w:t>
      </w:r>
      <w:r w:rsidR="00E038BF" w:rsidRPr="00FE7622">
        <w:rPr>
          <w:color w:val="auto"/>
          <w:vertAlign w:val="superscript"/>
        </w:rPr>
        <w:t>36</w:t>
      </w:r>
      <w:r w:rsidRPr="00FE7622">
        <w:rPr>
          <w:color w:val="auto"/>
        </w:rPr>
        <w:t xml:space="preserve"> was adopted as the new method of </w:t>
      </w:r>
      <w:r w:rsidRPr="00842651">
        <w:rPr>
          <w:color w:val="auto"/>
        </w:rPr>
        <w:t>BIA</w:t>
      </w:r>
      <w:r w:rsidRPr="00FE7622">
        <w:rPr>
          <w:color w:val="auto"/>
        </w:rPr>
        <w:t xml:space="preserve"> muscle mass calculation</w:t>
      </w:r>
      <w:r w:rsidR="007719B5" w:rsidRPr="00FE7622">
        <w:rPr>
          <w:color w:val="auto"/>
        </w:rPr>
        <w:t>,</w:t>
      </w:r>
      <w:r w:rsidRPr="00FE7622">
        <w:rPr>
          <w:color w:val="auto"/>
        </w:rPr>
        <w:t xml:space="preserve"> as this equation was found to be more accurate in older</w:t>
      </w:r>
      <w:r w:rsidR="008F1A6F" w:rsidRPr="00FE7622">
        <w:rPr>
          <w:color w:val="auto"/>
        </w:rPr>
        <w:t>,</w:t>
      </w:r>
      <w:r w:rsidRPr="00FE7622">
        <w:rPr>
          <w:color w:val="auto"/>
        </w:rPr>
        <w:t xml:space="preserve"> white</w:t>
      </w:r>
      <w:r w:rsidR="008F1A6F" w:rsidRPr="00FE7622">
        <w:rPr>
          <w:color w:val="auto"/>
        </w:rPr>
        <w:t>,</w:t>
      </w:r>
      <w:r w:rsidRPr="00FE7622">
        <w:rPr>
          <w:color w:val="auto"/>
        </w:rPr>
        <w:t xml:space="preserve"> European</w:t>
      </w:r>
      <w:r w:rsidR="003B36D3" w:rsidRPr="00FE7622">
        <w:rPr>
          <w:color w:val="auto"/>
        </w:rPr>
        <w:t xml:space="preserve"> individual</w:t>
      </w:r>
      <w:r w:rsidRPr="00FE7622">
        <w:rPr>
          <w:color w:val="auto"/>
        </w:rPr>
        <w:t xml:space="preserve">s, and </w:t>
      </w:r>
      <w:r w:rsidRPr="00842651">
        <w:rPr>
          <w:color w:val="auto"/>
        </w:rPr>
        <w:t>BMI</w:t>
      </w:r>
      <w:r w:rsidRPr="00FE7622">
        <w:rPr>
          <w:color w:val="auto"/>
        </w:rPr>
        <w:t>-based thresholds for height-adjusted low skeletal mass were adopted, based on findings from UK Biobank and in line with some more recent definitions of sarcopenia.</w:t>
      </w:r>
      <w:r w:rsidR="00E038BF" w:rsidRPr="00FE7622">
        <w:rPr>
          <w:color w:val="auto"/>
          <w:vertAlign w:val="superscript"/>
        </w:rPr>
        <w:t>73</w:t>
      </w:r>
    </w:p>
    <w:p w14:paraId="7F55BD9B" w14:textId="13041F9B" w:rsidR="00E038BF" w:rsidRPr="00FE7622" w:rsidRDefault="00E038BF" w:rsidP="006C36F8">
      <w:pPr>
        <w:pStyle w:val="53BheadHeadingsHeadingstyles"/>
      </w:pPr>
      <w:r w:rsidRPr="00FE7622">
        <w:t>Extensions to recruitment window and truncation of trial recruitment</w:t>
      </w:r>
    </w:p>
    <w:p w14:paraId="0D8A8202" w14:textId="27551DD7" w:rsidR="00F026E8" w:rsidRPr="00FE7622" w:rsidRDefault="00F026E8" w:rsidP="006C36F8">
      <w:pPr>
        <w:pStyle w:val="602TextfoTextstylesTextstyles"/>
        <w:rPr>
          <w:color w:val="auto"/>
        </w:rPr>
      </w:pPr>
      <w:r w:rsidRPr="00FE7622">
        <w:rPr>
          <w:color w:val="auto"/>
        </w:rPr>
        <w:t xml:space="preserve">Owing to slow recruitment, the recruitment period was extended from </w:t>
      </w:r>
      <w:r w:rsidR="00EB5778" w:rsidRPr="00FE7622">
        <w:rPr>
          <w:color w:val="auto"/>
        </w:rPr>
        <w:t xml:space="preserve">the originally planned </w:t>
      </w:r>
      <w:r w:rsidRPr="00FE7622">
        <w:rPr>
          <w:color w:val="auto"/>
        </w:rPr>
        <w:t>18 months to 30 months. Because of continued slow recruitment, the funder recommended termination of recruitment after 30 months but with follow</w:t>
      </w:r>
      <w:r w:rsidR="00D60DA6" w:rsidRPr="00FE7622">
        <w:rPr>
          <w:color w:val="auto"/>
        </w:rPr>
        <w:t>-</w:t>
      </w:r>
      <w:r w:rsidRPr="00FE7622">
        <w:rPr>
          <w:color w:val="auto"/>
        </w:rPr>
        <w:t>up of all those recruited to that date for the planned 12 months of follow</w:t>
      </w:r>
      <w:r w:rsidR="00D60DA6" w:rsidRPr="00FE7622">
        <w:rPr>
          <w:color w:val="auto"/>
        </w:rPr>
        <w:t>-</w:t>
      </w:r>
      <w:r w:rsidRPr="00FE7622">
        <w:rPr>
          <w:color w:val="auto"/>
        </w:rPr>
        <w:t>up.</w:t>
      </w:r>
    </w:p>
    <w:p w14:paraId="535C1C5B" w14:textId="203D4877" w:rsidR="00E038BF" w:rsidRPr="00FE7622" w:rsidRDefault="00E038BF" w:rsidP="006C36F8">
      <w:pPr>
        <w:pStyle w:val="53BheadHeadingsHeadingstyles"/>
      </w:pPr>
      <w:r w:rsidRPr="00FE7622">
        <w:t>Removal of secondary outcomes</w:t>
      </w:r>
    </w:p>
    <w:p w14:paraId="3D067FE5" w14:textId="07667CAD" w:rsidR="00F026E8" w:rsidRPr="00FE7622" w:rsidRDefault="00F026E8" w:rsidP="006C36F8">
      <w:pPr>
        <w:pStyle w:val="602TextfoTextstylesTextstyles"/>
        <w:rPr>
          <w:color w:val="auto"/>
        </w:rPr>
      </w:pPr>
      <w:r w:rsidRPr="00FE7622">
        <w:rPr>
          <w:color w:val="auto"/>
        </w:rPr>
        <w:t xml:space="preserve">A lack of pedometer step count data due to poor adherence and multiple technical issues led to </w:t>
      </w:r>
      <w:r w:rsidR="00140858" w:rsidRPr="00FE7622">
        <w:rPr>
          <w:color w:val="auto"/>
        </w:rPr>
        <w:t xml:space="preserve">the </w:t>
      </w:r>
      <w:r w:rsidRPr="00FE7622">
        <w:rPr>
          <w:color w:val="auto"/>
        </w:rPr>
        <w:t>collection of this outcome being suspended, and this secondary outcome was removed from the trial prior to the end of recruitment and prior to finalisation of the Statistical Analysis Plan.</w:t>
      </w:r>
    </w:p>
    <w:p w14:paraId="4DA12588" w14:textId="6A11B7D2" w:rsidR="00E038BF" w:rsidRPr="00FE7622" w:rsidRDefault="00E038BF" w:rsidP="00D339F7">
      <w:pPr>
        <w:pStyle w:val="52AheadHeadingsHeadingstyles"/>
      </w:pPr>
      <w:bookmarkStart w:id="58" w:name="_Toc79684507"/>
      <w:r w:rsidRPr="00FE7622">
        <w:t>Statistical analysis</w:t>
      </w:r>
      <w:bookmarkEnd w:id="58"/>
    </w:p>
    <w:p w14:paraId="6EE30371" w14:textId="01C9BBD6" w:rsidR="00F026E8" w:rsidRPr="00FE7622" w:rsidRDefault="00F026E8" w:rsidP="00D339F7">
      <w:pPr>
        <w:pStyle w:val="602TextfoTextstylesTextstyles"/>
        <w:rPr>
          <w:color w:val="auto"/>
        </w:rPr>
      </w:pPr>
      <w:r w:rsidRPr="00FE7622">
        <w:rPr>
          <w:color w:val="auto"/>
        </w:rPr>
        <w:t xml:space="preserve">A prespecified </w:t>
      </w:r>
      <w:r w:rsidR="00D00CA4" w:rsidRPr="00FE7622">
        <w:rPr>
          <w:color w:val="auto"/>
        </w:rPr>
        <w:t xml:space="preserve">Statistical Analysis Plan </w:t>
      </w:r>
      <w:r w:rsidRPr="00FE7622">
        <w:rPr>
          <w:color w:val="auto"/>
        </w:rPr>
        <w:t xml:space="preserve">was finalised and signed off after review by the </w:t>
      </w:r>
      <w:r w:rsidRPr="00842651">
        <w:rPr>
          <w:color w:val="auto"/>
        </w:rPr>
        <w:t>TMG</w:t>
      </w:r>
      <w:r w:rsidRPr="00FE7622">
        <w:rPr>
          <w:color w:val="auto"/>
        </w:rPr>
        <w:t xml:space="preserve"> and the independent </w:t>
      </w:r>
      <w:r w:rsidRPr="00842651">
        <w:rPr>
          <w:color w:val="auto"/>
        </w:rPr>
        <w:t>TSC</w:t>
      </w:r>
      <w:r w:rsidRPr="00FE7622">
        <w:rPr>
          <w:color w:val="auto"/>
        </w:rPr>
        <w:t xml:space="preserve"> </w:t>
      </w:r>
      <w:r w:rsidR="00C74F93" w:rsidRPr="00FE7622">
        <w:rPr>
          <w:color w:val="auto"/>
        </w:rPr>
        <w:t xml:space="preserve">and </w:t>
      </w:r>
      <w:r w:rsidRPr="00FE7622">
        <w:rPr>
          <w:color w:val="auto"/>
        </w:rPr>
        <w:t xml:space="preserve">before the database was locked. The full </w:t>
      </w:r>
      <w:r w:rsidR="00D00CA4" w:rsidRPr="00FE7622">
        <w:rPr>
          <w:color w:val="auto"/>
        </w:rPr>
        <w:t xml:space="preserve">Statistical Analysis Plan </w:t>
      </w:r>
      <w:r w:rsidRPr="00FE7622">
        <w:rPr>
          <w:color w:val="auto"/>
        </w:rPr>
        <w:t>can be accessed via the</w:t>
      </w:r>
      <w:r w:rsidR="00626BF3" w:rsidRPr="00FE7622">
        <w:rPr>
          <w:color w:val="auto"/>
        </w:rPr>
        <w:t xml:space="preserve"> </w:t>
      </w:r>
      <w:r w:rsidR="00626BF3" w:rsidRPr="00842651">
        <w:rPr>
          <w:color w:val="auto"/>
        </w:rPr>
        <w:t>NIHR</w:t>
      </w:r>
      <w:r w:rsidRPr="00FE7622">
        <w:rPr>
          <w:color w:val="auto"/>
        </w:rPr>
        <w:t xml:space="preserve"> project web</w:t>
      </w:r>
      <w:r w:rsidR="00F42DA3" w:rsidRPr="00FE7622">
        <w:rPr>
          <w:color w:val="auto"/>
        </w:rPr>
        <w:t xml:space="preserve"> </w:t>
      </w:r>
      <w:r w:rsidRPr="00FE7622">
        <w:rPr>
          <w:color w:val="auto"/>
        </w:rPr>
        <w:t xml:space="preserve">page </w:t>
      </w:r>
      <w:r w:rsidR="007B1755" w:rsidRPr="00FE7622">
        <w:rPr>
          <w:color w:val="auto"/>
        </w:rPr>
        <w:t>(</w:t>
      </w:r>
      <w:r w:rsidR="00E038BF" w:rsidRPr="00E038BF">
        <w:rPr>
          <w:color w:val="FF00FF"/>
          <w:sz w:val="24"/>
        </w:rPr>
        <w:t>[9]</w:t>
      </w:r>
      <w:commentRangeStart w:id="59"/>
      <w:r w:rsidR="007B1755" w:rsidRPr="00FE7622">
        <w:rPr>
          <w:color w:val="auto"/>
        </w:rPr>
        <w:t xml:space="preserve">URL: www.journalslibrary.nihr.ac.uk/programmes/eme/135303/#/; accessed </w:t>
      </w:r>
      <w:r w:rsidR="00DC6663" w:rsidRPr="00FE7622">
        <w:rPr>
          <w:color w:val="auto"/>
        </w:rPr>
        <w:t>17 January 2022</w:t>
      </w:r>
      <w:commentRangeEnd w:id="59"/>
      <w:r w:rsidR="00DC6663" w:rsidRPr="00FE7622">
        <w:rPr>
          <w:rStyle w:val="CommentReference"/>
          <w:rFonts w:ascii="Times New Roman" w:hAnsi="Times New Roman" w:cs="Times New Roman"/>
          <w:color w:val="auto"/>
          <w:lang w:val="en-US"/>
        </w:rPr>
        <w:commentReference w:id="59"/>
      </w:r>
      <w:r w:rsidR="007B1755" w:rsidRPr="00FE7622">
        <w:rPr>
          <w:color w:val="auto"/>
        </w:rPr>
        <w:t>).</w:t>
      </w:r>
      <w:r w:rsidRPr="00FE7622">
        <w:rPr>
          <w:color w:val="auto"/>
        </w:rPr>
        <w:t xml:space="preserve"> A two-sided </w:t>
      </w:r>
      <w:r w:rsidR="00E038BF" w:rsidRPr="00FE7622">
        <w:rPr>
          <w:i/>
          <w:color w:val="auto"/>
        </w:rPr>
        <w:t>p</w:t>
      </w:r>
      <w:r w:rsidR="00332759" w:rsidRPr="00FE7622">
        <w:rPr>
          <w:color w:val="auto"/>
        </w:rPr>
        <w:t>-</w:t>
      </w:r>
      <w:r w:rsidRPr="00FE7622">
        <w:rPr>
          <w:color w:val="auto"/>
        </w:rPr>
        <w:t xml:space="preserve">value of &lt; 0.05 was taken as significant for all analyses, with no adjustment for multiple testing. Analyses were performed using Statistical Analysis System (SAS) v9.4 software (SAS Institute Inc, Cary, NC, USA). </w:t>
      </w:r>
      <w:r w:rsidR="00D008C5" w:rsidRPr="00FE7622">
        <w:rPr>
          <w:color w:val="auto"/>
        </w:rPr>
        <w:t>The u</w:t>
      </w:r>
      <w:r w:rsidRPr="00FE7622">
        <w:rPr>
          <w:color w:val="auto"/>
        </w:rPr>
        <w:t>nmasking of randomisation groups was performed only after the statistical analysis</w:t>
      </w:r>
      <w:r w:rsidR="00AD1099" w:rsidRPr="00FE7622">
        <w:rPr>
          <w:color w:val="auto"/>
        </w:rPr>
        <w:t xml:space="preserve"> was completed</w:t>
      </w:r>
      <w:r w:rsidRPr="00FE7622">
        <w:rPr>
          <w:color w:val="auto"/>
        </w:rPr>
        <w:t>.</w:t>
      </w:r>
    </w:p>
    <w:p w14:paraId="160803B5" w14:textId="54AE227B" w:rsidR="00F026E8" w:rsidRPr="00FE7622" w:rsidRDefault="00F026E8" w:rsidP="00D339F7">
      <w:pPr>
        <w:pStyle w:val="602TextfoTextstylesTextstyles"/>
        <w:rPr>
          <w:color w:val="auto"/>
        </w:rPr>
      </w:pPr>
      <w:r w:rsidRPr="00FE7622">
        <w:rPr>
          <w:color w:val="auto"/>
        </w:rPr>
        <w:t xml:space="preserve">The primary outcome (between-group difference in the </w:t>
      </w:r>
      <w:r w:rsidRPr="00842651">
        <w:rPr>
          <w:color w:val="auto"/>
        </w:rPr>
        <w:t>SPPB</w:t>
      </w:r>
      <w:r w:rsidRPr="00FE7622">
        <w:rPr>
          <w:color w:val="auto"/>
        </w:rPr>
        <w:t xml:space="preserve"> over 12 months) was analysed using repeated measures mixed models, both unadjusted and adjusted for baseline values of the variable under test, age, sex and minimisation variables. </w:t>
      </w:r>
      <w:r w:rsidR="00E038BF" w:rsidRPr="00E038BF">
        <w:rPr>
          <w:color w:val="FF00FF"/>
          <w:sz w:val="24"/>
        </w:rPr>
        <w:t>[10]</w:t>
      </w:r>
      <w:commentRangeStart w:id="60"/>
      <w:r w:rsidRPr="00FE7622">
        <w:rPr>
          <w:color w:val="auto"/>
        </w:rPr>
        <w:t xml:space="preserve">An initial test for treatment interaction was planned, and if </w:t>
      </w:r>
      <w:r w:rsidR="00A96DD9" w:rsidRPr="00FE7622">
        <w:rPr>
          <w:color w:val="auto"/>
        </w:rPr>
        <w:t xml:space="preserve">this interaction was </w:t>
      </w:r>
      <w:r w:rsidRPr="00FE7622">
        <w:rPr>
          <w:color w:val="auto"/>
        </w:rPr>
        <w:t>not significant</w:t>
      </w:r>
      <w:commentRangeEnd w:id="60"/>
      <w:r w:rsidR="00A96DD9" w:rsidRPr="00FE7622">
        <w:rPr>
          <w:rStyle w:val="CommentReference"/>
          <w:rFonts w:ascii="Times New Roman" w:hAnsi="Times New Roman" w:cs="Times New Roman"/>
          <w:color w:val="auto"/>
          <w:lang w:val="en-US"/>
        </w:rPr>
        <w:commentReference w:id="60"/>
      </w:r>
      <w:r w:rsidR="00A96DD9" w:rsidRPr="00FE7622">
        <w:rPr>
          <w:color w:val="auto"/>
        </w:rPr>
        <w:t xml:space="preserve"> then</w:t>
      </w:r>
      <w:r w:rsidRPr="00FE7622">
        <w:rPr>
          <w:color w:val="auto"/>
        </w:rPr>
        <w:t xml:space="preserve"> the main analysis was to proceed using the full power of the factorial design. Prespecified subgroup analyses for the primary outcome were conducted for the following categories: age </w:t>
      </w:r>
      <w:r w:rsidR="001D4880" w:rsidRPr="00FE7622">
        <w:rPr>
          <w:color w:val="auto"/>
        </w:rPr>
        <w:t>≤ </w:t>
      </w:r>
      <w:r w:rsidRPr="00FE7622">
        <w:rPr>
          <w:color w:val="auto"/>
        </w:rPr>
        <w:t xml:space="preserve">80 </w:t>
      </w:r>
      <w:r w:rsidR="006615A4" w:rsidRPr="00FE7622">
        <w:rPr>
          <w:color w:val="auto"/>
        </w:rPr>
        <w:t>compared with</w:t>
      </w:r>
      <w:r w:rsidRPr="00FE7622">
        <w:rPr>
          <w:color w:val="auto"/>
        </w:rPr>
        <w:t xml:space="preserve"> &gt; 80 years, male </w:t>
      </w:r>
      <w:r w:rsidR="006615A4" w:rsidRPr="00FE7622">
        <w:rPr>
          <w:color w:val="auto"/>
        </w:rPr>
        <w:t>compared with</w:t>
      </w:r>
      <w:r w:rsidRPr="00FE7622">
        <w:rPr>
          <w:color w:val="auto"/>
        </w:rPr>
        <w:t xml:space="preserve"> female, and above </w:t>
      </w:r>
      <w:r w:rsidR="006615A4" w:rsidRPr="00FE7622">
        <w:rPr>
          <w:color w:val="auto"/>
        </w:rPr>
        <w:t>compared with</w:t>
      </w:r>
      <w:r w:rsidRPr="00FE7622">
        <w:rPr>
          <w:color w:val="auto"/>
        </w:rPr>
        <w:t xml:space="preserve"> below median total protein intake. In addition, post</w:t>
      </w:r>
      <w:r w:rsidR="0019009E" w:rsidRPr="00FE7622">
        <w:rPr>
          <w:color w:val="auto"/>
        </w:rPr>
        <w:t xml:space="preserve"> </w:t>
      </w:r>
      <w:r w:rsidRPr="00FE7622">
        <w:rPr>
          <w:color w:val="auto"/>
        </w:rPr>
        <w:t xml:space="preserve">hoc exploratory analyses were conducted comparing those meeting the </w:t>
      </w:r>
      <w:r w:rsidRPr="00842651">
        <w:rPr>
          <w:color w:val="auto"/>
        </w:rPr>
        <w:t>EWGSOP</w:t>
      </w:r>
      <w:r w:rsidRPr="00FE7622">
        <w:rPr>
          <w:color w:val="auto"/>
        </w:rPr>
        <w:t xml:space="preserve"> 2019 criteria for confirmed sarcopenia with those </w:t>
      </w:r>
      <w:r w:rsidR="0019009E" w:rsidRPr="00FE7622">
        <w:rPr>
          <w:color w:val="auto"/>
        </w:rPr>
        <w:t>who</w:t>
      </w:r>
      <w:r w:rsidRPr="00FE7622">
        <w:rPr>
          <w:color w:val="auto"/>
        </w:rPr>
        <w:t xml:space="preserve"> did not meet the criteria and examining the effect of including adherence to perindopril or leucine as a continuous variable in the mixed models.</w:t>
      </w:r>
    </w:p>
    <w:p w14:paraId="4C8301C2" w14:textId="77777777" w:rsidR="00F026E8" w:rsidRPr="00FE7622" w:rsidRDefault="00F026E8" w:rsidP="00D339F7">
      <w:pPr>
        <w:pStyle w:val="602TextfoTextstylesTextstyles"/>
        <w:rPr>
          <w:color w:val="auto"/>
        </w:rPr>
      </w:pPr>
      <w:r w:rsidRPr="00FE7622">
        <w:rPr>
          <w:color w:val="auto"/>
        </w:rPr>
        <w:t>Secondary outcomes were analysed using repeated measures models as above, adjusted for baseline values, age, sex and minimisation variables as above.</w:t>
      </w:r>
    </w:p>
    <w:p w14:paraId="079909E5" w14:textId="0C23127D" w:rsidR="00E038BF" w:rsidRPr="00FE7622" w:rsidRDefault="00E038BF" w:rsidP="00D339F7">
      <w:pPr>
        <w:pStyle w:val="52AheadHeadingsHeadingstyles"/>
      </w:pPr>
      <w:bookmarkStart w:id="61" w:name="_Toc79684508"/>
      <w:r w:rsidRPr="00FE7622">
        <w:t>Review of existing trial evidence: systematic review methods</w:t>
      </w:r>
      <w:bookmarkEnd w:id="61"/>
    </w:p>
    <w:p w14:paraId="151D40E7" w14:textId="3DF2A946" w:rsidR="00E038BF" w:rsidRPr="00FE7622" w:rsidRDefault="00E038BF" w:rsidP="00D339F7">
      <w:pPr>
        <w:pStyle w:val="53BheadHeadingsHeadingstyles"/>
      </w:pPr>
      <w:bookmarkStart w:id="62" w:name="_Toc79684509"/>
      <w:r w:rsidRPr="00FE7622">
        <w:t>Angiotensin-converting enzyme inhibitor/angiotensin receptor blocker systematic review methods</w:t>
      </w:r>
      <w:bookmarkEnd w:id="62"/>
    </w:p>
    <w:p w14:paraId="79F5466B" w14:textId="6195E30D" w:rsidR="00F026E8" w:rsidRPr="00FE7622" w:rsidRDefault="00F026E8" w:rsidP="00D339F7">
      <w:pPr>
        <w:pStyle w:val="602TextfoTextstylesTextstyles"/>
        <w:rPr>
          <w:color w:val="auto"/>
        </w:rPr>
      </w:pPr>
      <w:r w:rsidRPr="00FE7622">
        <w:rPr>
          <w:color w:val="auto"/>
        </w:rPr>
        <w:t>In preparation for this report, we conducted a systematic review</w:t>
      </w:r>
      <w:r w:rsidR="00E038BF" w:rsidRPr="00FE7622">
        <w:rPr>
          <w:color w:val="auto"/>
          <w:vertAlign w:val="superscript"/>
        </w:rPr>
        <w:t>74</w:t>
      </w:r>
      <w:r w:rsidR="00A20690" w:rsidRPr="00FE7622">
        <w:rPr>
          <w:color w:val="auto"/>
        </w:rPr>
        <w:t xml:space="preserve"> </w:t>
      </w:r>
      <w:r w:rsidRPr="00FE7622">
        <w:rPr>
          <w:color w:val="auto"/>
        </w:rPr>
        <w:t xml:space="preserve">of the effect of </w:t>
      </w:r>
      <w:r w:rsidRPr="00842651">
        <w:rPr>
          <w:color w:val="auto"/>
        </w:rPr>
        <w:t>ACEi</w:t>
      </w:r>
      <w:r w:rsidRPr="00FE7622">
        <w:rPr>
          <w:color w:val="auto"/>
        </w:rPr>
        <w:t xml:space="preserve"> or </w:t>
      </w:r>
      <w:r w:rsidRPr="00842651">
        <w:rPr>
          <w:color w:val="auto"/>
        </w:rPr>
        <w:t>ARBs</w:t>
      </w:r>
      <w:r w:rsidRPr="00FE7622">
        <w:rPr>
          <w:color w:val="auto"/>
        </w:rPr>
        <w:t xml:space="preserve"> on physical function. The protocol for the systematic review was registered </w:t>
      </w:r>
      <w:r w:rsidR="00A20690" w:rsidRPr="00FE7622">
        <w:rPr>
          <w:color w:val="auto"/>
        </w:rPr>
        <w:t>i</w:t>
      </w:r>
      <w:r w:rsidRPr="00FE7622">
        <w:rPr>
          <w:color w:val="auto"/>
        </w:rPr>
        <w:t xml:space="preserve">n the PROSPERO database (www.crd.york.ac.uk/prospero/display_record.php?RecordID=13398). We included randomised controlled trials comparing </w:t>
      </w:r>
      <w:r w:rsidRPr="00842651">
        <w:rPr>
          <w:color w:val="auto"/>
        </w:rPr>
        <w:t>ACEi</w:t>
      </w:r>
      <w:r w:rsidRPr="00FE7622">
        <w:rPr>
          <w:color w:val="auto"/>
        </w:rPr>
        <w:t xml:space="preserve"> or </w:t>
      </w:r>
      <w:r w:rsidRPr="00842651">
        <w:rPr>
          <w:color w:val="auto"/>
        </w:rPr>
        <w:t>ARBs</w:t>
      </w:r>
      <w:r w:rsidRPr="00FE7622">
        <w:rPr>
          <w:color w:val="auto"/>
        </w:rPr>
        <w:t xml:space="preserve"> with placebo or another intervention, with a minimum duration of 4 weeks. Co-interventions were permitted as long as the same co-intervention was delivered in both arms. Trials were excluded if they enrolled a trial population with a mean age </w:t>
      </w:r>
      <w:r w:rsidR="0019009E" w:rsidRPr="00FE7622">
        <w:rPr>
          <w:color w:val="auto"/>
        </w:rPr>
        <w:t xml:space="preserve">of </w:t>
      </w:r>
      <w:r w:rsidRPr="00FE7622">
        <w:rPr>
          <w:color w:val="auto"/>
        </w:rPr>
        <w:t>&lt; 60 years, were not performed in humans, or studied a specific disease known to affect muscle function (</w:t>
      </w:r>
      <w:r w:rsidR="00B373C1" w:rsidRPr="00FE7622">
        <w:rPr>
          <w:color w:val="auto"/>
        </w:rPr>
        <w:t>e.g.</w:t>
      </w:r>
      <w:r w:rsidRPr="00FE7622">
        <w:rPr>
          <w:color w:val="auto"/>
        </w:rPr>
        <w:t xml:space="preserve"> heart failure or </w:t>
      </w:r>
      <w:r w:rsidRPr="00842651">
        <w:rPr>
          <w:color w:val="auto"/>
        </w:rPr>
        <w:t>COPD</w:t>
      </w:r>
      <w:r w:rsidRPr="00FE7622">
        <w:rPr>
          <w:color w:val="auto"/>
        </w:rPr>
        <w:t>). Studies of people with hypertension were included. No language restrictions were applied.</w:t>
      </w:r>
    </w:p>
    <w:p w14:paraId="519B6FBB" w14:textId="46AEF065" w:rsidR="00F026E8" w:rsidRPr="00FE7622" w:rsidRDefault="00E038BF" w:rsidP="00D339F7">
      <w:pPr>
        <w:pStyle w:val="602TextfoTextstylesTextstyles"/>
        <w:rPr>
          <w:color w:val="auto"/>
        </w:rPr>
      </w:pPr>
      <w:r w:rsidRPr="00E038BF">
        <w:rPr>
          <w:color w:val="FF00FF"/>
          <w:sz w:val="24"/>
        </w:rPr>
        <w:t>[11]</w:t>
      </w:r>
      <w:commentRangeStart w:id="63"/>
      <w:r w:rsidR="00F026E8" w:rsidRPr="00FE7622">
        <w:rPr>
          <w:color w:val="auto"/>
        </w:rPr>
        <w:t>We searched MEDLINE, EMBASE, CINAHL</w:t>
      </w:r>
      <w:r w:rsidR="00BA090B" w:rsidRPr="00FE7622">
        <w:rPr>
          <w:color w:val="auto"/>
        </w:rPr>
        <w:t xml:space="preserve"> (Cumulative Index to Nursing and Allied Health Literature)</w:t>
      </w:r>
      <w:r w:rsidR="00F026E8" w:rsidRPr="00FE7622">
        <w:rPr>
          <w:color w:val="auto"/>
        </w:rPr>
        <w:t>, NHS e</w:t>
      </w:r>
      <w:r w:rsidR="001F05E3" w:rsidRPr="00FE7622">
        <w:rPr>
          <w:color w:val="auto"/>
        </w:rPr>
        <w:t>L</w:t>
      </w:r>
      <w:r w:rsidR="00F026E8" w:rsidRPr="00FE7622">
        <w:rPr>
          <w:color w:val="auto"/>
        </w:rPr>
        <w:t xml:space="preserve">ibrary, Cochrane Library and ISRCTN.com from inception to </w:t>
      </w:r>
      <w:r w:rsidR="007618E6" w:rsidRPr="00FE7622">
        <w:rPr>
          <w:color w:val="auto"/>
        </w:rPr>
        <w:t xml:space="preserve">the </w:t>
      </w:r>
      <w:r w:rsidR="00F026E8" w:rsidRPr="00FE7622">
        <w:rPr>
          <w:color w:val="auto"/>
        </w:rPr>
        <w:t xml:space="preserve">end of February 2020. </w:t>
      </w:r>
      <w:commentRangeEnd w:id="63"/>
      <w:r w:rsidR="00BB2DC6" w:rsidRPr="00FE7622">
        <w:rPr>
          <w:rStyle w:val="CommentReference"/>
          <w:rFonts w:ascii="Times New Roman" w:hAnsi="Times New Roman" w:cs="Times New Roman"/>
          <w:color w:val="auto"/>
          <w:lang w:val="en-US"/>
        </w:rPr>
        <w:commentReference w:id="63"/>
      </w:r>
      <w:r w:rsidR="00F026E8" w:rsidRPr="00FE7622">
        <w:rPr>
          <w:color w:val="auto"/>
        </w:rPr>
        <w:t xml:space="preserve">Two individuals separately screened all titles, retrieving any abstract </w:t>
      </w:r>
      <w:r w:rsidR="001A0C10" w:rsidRPr="00FE7622">
        <w:rPr>
          <w:color w:val="auto"/>
        </w:rPr>
        <w:t xml:space="preserve">that either screener </w:t>
      </w:r>
      <w:r w:rsidR="00F026E8" w:rsidRPr="00FE7622">
        <w:rPr>
          <w:color w:val="auto"/>
        </w:rPr>
        <w:t xml:space="preserve">deemed relevant. The same process was then applied to selected abstracts to identify full papers for scrutiny. Both screeners read the selected full papers and agreed inclusion. Data were extracted </w:t>
      </w:r>
      <w:r w:rsidR="000C2B72" w:rsidRPr="00FE7622">
        <w:rPr>
          <w:color w:val="auto"/>
        </w:rPr>
        <w:t>i</w:t>
      </w:r>
      <w:r w:rsidR="00F026E8" w:rsidRPr="00FE7622">
        <w:rPr>
          <w:color w:val="auto"/>
        </w:rPr>
        <w:t>nto data pro</w:t>
      </w:r>
      <w:r w:rsidR="00863F0D" w:rsidRPr="00FE7622">
        <w:rPr>
          <w:color w:val="auto"/>
        </w:rPr>
        <w:t xml:space="preserve"> </w:t>
      </w:r>
      <w:r w:rsidR="00F026E8" w:rsidRPr="00FE7622">
        <w:rPr>
          <w:color w:val="auto"/>
        </w:rPr>
        <w:t>formas by two individuals separately, with any differences resolved by consensus. Data on all outcomes relevant to physical performance (strength, functional measures and aerobic or endurance measures) were extracted</w:t>
      </w:r>
      <w:r w:rsidR="00863F0D" w:rsidRPr="00FE7622">
        <w:rPr>
          <w:color w:val="auto"/>
        </w:rPr>
        <w:t>,</w:t>
      </w:r>
      <w:r w:rsidR="00F026E8" w:rsidRPr="00FE7622">
        <w:rPr>
          <w:color w:val="auto"/>
        </w:rPr>
        <w:t xml:space="preserve"> along with baseline details of study size, population, duration, intervention dose and comparator.</w:t>
      </w:r>
    </w:p>
    <w:p w14:paraId="531A3252" w14:textId="6E696BD5" w:rsidR="00F026E8" w:rsidRPr="00FE7622" w:rsidRDefault="00F026E8" w:rsidP="00D339F7">
      <w:pPr>
        <w:pStyle w:val="602TextfoTextstylesTextstyles"/>
        <w:rPr>
          <w:color w:val="auto"/>
        </w:rPr>
      </w:pPr>
      <w:r w:rsidRPr="00FE7622">
        <w:rPr>
          <w:color w:val="auto"/>
        </w:rPr>
        <w:t>Data were entered into RevMan v5.3 (</w:t>
      </w:r>
      <w:r w:rsidR="004E748C" w:rsidRPr="00FE7622">
        <w:rPr>
          <w:color w:val="auto"/>
        </w:rPr>
        <w:t xml:space="preserve">The </w:t>
      </w:r>
      <w:r w:rsidRPr="00FE7622">
        <w:rPr>
          <w:color w:val="auto"/>
        </w:rPr>
        <w:t>Cochrane Collaboration</w:t>
      </w:r>
      <w:r w:rsidR="004E748C" w:rsidRPr="00FE7622">
        <w:rPr>
          <w:color w:val="auto"/>
        </w:rPr>
        <w:t xml:space="preserve">, The Nordic Cochrane Centre, </w:t>
      </w:r>
      <w:r w:rsidR="000F7A77" w:rsidRPr="00FE7622">
        <w:rPr>
          <w:color w:val="auto"/>
        </w:rPr>
        <w:t>Copenhag</w:t>
      </w:r>
      <w:r w:rsidR="002A3DC2">
        <w:rPr>
          <w:color w:val="auto"/>
        </w:rPr>
        <w:t>e</w:t>
      </w:r>
      <w:r w:rsidR="000F7A77" w:rsidRPr="00FE7622">
        <w:rPr>
          <w:color w:val="auto"/>
        </w:rPr>
        <w:t>n, Denmark</w:t>
      </w:r>
      <w:r w:rsidRPr="00FE7622">
        <w:rPr>
          <w:color w:val="auto"/>
        </w:rPr>
        <w:t xml:space="preserve">) for meta-analysis, and quality assessment was conducted using the Cochrane Risk of Bias tool. Where </w:t>
      </w:r>
      <w:r w:rsidR="00B373C1" w:rsidRPr="00842651">
        <w:rPr>
          <w:color w:val="auto"/>
        </w:rPr>
        <w:t>SDs</w:t>
      </w:r>
      <w:r w:rsidRPr="00FE7622">
        <w:rPr>
          <w:color w:val="auto"/>
        </w:rPr>
        <w:t xml:space="preserve"> of change were not available, </w:t>
      </w:r>
      <w:r w:rsidR="00B373C1" w:rsidRPr="00842651">
        <w:rPr>
          <w:color w:val="auto"/>
        </w:rPr>
        <w:t>SDs</w:t>
      </w:r>
      <w:r w:rsidRPr="00FE7622">
        <w:rPr>
          <w:color w:val="auto"/>
        </w:rPr>
        <w:t xml:space="preserve"> were interpolated as the mean of baseline and follow</w:t>
      </w:r>
      <w:r w:rsidR="00B373C1" w:rsidRPr="00FE7622">
        <w:rPr>
          <w:color w:val="auto"/>
        </w:rPr>
        <w:t>-</w:t>
      </w:r>
      <w:r w:rsidRPr="00FE7622">
        <w:rPr>
          <w:color w:val="auto"/>
        </w:rPr>
        <w:t xml:space="preserve">up </w:t>
      </w:r>
      <w:r w:rsidR="000F7A77" w:rsidRPr="00842651">
        <w:rPr>
          <w:color w:val="auto"/>
        </w:rPr>
        <w:t>SDs</w:t>
      </w:r>
      <w:r w:rsidRPr="00FE7622">
        <w:rPr>
          <w:color w:val="auto"/>
        </w:rPr>
        <w:t xml:space="preserve">. </w:t>
      </w:r>
      <w:r w:rsidR="00B373C1" w:rsidRPr="00FE7622">
        <w:rPr>
          <w:color w:val="auto"/>
        </w:rPr>
        <w:t>The r</w:t>
      </w:r>
      <w:r w:rsidRPr="00FE7622">
        <w:rPr>
          <w:color w:val="auto"/>
        </w:rPr>
        <w:t>esults are presented as mean differences with random</w:t>
      </w:r>
      <w:r w:rsidR="00B373C1" w:rsidRPr="00FE7622">
        <w:rPr>
          <w:color w:val="auto"/>
        </w:rPr>
        <w:t>-</w:t>
      </w:r>
      <w:r w:rsidRPr="00FE7622">
        <w:rPr>
          <w:color w:val="auto"/>
        </w:rPr>
        <w:t>effects meta-analysis.</w:t>
      </w:r>
    </w:p>
    <w:p w14:paraId="313ED235" w14:textId="0DA46E03" w:rsidR="00E038BF" w:rsidRPr="00FE7622" w:rsidRDefault="00E038BF" w:rsidP="00D339F7">
      <w:pPr>
        <w:pStyle w:val="52AheadHeadingsHeadingstyles"/>
      </w:pPr>
      <w:bookmarkStart w:id="64" w:name="_Toc79684510"/>
      <w:r w:rsidRPr="00FE7622">
        <w:t>Leucine meta-analysis methods</w:t>
      </w:r>
      <w:bookmarkEnd w:id="64"/>
    </w:p>
    <w:p w14:paraId="16F61CFE" w14:textId="493B5884" w:rsidR="00F026E8" w:rsidRPr="00FE7622" w:rsidRDefault="00B373C1" w:rsidP="00D339F7">
      <w:pPr>
        <w:pStyle w:val="602TextfoTextstylesTextstyles"/>
        <w:rPr>
          <w:color w:val="auto"/>
        </w:rPr>
      </w:pPr>
      <w:r w:rsidRPr="00FE7622">
        <w:rPr>
          <w:color w:val="auto"/>
        </w:rPr>
        <w:t>A</w:t>
      </w:r>
      <w:r w:rsidR="00F026E8" w:rsidRPr="00FE7622">
        <w:rPr>
          <w:color w:val="auto"/>
        </w:rPr>
        <w:t xml:space="preserve"> recent systematic review</w:t>
      </w:r>
      <w:r w:rsidR="00E038BF" w:rsidRPr="00FE7622">
        <w:rPr>
          <w:color w:val="auto"/>
          <w:vertAlign w:val="superscript"/>
        </w:rPr>
        <w:t>75</w:t>
      </w:r>
      <w:r w:rsidR="00F026E8" w:rsidRPr="00FE7622">
        <w:rPr>
          <w:color w:val="auto"/>
        </w:rPr>
        <w:t xml:space="preserve"> examin</w:t>
      </w:r>
      <w:r w:rsidRPr="00FE7622">
        <w:rPr>
          <w:color w:val="auto"/>
        </w:rPr>
        <w:t>ed</w:t>
      </w:r>
      <w:r w:rsidR="00F026E8" w:rsidRPr="00FE7622">
        <w:rPr>
          <w:color w:val="auto"/>
        </w:rPr>
        <w:t xml:space="preserve"> the impact of leucine on physical function. Given how recently this review was published (2019), we did not conduct a separate systematic review for leucine. This review</w:t>
      </w:r>
      <w:r w:rsidR="00E038BF" w:rsidRPr="00FE7622">
        <w:rPr>
          <w:color w:val="auto"/>
          <w:vertAlign w:val="superscript"/>
        </w:rPr>
        <w:t>75</w:t>
      </w:r>
      <w:r w:rsidR="00974EF3" w:rsidRPr="00FE7622">
        <w:rPr>
          <w:color w:val="auto"/>
        </w:rPr>
        <w:t xml:space="preserve"> </w:t>
      </w:r>
      <w:r w:rsidR="00F026E8" w:rsidRPr="00FE7622">
        <w:rPr>
          <w:color w:val="auto"/>
        </w:rPr>
        <w:t xml:space="preserve">included </w:t>
      </w:r>
      <w:r w:rsidRPr="00FE7622">
        <w:rPr>
          <w:color w:val="auto"/>
        </w:rPr>
        <w:t>13</w:t>
      </w:r>
      <w:r w:rsidR="00F026E8" w:rsidRPr="00FE7622">
        <w:rPr>
          <w:color w:val="auto"/>
        </w:rPr>
        <w:t xml:space="preserve"> randomised controlled trials, covering a range of interventions related to leucine</w:t>
      </w:r>
      <w:r w:rsidRPr="00FE7622">
        <w:rPr>
          <w:color w:val="auto"/>
        </w:rPr>
        <w:t>;</w:t>
      </w:r>
      <w:r w:rsidR="00F026E8" w:rsidRPr="00FE7622">
        <w:rPr>
          <w:color w:val="auto"/>
        </w:rPr>
        <w:t xml:space="preserve"> supplementation with bulk protein, essential amino acid mixtures or leucine were all studied. Co-interventions (carnitine, vitamin D, long-chain triglycerides, exercise) were included in some studies.</w:t>
      </w:r>
    </w:p>
    <w:p w14:paraId="7AC3083F" w14:textId="5EEDD430" w:rsidR="00F026E8" w:rsidRPr="00FE7622" w:rsidRDefault="00F026E8" w:rsidP="00D339F7">
      <w:pPr>
        <w:pStyle w:val="602TextfoTextstylesTextstyles"/>
        <w:rPr>
          <w:color w:val="auto"/>
        </w:rPr>
      </w:pPr>
      <w:r w:rsidRPr="00FE7622">
        <w:rPr>
          <w:color w:val="auto"/>
        </w:rPr>
        <w:t xml:space="preserve">To place the results from </w:t>
      </w:r>
      <w:r w:rsidR="00E22719" w:rsidRPr="00FE7622">
        <w:rPr>
          <w:color w:val="auto"/>
        </w:rPr>
        <w:t xml:space="preserve">the </w:t>
      </w:r>
      <w:r w:rsidRPr="00842651">
        <w:rPr>
          <w:color w:val="auto"/>
        </w:rPr>
        <w:t>LACE</w:t>
      </w:r>
      <w:r w:rsidRPr="00FE7622">
        <w:rPr>
          <w:color w:val="auto"/>
        </w:rPr>
        <w:t xml:space="preserve"> </w:t>
      </w:r>
      <w:r w:rsidR="00E22719" w:rsidRPr="00FE7622">
        <w:rPr>
          <w:color w:val="auto"/>
        </w:rPr>
        <w:t xml:space="preserve">trial </w:t>
      </w:r>
      <w:r w:rsidRPr="00FE7622">
        <w:rPr>
          <w:color w:val="auto"/>
        </w:rPr>
        <w:t>in context, data were extracted from the three studies that examined the effect of leucine alone as an intervention (without additional protein, amino acids or other nutritional components). Data were analysed in RevMan v5.3 as described above.</w:t>
      </w:r>
    </w:p>
    <w:p w14:paraId="213D31FE" w14:textId="014EAA8E" w:rsidR="00E038BF" w:rsidRPr="00FE7622" w:rsidRDefault="00E038BF" w:rsidP="00D339F7">
      <w:pPr>
        <w:pStyle w:val="52AheadHeadingsHeadingstyles"/>
      </w:pPr>
      <w:bookmarkStart w:id="65" w:name="_Toc79684511"/>
      <w:r w:rsidRPr="00FE7622">
        <w:t>Analysis of biomarker blood samples and data</w:t>
      </w:r>
      <w:bookmarkEnd w:id="65"/>
    </w:p>
    <w:p w14:paraId="2014CCF3" w14:textId="04DC6233" w:rsidR="00F026E8" w:rsidRPr="00FE7622" w:rsidRDefault="00F026E8" w:rsidP="00D339F7">
      <w:pPr>
        <w:pStyle w:val="602TextfoTextstylesTextstyles"/>
        <w:rPr>
          <w:color w:val="auto"/>
        </w:rPr>
      </w:pPr>
      <w:r w:rsidRPr="00FE7622">
        <w:rPr>
          <w:color w:val="auto"/>
        </w:rPr>
        <w:t>Blood for biomarker studies was collected at the baseline</w:t>
      </w:r>
      <w:r w:rsidR="00B373C1" w:rsidRPr="00FE7622">
        <w:rPr>
          <w:color w:val="auto"/>
        </w:rPr>
        <w:t xml:space="preserve"> and</w:t>
      </w:r>
      <w:r w:rsidRPr="00FE7622">
        <w:rPr>
          <w:color w:val="auto"/>
        </w:rPr>
        <w:t xml:space="preserve"> 3</w:t>
      </w:r>
      <w:r w:rsidR="00B373C1" w:rsidRPr="00FE7622">
        <w:rPr>
          <w:color w:val="auto"/>
        </w:rPr>
        <w:t>-</w:t>
      </w:r>
      <w:r w:rsidRPr="00FE7622">
        <w:rPr>
          <w:color w:val="auto"/>
        </w:rPr>
        <w:t xml:space="preserve"> and 12</w:t>
      </w:r>
      <w:r w:rsidR="00B373C1" w:rsidRPr="00FE7622">
        <w:rPr>
          <w:color w:val="auto"/>
        </w:rPr>
        <w:t>-</w:t>
      </w:r>
      <w:r w:rsidRPr="00FE7622">
        <w:rPr>
          <w:color w:val="auto"/>
        </w:rPr>
        <w:t>month visits as described above.</w:t>
      </w:r>
    </w:p>
    <w:p w14:paraId="59073C86" w14:textId="075BA552" w:rsidR="00F026E8" w:rsidRPr="00FE7622" w:rsidRDefault="00F026E8" w:rsidP="00D339F7">
      <w:pPr>
        <w:pStyle w:val="602TextfoTextstylesTextstyles"/>
        <w:rPr>
          <w:color w:val="auto"/>
        </w:rPr>
      </w:pPr>
      <w:r w:rsidRPr="00FE7622">
        <w:rPr>
          <w:color w:val="auto"/>
        </w:rPr>
        <w:t xml:space="preserve">Protein biomarkers (GDF-15, </w:t>
      </w:r>
      <w:r w:rsidR="0062402F" w:rsidRPr="00FE7622">
        <w:rPr>
          <w:color w:val="auto"/>
        </w:rPr>
        <w:t>r</w:t>
      </w:r>
      <w:r w:rsidRPr="00FE7622">
        <w:rPr>
          <w:color w:val="auto"/>
        </w:rPr>
        <w:t xml:space="preserve">enin, </w:t>
      </w:r>
      <w:r w:rsidRPr="00842651">
        <w:rPr>
          <w:color w:val="auto"/>
        </w:rPr>
        <w:t>IGF-1</w:t>
      </w:r>
      <w:r w:rsidRPr="00FE7622">
        <w:rPr>
          <w:color w:val="auto"/>
        </w:rPr>
        <w:t xml:space="preserve">, TNF-a, </w:t>
      </w:r>
      <w:r w:rsidRPr="00842651">
        <w:rPr>
          <w:color w:val="auto"/>
        </w:rPr>
        <w:t>IL</w:t>
      </w:r>
      <w:r w:rsidRPr="00FE7622">
        <w:rPr>
          <w:color w:val="auto"/>
        </w:rPr>
        <w:t xml:space="preserve">-6, </w:t>
      </w:r>
      <w:r w:rsidR="0062402F" w:rsidRPr="00FE7622">
        <w:rPr>
          <w:color w:val="auto"/>
        </w:rPr>
        <w:t>r</w:t>
      </w:r>
      <w:r w:rsidRPr="00FE7622">
        <w:rPr>
          <w:color w:val="auto"/>
        </w:rPr>
        <w:t xml:space="preserve">esistin, </w:t>
      </w:r>
      <w:r w:rsidR="00B373C1" w:rsidRPr="00FE7622">
        <w:rPr>
          <w:color w:val="auto"/>
        </w:rPr>
        <w:t>l</w:t>
      </w:r>
      <w:r w:rsidRPr="00FE7622">
        <w:rPr>
          <w:color w:val="auto"/>
        </w:rPr>
        <w:t xml:space="preserve">ipocalin-2 and </w:t>
      </w:r>
      <w:r w:rsidRPr="00842651">
        <w:rPr>
          <w:color w:val="auto"/>
        </w:rPr>
        <w:t>IL</w:t>
      </w:r>
      <w:r w:rsidRPr="00FE7622">
        <w:rPr>
          <w:color w:val="auto"/>
        </w:rPr>
        <w:t>-18 binding protein) were quantified in serum using appropriate DuoSet</w:t>
      </w:r>
      <w:r w:rsidR="00E038BF" w:rsidRPr="00FE7622">
        <w:rPr>
          <w:color w:val="auto"/>
          <w:vertAlign w:val="superscript"/>
        </w:rPr>
        <w:t>®</w:t>
      </w:r>
      <w:r w:rsidRPr="00FE7622">
        <w:rPr>
          <w:color w:val="auto"/>
        </w:rPr>
        <w:t xml:space="preserve"> ELISA kits from R</w:t>
      </w:r>
      <w:r w:rsidR="00FC0E3C" w:rsidRPr="00FE7622">
        <w:rPr>
          <w:color w:val="auto"/>
        </w:rPr>
        <w:t>&amp;</w:t>
      </w:r>
      <w:r w:rsidRPr="00FE7622">
        <w:rPr>
          <w:color w:val="auto"/>
        </w:rPr>
        <w:t>D Systems</w:t>
      </w:r>
      <w:r w:rsidR="00FC0E3C" w:rsidRPr="00FE7622">
        <w:rPr>
          <w:color w:val="auto"/>
        </w:rPr>
        <w:t xml:space="preserve"> (Minneapolis, MN, USA)</w:t>
      </w:r>
      <w:r w:rsidRPr="00FE7622">
        <w:rPr>
          <w:color w:val="auto"/>
        </w:rPr>
        <w:t xml:space="preserve"> and analysed on a </w:t>
      </w:r>
      <w:r w:rsidRPr="00FE7622">
        <w:rPr>
          <w:color w:val="FFC000" w:themeColor="accent4"/>
        </w:rPr>
        <w:t>T</w:t>
      </w:r>
      <w:r w:rsidR="001A2E79" w:rsidRPr="00FE7622">
        <w:rPr>
          <w:color w:val="FFC000" w:themeColor="accent4"/>
        </w:rPr>
        <w:t>ecan</w:t>
      </w:r>
      <w:r w:rsidRPr="00FE7622">
        <w:rPr>
          <w:color w:val="auto"/>
        </w:rPr>
        <w:t xml:space="preserve"> Spark</w:t>
      </w:r>
      <w:r w:rsidR="00E038BF" w:rsidRPr="00FE7622">
        <w:rPr>
          <w:color w:val="auto"/>
          <w:vertAlign w:val="superscript"/>
        </w:rPr>
        <w:t>®</w:t>
      </w:r>
      <w:r w:rsidRPr="00FE7622">
        <w:rPr>
          <w:color w:val="auto"/>
        </w:rPr>
        <w:t xml:space="preserve"> </w:t>
      </w:r>
      <w:r w:rsidR="00FC0E3C" w:rsidRPr="00FE7622">
        <w:rPr>
          <w:color w:val="auto"/>
        </w:rPr>
        <w:t>micro</w:t>
      </w:r>
      <w:r w:rsidRPr="00FE7622">
        <w:rPr>
          <w:color w:val="auto"/>
        </w:rPr>
        <w:t>plate reader</w:t>
      </w:r>
      <w:r w:rsidR="001A2E79" w:rsidRPr="00FE7622">
        <w:rPr>
          <w:color w:val="auto"/>
        </w:rPr>
        <w:t xml:space="preserve"> (Tecan Trading AG, </w:t>
      </w:r>
      <w:r w:rsidR="00B15684" w:rsidRPr="00FE7622">
        <w:rPr>
          <w:color w:val="auto"/>
        </w:rPr>
        <w:t xml:space="preserve">Männedorf, </w:t>
      </w:r>
      <w:r w:rsidR="001A2E79" w:rsidRPr="00FE7622">
        <w:rPr>
          <w:color w:val="auto"/>
        </w:rPr>
        <w:t>Switzerland)</w:t>
      </w:r>
      <w:r w:rsidRPr="00FE7622">
        <w:rPr>
          <w:color w:val="auto"/>
        </w:rPr>
        <w:t xml:space="preserve">. ACE </w:t>
      </w:r>
      <w:r w:rsidR="00B9278F" w:rsidRPr="00FE7622">
        <w:rPr>
          <w:color w:val="auto"/>
        </w:rPr>
        <w:t>activity was measured in</w:t>
      </w:r>
      <w:r w:rsidRPr="00FE7622">
        <w:rPr>
          <w:color w:val="auto"/>
        </w:rPr>
        <w:t xml:space="preserve"> serum using a fluorescent assay (Abcam ab239703) at room temperature and analysed on a Molecular Devices Spectra</w:t>
      </w:r>
      <w:r w:rsidR="00A92988" w:rsidRPr="00FE7622">
        <w:rPr>
          <w:color w:val="auto"/>
        </w:rPr>
        <w:t>M</w:t>
      </w:r>
      <w:r w:rsidRPr="00FE7622">
        <w:rPr>
          <w:color w:val="auto"/>
        </w:rPr>
        <w:t>ax</w:t>
      </w:r>
      <w:r w:rsidR="00E038BF" w:rsidRPr="00FE7622">
        <w:rPr>
          <w:color w:val="auto"/>
          <w:vertAlign w:val="superscript"/>
        </w:rPr>
        <w:t>®</w:t>
      </w:r>
      <w:r w:rsidRPr="00FE7622">
        <w:rPr>
          <w:color w:val="auto"/>
        </w:rPr>
        <w:t xml:space="preserve"> </w:t>
      </w:r>
      <w:r w:rsidR="00A92988" w:rsidRPr="00FE7622">
        <w:rPr>
          <w:color w:val="FFC000" w:themeColor="accent4"/>
        </w:rPr>
        <w:t>i</w:t>
      </w:r>
      <w:r w:rsidRPr="00FE7622">
        <w:rPr>
          <w:color w:val="FFC000" w:themeColor="accent4"/>
        </w:rPr>
        <w:t>D3</w:t>
      </w:r>
      <w:r w:rsidR="00A92988" w:rsidRPr="00FE7622">
        <w:rPr>
          <w:color w:val="FFC000" w:themeColor="accent4"/>
        </w:rPr>
        <w:t xml:space="preserve"> Multi-Mode Microplate Reader</w:t>
      </w:r>
      <w:r w:rsidR="00A34BC8" w:rsidRPr="00FE7622">
        <w:rPr>
          <w:color w:val="FFC000" w:themeColor="accent4"/>
        </w:rPr>
        <w:t xml:space="preserve"> (Molecular Devices, </w:t>
      </w:r>
      <w:r w:rsidR="00A34BC8" w:rsidRPr="00FE7622">
        <w:rPr>
          <w:color w:val="auto"/>
        </w:rPr>
        <w:t>LLC</w:t>
      </w:r>
      <w:r w:rsidR="00A34BC8" w:rsidRPr="00FE7622">
        <w:rPr>
          <w:color w:val="FFC000" w:themeColor="accent4"/>
        </w:rPr>
        <w:t xml:space="preserve">, San Jose, </w:t>
      </w:r>
      <w:r w:rsidR="00A34BC8" w:rsidRPr="00FE7622">
        <w:rPr>
          <w:color w:val="auto"/>
        </w:rPr>
        <w:t>CA</w:t>
      </w:r>
      <w:r w:rsidR="00A34BC8" w:rsidRPr="00FE7622">
        <w:rPr>
          <w:color w:val="FFC000" w:themeColor="accent4"/>
        </w:rPr>
        <w:t xml:space="preserve">, </w:t>
      </w:r>
      <w:r w:rsidR="00A34BC8" w:rsidRPr="00FE7622">
        <w:rPr>
          <w:color w:val="auto"/>
        </w:rPr>
        <w:t>USA</w:t>
      </w:r>
      <w:r w:rsidR="00A34BC8" w:rsidRPr="00FE7622">
        <w:rPr>
          <w:color w:val="FFC000" w:themeColor="accent4"/>
        </w:rPr>
        <w:t>)</w:t>
      </w:r>
      <w:r w:rsidRPr="00FE7622">
        <w:rPr>
          <w:color w:val="auto"/>
        </w:rPr>
        <w:t>.</w:t>
      </w:r>
    </w:p>
    <w:p w14:paraId="05A9CE01" w14:textId="6C57A488" w:rsidR="00F026E8" w:rsidRPr="00FE7622" w:rsidRDefault="00F026E8" w:rsidP="00D339F7">
      <w:pPr>
        <w:pStyle w:val="602TextfoTextstylesTextstyles"/>
        <w:rPr>
          <w:color w:val="auto"/>
        </w:rPr>
      </w:pPr>
      <w:r w:rsidRPr="00FE7622">
        <w:rPr>
          <w:color w:val="auto"/>
        </w:rPr>
        <w:t xml:space="preserve">For genotyping, </w:t>
      </w:r>
      <w:r w:rsidR="00A26A2D">
        <w:rPr>
          <w:color w:val="auto"/>
        </w:rPr>
        <w:t>deoxy</w:t>
      </w:r>
      <w:r w:rsidR="00A26A2D" w:rsidRPr="00FE7622">
        <w:rPr>
          <w:color w:val="auto"/>
        </w:rPr>
        <w:t xml:space="preserve">ribonucleic acid </w:t>
      </w:r>
      <w:r w:rsidR="00A26A2D">
        <w:rPr>
          <w:color w:val="auto"/>
        </w:rPr>
        <w:t>(</w:t>
      </w:r>
      <w:r w:rsidRPr="00FE7622">
        <w:rPr>
          <w:color w:val="auto"/>
        </w:rPr>
        <w:t>DNA</w:t>
      </w:r>
      <w:r w:rsidR="00A26A2D">
        <w:rPr>
          <w:color w:val="auto"/>
        </w:rPr>
        <w:t>)</w:t>
      </w:r>
      <w:r w:rsidRPr="00FE7622">
        <w:rPr>
          <w:color w:val="auto"/>
        </w:rPr>
        <w:t xml:space="preserve"> was isolated from blood samples using the QIAamp</w:t>
      </w:r>
      <w:r w:rsidR="00E038BF" w:rsidRPr="00FE7622">
        <w:rPr>
          <w:color w:val="auto"/>
          <w:vertAlign w:val="superscript"/>
        </w:rPr>
        <w:t>®</w:t>
      </w:r>
      <w:r w:rsidRPr="00FE7622">
        <w:rPr>
          <w:color w:val="auto"/>
        </w:rPr>
        <w:t xml:space="preserve"> DNA </w:t>
      </w:r>
      <w:r w:rsidR="00D97D33" w:rsidRPr="00FE7622">
        <w:rPr>
          <w:color w:val="auto"/>
        </w:rPr>
        <w:t>Mini K</w:t>
      </w:r>
      <w:r w:rsidRPr="00FE7622">
        <w:rPr>
          <w:color w:val="auto"/>
        </w:rPr>
        <w:t>it</w:t>
      </w:r>
      <w:r w:rsidR="00D5143D" w:rsidRPr="00FE7622">
        <w:rPr>
          <w:color w:val="auto"/>
        </w:rPr>
        <w:t xml:space="preserve"> (QIAGEN, Manchester, UK)</w:t>
      </w:r>
      <w:r w:rsidRPr="00FE7622">
        <w:rPr>
          <w:color w:val="auto"/>
        </w:rPr>
        <w:t xml:space="preserve">. ACE I/D genotyping was performed as described by Ragat </w:t>
      </w:r>
      <w:r w:rsidR="00E038BF" w:rsidRPr="00FE7622">
        <w:rPr>
          <w:i/>
          <w:iCs/>
          <w:color w:val="auto"/>
        </w:rPr>
        <w:t>et al</w:t>
      </w:r>
      <w:r w:rsidRPr="00FE7622">
        <w:rPr>
          <w:color w:val="auto"/>
        </w:rPr>
        <w:t>.</w:t>
      </w:r>
      <w:r w:rsidR="00E038BF" w:rsidRPr="00FE7622">
        <w:rPr>
          <w:color w:val="auto"/>
          <w:vertAlign w:val="superscript"/>
        </w:rPr>
        <w:t>76</w:t>
      </w:r>
      <w:r w:rsidRPr="00FE7622">
        <w:rPr>
          <w:color w:val="auto"/>
        </w:rPr>
        <w:t xml:space="preserve"> Genotyping for polymorphisms in the activin 1B receptor (rs2854464 and rs10783486) as well as in the </w:t>
      </w:r>
      <w:r w:rsidR="00E038BF" w:rsidRPr="00FE7622">
        <w:rPr>
          <w:i/>
          <w:color w:val="auto"/>
        </w:rPr>
        <w:t>ACTN3</w:t>
      </w:r>
      <w:r w:rsidRPr="00FE7622">
        <w:rPr>
          <w:color w:val="auto"/>
        </w:rPr>
        <w:t xml:space="preserve"> gene (R577X) </w:t>
      </w:r>
      <w:r w:rsidR="00EB6743" w:rsidRPr="00FE7622">
        <w:rPr>
          <w:color w:val="auto"/>
        </w:rPr>
        <w:t>was</w:t>
      </w:r>
      <w:r w:rsidRPr="00FE7622">
        <w:rPr>
          <w:color w:val="auto"/>
        </w:rPr>
        <w:t xml:space="preserve"> determined using the appropriate Taq</w:t>
      </w:r>
      <w:r w:rsidR="00BC2E85" w:rsidRPr="00FE7622">
        <w:rPr>
          <w:color w:val="auto"/>
        </w:rPr>
        <w:t>M</w:t>
      </w:r>
      <w:r w:rsidRPr="00FE7622">
        <w:rPr>
          <w:color w:val="auto"/>
        </w:rPr>
        <w:t>an</w:t>
      </w:r>
      <w:r w:rsidR="00E038BF" w:rsidRPr="00FE7622">
        <w:rPr>
          <w:color w:val="auto"/>
          <w:vertAlign w:val="superscript"/>
        </w:rPr>
        <w:t>®</w:t>
      </w:r>
      <w:r w:rsidRPr="00FE7622">
        <w:rPr>
          <w:color w:val="auto"/>
        </w:rPr>
        <w:t xml:space="preserve"> probes (Life Technologies</w:t>
      </w:r>
      <w:r w:rsidR="00EB6743" w:rsidRPr="00FE7622">
        <w:rPr>
          <w:color w:val="auto"/>
        </w:rPr>
        <w:t>, Thermo</w:t>
      </w:r>
      <w:r w:rsidR="00B50D14" w:rsidRPr="00FE7622">
        <w:rPr>
          <w:color w:val="auto"/>
        </w:rPr>
        <w:t xml:space="preserve"> Fisher Scientific, Waltham, MA, USA</w:t>
      </w:r>
      <w:r w:rsidRPr="00FE7622">
        <w:rPr>
          <w:color w:val="auto"/>
        </w:rPr>
        <w:t>).</w:t>
      </w:r>
    </w:p>
    <w:p w14:paraId="5E50B05D" w14:textId="7E4EA464" w:rsidR="00F026E8" w:rsidRPr="00FE7622" w:rsidRDefault="00F026E8" w:rsidP="00D339F7">
      <w:pPr>
        <w:pStyle w:val="602TextfoTextstylesTextstyles"/>
        <w:rPr>
          <w:color w:val="auto"/>
        </w:rPr>
      </w:pPr>
      <w:r w:rsidRPr="00FE7622">
        <w:rPr>
          <w:color w:val="auto"/>
        </w:rPr>
        <w:t>MicroRNA analysis was performed using whole blood collected in PAXgene</w:t>
      </w:r>
      <w:r w:rsidR="00E038BF" w:rsidRPr="00FE7622">
        <w:rPr>
          <w:color w:val="auto"/>
          <w:vertAlign w:val="superscript"/>
        </w:rPr>
        <w:t>®</w:t>
      </w:r>
      <w:r w:rsidR="0018264D" w:rsidRPr="00FE7622">
        <w:rPr>
          <w:color w:val="auto"/>
        </w:rPr>
        <w:t xml:space="preserve"> Blood </w:t>
      </w:r>
      <w:r w:rsidR="0018264D" w:rsidRPr="00842651">
        <w:rPr>
          <w:color w:val="auto"/>
        </w:rPr>
        <w:t>RNA</w:t>
      </w:r>
      <w:r w:rsidR="0018264D" w:rsidRPr="00FE7622">
        <w:rPr>
          <w:color w:val="auto"/>
        </w:rPr>
        <w:t xml:space="preserve"> Tu</w:t>
      </w:r>
      <w:r w:rsidRPr="00FE7622">
        <w:rPr>
          <w:color w:val="auto"/>
        </w:rPr>
        <w:t>bes</w:t>
      </w:r>
      <w:r w:rsidR="0018264D" w:rsidRPr="00FE7622">
        <w:rPr>
          <w:color w:val="auto"/>
        </w:rPr>
        <w:t xml:space="preserve"> (QIAGEN, Manchester, UK)</w:t>
      </w:r>
      <w:r w:rsidRPr="00FE7622">
        <w:rPr>
          <w:color w:val="auto"/>
        </w:rPr>
        <w:t xml:space="preserve">. The </w:t>
      </w:r>
      <w:r w:rsidRPr="00842651">
        <w:rPr>
          <w:color w:val="auto"/>
        </w:rPr>
        <w:t>RNA</w:t>
      </w:r>
      <w:r w:rsidRPr="00FE7622">
        <w:rPr>
          <w:color w:val="auto"/>
        </w:rPr>
        <w:t xml:space="preserve"> was extracted using the PAXgene </w:t>
      </w:r>
      <w:r w:rsidRPr="00842651">
        <w:rPr>
          <w:color w:val="auto"/>
        </w:rPr>
        <w:t>RNA</w:t>
      </w:r>
      <w:r w:rsidRPr="00FE7622">
        <w:rPr>
          <w:color w:val="auto"/>
        </w:rPr>
        <w:t xml:space="preserve"> </w:t>
      </w:r>
      <w:r w:rsidR="0018264D" w:rsidRPr="00FE7622">
        <w:rPr>
          <w:color w:val="auto"/>
        </w:rPr>
        <w:t>B</w:t>
      </w:r>
      <w:r w:rsidRPr="00FE7622">
        <w:rPr>
          <w:color w:val="auto"/>
        </w:rPr>
        <w:t xml:space="preserve">lood </w:t>
      </w:r>
      <w:r w:rsidR="0018264D" w:rsidRPr="00FE7622">
        <w:rPr>
          <w:color w:val="auto"/>
        </w:rPr>
        <w:t>K</w:t>
      </w:r>
      <w:r w:rsidRPr="00FE7622">
        <w:rPr>
          <w:color w:val="auto"/>
        </w:rPr>
        <w:t>it (</w:t>
      </w:r>
      <w:r w:rsidR="0018264D" w:rsidRPr="00FE7622">
        <w:rPr>
          <w:color w:val="auto"/>
        </w:rPr>
        <w:t>QIAGEN</w:t>
      </w:r>
      <w:r w:rsidRPr="00FE7622">
        <w:rPr>
          <w:color w:val="auto"/>
        </w:rPr>
        <w:t xml:space="preserve">). 50 ng of </w:t>
      </w:r>
      <w:r w:rsidRPr="00842651">
        <w:rPr>
          <w:color w:val="auto"/>
        </w:rPr>
        <w:t>RNA</w:t>
      </w:r>
      <w:r w:rsidRPr="00FE7622">
        <w:rPr>
          <w:color w:val="auto"/>
        </w:rPr>
        <w:t xml:space="preserve"> was reverse transcribed from multiplex reverse transcriptase primers (human pool A v2.1</w:t>
      </w:r>
      <w:r w:rsidR="0018264D" w:rsidRPr="00FE7622">
        <w:rPr>
          <w:color w:val="auto"/>
        </w:rPr>
        <w:t>;</w:t>
      </w:r>
      <w:r w:rsidRPr="00FE7622">
        <w:rPr>
          <w:color w:val="auto"/>
        </w:rPr>
        <w:t xml:space="preserve"> Life Technologies)</w:t>
      </w:r>
      <w:r w:rsidR="0018264D" w:rsidRPr="00FE7622">
        <w:rPr>
          <w:color w:val="auto"/>
        </w:rPr>
        <w:t>,</w:t>
      </w:r>
      <w:r w:rsidRPr="00FE7622">
        <w:rPr>
          <w:color w:val="auto"/>
        </w:rPr>
        <w:t xml:space="preserve"> as previously described.</w:t>
      </w:r>
      <w:r w:rsidR="00E038BF" w:rsidRPr="00FE7622">
        <w:rPr>
          <w:color w:val="auto"/>
          <w:vertAlign w:val="superscript"/>
        </w:rPr>
        <w:t>77</w:t>
      </w:r>
      <w:r w:rsidRPr="00FE7622">
        <w:rPr>
          <w:color w:val="auto"/>
        </w:rPr>
        <w:t xml:space="preserve"> The reverse transcriptase product was pre-amplified for 12 cycles using the </w:t>
      </w:r>
      <w:r w:rsidR="00CC44B3" w:rsidRPr="00FE7622">
        <w:rPr>
          <w:color w:val="auto"/>
        </w:rPr>
        <w:t>M</w:t>
      </w:r>
      <w:r w:rsidRPr="00FE7622">
        <w:rPr>
          <w:color w:val="auto"/>
        </w:rPr>
        <w:t>egaplex</w:t>
      </w:r>
      <w:r w:rsidR="00E038BF" w:rsidRPr="00FE7622">
        <w:rPr>
          <w:color w:val="auto"/>
          <w:vertAlign w:val="superscript"/>
        </w:rPr>
        <w:t>TM</w:t>
      </w:r>
      <w:r w:rsidRPr="00FE7622">
        <w:rPr>
          <w:color w:val="auto"/>
        </w:rPr>
        <w:t xml:space="preserve"> pool A preamplification primers</w:t>
      </w:r>
      <w:r w:rsidR="0018264D" w:rsidRPr="00FE7622">
        <w:rPr>
          <w:color w:val="auto"/>
        </w:rPr>
        <w:t>,</w:t>
      </w:r>
      <w:r w:rsidRPr="00FE7622">
        <w:rPr>
          <w:color w:val="auto"/>
        </w:rPr>
        <w:t xml:space="preserve"> as previously described</w:t>
      </w:r>
      <w:r w:rsidR="0018264D" w:rsidRPr="00FE7622">
        <w:rPr>
          <w:color w:val="auto"/>
        </w:rPr>
        <w:t>,</w:t>
      </w:r>
      <w:r w:rsidR="00E038BF" w:rsidRPr="00FE7622">
        <w:rPr>
          <w:color w:val="auto"/>
          <w:vertAlign w:val="superscript"/>
        </w:rPr>
        <w:t>77</w:t>
      </w:r>
      <w:r w:rsidRPr="00FE7622">
        <w:rPr>
          <w:color w:val="auto"/>
        </w:rPr>
        <w:t xml:space="preserve"> and individual microRNAs</w:t>
      </w:r>
      <w:r w:rsidR="0018264D" w:rsidRPr="00FE7622">
        <w:rPr>
          <w:color w:val="auto"/>
        </w:rPr>
        <w:t xml:space="preserve"> were</w:t>
      </w:r>
      <w:r w:rsidRPr="00FE7622">
        <w:rPr>
          <w:color w:val="auto"/>
        </w:rPr>
        <w:t xml:space="preserve"> measured using the appropriate Taq</w:t>
      </w:r>
      <w:r w:rsidR="00DE2CD8" w:rsidRPr="00FE7622">
        <w:rPr>
          <w:color w:val="auto"/>
        </w:rPr>
        <w:t>M</w:t>
      </w:r>
      <w:r w:rsidRPr="00FE7622">
        <w:rPr>
          <w:color w:val="auto"/>
        </w:rPr>
        <w:t xml:space="preserve">an probe and primer set (Life Technologies). Each reaction was performed in duplicate, and the average threshold cycle value </w:t>
      </w:r>
      <w:r w:rsidR="0018264D" w:rsidRPr="00FE7622">
        <w:rPr>
          <w:color w:val="auto"/>
        </w:rPr>
        <w:t xml:space="preserve">was </w:t>
      </w:r>
      <w:r w:rsidRPr="00FE7622">
        <w:rPr>
          <w:color w:val="auto"/>
        </w:rPr>
        <w:t>normalised to the corresponding geometric mean of U6, and RNU44 using the delta-delta threshold cycle method.</w:t>
      </w:r>
    </w:p>
    <w:p w14:paraId="236B74AE" w14:textId="4CD905AA" w:rsidR="00E038BF" w:rsidRPr="00FE7622" w:rsidRDefault="00E038BF" w:rsidP="00D339F7">
      <w:pPr>
        <w:pStyle w:val="53BheadHeadingsHeadingstyles"/>
      </w:pPr>
      <w:bookmarkStart w:id="66" w:name="_Toc79684512"/>
      <w:r w:rsidRPr="00FE7622">
        <w:t>Calculation of variables and statistical analyses</w:t>
      </w:r>
      <w:bookmarkEnd w:id="66"/>
    </w:p>
    <w:p w14:paraId="5D563CEA" w14:textId="320808D8" w:rsidR="00F026E8" w:rsidRPr="00FE7622" w:rsidRDefault="00F026E8" w:rsidP="00D339F7">
      <w:pPr>
        <w:pStyle w:val="602TextfoTextstylesTextstyles"/>
        <w:rPr>
          <w:color w:val="auto"/>
        </w:rPr>
      </w:pPr>
      <w:r w:rsidRPr="00FE7622">
        <w:rPr>
          <w:color w:val="auto"/>
        </w:rPr>
        <w:t xml:space="preserve">Baseline measures of physical performance and muscle mass measured by both bioimpedance and </w:t>
      </w:r>
      <w:r w:rsidRPr="00842651">
        <w:rPr>
          <w:color w:val="auto"/>
        </w:rPr>
        <w:t>DXA</w:t>
      </w:r>
      <w:r w:rsidRPr="00FE7622">
        <w:rPr>
          <w:color w:val="auto"/>
        </w:rPr>
        <w:t xml:space="preserve"> were determined as described in </w:t>
      </w:r>
      <w:r w:rsidR="00E038BF" w:rsidRPr="00FE7622">
        <w:rPr>
          <w:i/>
          <w:color w:val="auto"/>
        </w:rPr>
        <w:t>Table 2</w:t>
      </w:r>
      <w:r w:rsidRPr="00FE7622">
        <w:rPr>
          <w:color w:val="auto"/>
        </w:rPr>
        <w:t xml:space="preserve"> and earlier in </w:t>
      </w:r>
      <w:r w:rsidR="00E038BF" w:rsidRPr="00FE7622">
        <w:rPr>
          <w:i/>
          <w:iCs/>
          <w:color w:val="auto"/>
        </w:rPr>
        <w:t>Chapter 3</w:t>
      </w:r>
      <w:r w:rsidRPr="00FE7622">
        <w:rPr>
          <w:color w:val="auto"/>
        </w:rPr>
        <w:t>; a more detailed description has been published previously.</w:t>
      </w:r>
      <w:r w:rsidR="00E038BF" w:rsidRPr="00FE7622">
        <w:rPr>
          <w:color w:val="auto"/>
          <w:vertAlign w:val="superscript"/>
        </w:rPr>
        <w:t>78</w:t>
      </w:r>
      <w:r w:rsidRPr="00FE7622">
        <w:rPr>
          <w:color w:val="auto"/>
        </w:rPr>
        <w:t xml:space="preserve"> Changes in quadriceps strength, grip strength and </w:t>
      </w:r>
      <w:r w:rsidR="0031722D" w:rsidRPr="00FE7622">
        <w:rPr>
          <w:color w:val="auto"/>
        </w:rPr>
        <w:t>6</w:t>
      </w:r>
      <w:r w:rsidRPr="00FE7622">
        <w:rPr>
          <w:color w:val="auto"/>
        </w:rPr>
        <w:t xml:space="preserve">-minute walk distance were calculated at 6 and 12 months as proportionate to the baseline value </w:t>
      </w:r>
      <w:r w:rsidR="0031722D" w:rsidRPr="00FE7622">
        <w:rPr>
          <w:color w:val="auto"/>
        </w:rPr>
        <w:t>[</w:t>
      </w:r>
      <w:r w:rsidRPr="00FE7622">
        <w:rPr>
          <w:color w:val="auto"/>
        </w:rPr>
        <w:t>i.e</w:t>
      </w:r>
      <w:r w:rsidR="002A3DC2">
        <w:rPr>
          <w:color w:val="auto"/>
        </w:rPr>
        <w:t>.</w:t>
      </w:r>
      <w:r w:rsidRPr="00FE7622">
        <w:rPr>
          <w:color w:val="auto"/>
        </w:rPr>
        <w:t xml:space="preserve"> </w:t>
      </w:r>
      <w:r w:rsidR="0031722D" w:rsidRPr="00FE7622">
        <w:rPr>
          <w:color w:val="auto"/>
        </w:rPr>
        <w:t>(</w:t>
      </w:r>
      <w:r w:rsidRPr="00FE7622">
        <w:rPr>
          <w:color w:val="auto"/>
        </w:rPr>
        <w:t>mean value at follow-up</w:t>
      </w:r>
      <w:r w:rsidR="0031722D" w:rsidRPr="00FE7622">
        <w:rPr>
          <w:color w:val="auto"/>
        </w:rPr>
        <w:t>)</w:t>
      </w:r>
      <w:r w:rsidRPr="00FE7622">
        <w:rPr>
          <w:color w:val="auto"/>
        </w:rPr>
        <w:t>/</w:t>
      </w:r>
      <w:r w:rsidR="0031722D" w:rsidRPr="00FE7622">
        <w:rPr>
          <w:color w:val="auto"/>
        </w:rPr>
        <w:t>(</w:t>
      </w:r>
      <w:r w:rsidRPr="00FE7622">
        <w:rPr>
          <w:color w:val="auto"/>
        </w:rPr>
        <w:t>mean value at baseline</w:t>
      </w:r>
      <w:r w:rsidR="0031722D" w:rsidRPr="00FE7622">
        <w:rPr>
          <w:color w:val="auto"/>
        </w:rPr>
        <w:t>)</w:t>
      </w:r>
      <w:r w:rsidRPr="00FE7622">
        <w:rPr>
          <w:color w:val="auto"/>
        </w:rPr>
        <w:t xml:space="preserve">]. Change in </w:t>
      </w:r>
      <w:r w:rsidRPr="00842651">
        <w:rPr>
          <w:color w:val="auto"/>
        </w:rPr>
        <w:t>SPPB</w:t>
      </w:r>
      <w:r w:rsidRPr="00FE7622">
        <w:rPr>
          <w:color w:val="auto"/>
        </w:rPr>
        <w:t xml:space="preserve"> was calculated as the difference between the score at baseline and the score at month 6 or month 12. Correlations were performed using </w:t>
      </w:r>
      <w:r w:rsidR="001A018A" w:rsidRPr="00FE7622">
        <w:rPr>
          <w:color w:val="auto"/>
        </w:rPr>
        <w:t xml:space="preserve">the </w:t>
      </w:r>
      <w:r w:rsidRPr="00FE7622">
        <w:rPr>
          <w:color w:val="auto"/>
        </w:rPr>
        <w:t xml:space="preserve">Pearson </w:t>
      </w:r>
      <w:r w:rsidR="001302F4" w:rsidRPr="00FE7622">
        <w:rPr>
          <w:color w:val="auto"/>
        </w:rPr>
        <w:t>c</w:t>
      </w:r>
      <w:r w:rsidRPr="00FE7622">
        <w:rPr>
          <w:color w:val="auto"/>
        </w:rPr>
        <w:t>orrelation in the R package WGCNA and potentially significant values were confirmed in Aabel</w:t>
      </w:r>
      <w:r w:rsidR="00E038BF" w:rsidRPr="00FE7622">
        <w:rPr>
          <w:color w:val="auto"/>
          <w:vertAlign w:val="superscript"/>
        </w:rPr>
        <w:t>TM</w:t>
      </w:r>
      <w:r w:rsidRPr="00FE7622">
        <w:rPr>
          <w:color w:val="auto"/>
        </w:rPr>
        <w:t xml:space="preserve"> 3.0</w:t>
      </w:r>
      <w:r w:rsidR="00FF59C1" w:rsidRPr="00FE7622">
        <w:rPr>
          <w:color w:val="auto"/>
        </w:rPr>
        <w:t xml:space="preserve"> (Gigawiz Software; www.gigawiz.com),</w:t>
      </w:r>
      <w:r w:rsidRPr="00FE7622">
        <w:rPr>
          <w:color w:val="auto"/>
        </w:rPr>
        <w:t xml:space="preserve"> and </w:t>
      </w:r>
      <w:r w:rsidR="00E038BF" w:rsidRPr="00FE7622">
        <w:rPr>
          <w:i/>
          <w:color w:val="auto"/>
        </w:rPr>
        <w:t>p</w:t>
      </w:r>
      <w:r w:rsidR="001302F4" w:rsidRPr="00FE7622">
        <w:rPr>
          <w:color w:val="auto"/>
        </w:rPr>
        <w:t>-</w:t>
      </w:r>
      <w:r w:rsidRPr="00FE7622">
        <w:rPr>
          <w:color w:val="auto"/>
        </w:rPr>
        <w:t>values</w:t>
      </w:r>
      <w:r w:rsidR="001302F4" w:rsidRPr="00FE7622">
        <w:rPr>
          <w:color w:val="auto"/>
        </w:rPr>
        <w:t xml:space="preserve"> were</w:t>
      </w:r>
      <w:r w:rsidRPr="00FE7622">
        <w:rPr>
          <w:color w:val="auto"/>
        </w:rPr>
        <w:t xml:space="preserve"> calculated using a </w:t>
      </w:r>
      <w:r w:rsidR="001302F4" w:rsidRPr="00FE7622">
        <w:rPr>
          <w:color w:val="auto"/>
        </w:rPr>
        <w:t>two-</w:t>
      </w:r>
      <w:r w:rsidRPr="00FE7622">
        <w:rPr>
          <w:color w:val="auto"/>
        </w:rPr>
        <w:t>sided test.</w:t>
      </w:r>
    </w:p>
    <w:p w14:paraId="0E73D3E2" w14:textId="0BE47381" w:rsidR="00E038BF" w:rsidRPr="00FE7622" w:rsidRDefault="00E038BF" w:rsidP="00D339F7">
      <w:pPr>
        <w:pStyle w:val="43ChaptertitleHeadingsHeadingstyles"/>
      </w:pPr>
      <w:bookmarkStart w:id="67" w:name="_Toc79684513"/>
      <w:r w:rsidRPr="00FE7622">
        <w:t>Chapter 4</w:t>
      </w:r>
      <w:r w:rsidRPr="00FE7622">
        <w:t> </w:t>
      </w:r>
      <w:r w:rsidRPr="00FE7622">
        <w:t>Screening and recruitment methods results</w:t>
      </w:r>
      <w:bookmarkEnd w:id="67"/>
    </w:p>
    <w:p w14:paraId="3CBF7581" w14:textId="79481C55" w:rsidR="004A13E6" w:rsidRPr="00FE7622" w:rsidRDefault="00B951F5" w:rsidP="004A13E6">
      <w:pPr>
        <w:pStyle w:val="601TextdropcapTextstylesTextstyles"/>
        <w:rPr>
          <w:iCs/>
          <w:color w:val="auto"/>
        </w:rPr>
      </w:pPr>
      <w:bookmarkStart w:id="68" w:name="_Toc79684514"/>
      <w:r w:rsidRPr="00FE7622">
        <w:rPr>
          <w:iCs/>
          <w:color w:val="FF0000"/>
        </w:rPr>
        <w:t>&lt;&lt;typesetter: copyright credit line 1&gt;&gt;</w:t>
      </w:r>
      <w:r w:rsidR="004A13E6" w:rsidRPr="00FE7622">
        <w:rPr>
          <w:iCs/>
          <w:color w:val="auto"/>
        </w:rPr>
        <w:t xml:space="preserve">Parts of this chapter have been reproduced with permission from Witham </w:t>
      </w:r>
      <w:r w:rsidR="00E038BF" w:rsidRPr="00FE7622">
        <w:rPr>
          <w:i/>
          <w:color w:val="auto"/>
        </w:rPr>
        <w:t>et</w:t>
      </w:r>
      <w:r w:rsidR="004A13E6" w:rsidRPr="00FE7622">
        <w:rPr>
          <w:iCs/>
          <w:color w:val="auto"/>
        </w:rPr>
        <w:t xml:space="preserve"> </w:t>
      </w:r>
      <w:r w:rsidR="00E038BF" w:rsidRPr="00FE7622">
        <w:rPr>
          <w:i/>
          <w:color w:val="auto"/>
        </w:rPr>
        <w:t>al</w:t>
      </w:r>
      <w:r w:rsidR="004A13E6" w:rsidRPr="00FE7622">
        <w:rPr>
          <w:iCs/>
          <w:color w:val="auto"/>
        </w:rPr>
        <w:t>.</w:t>
      </w:r>
      <w:r w:rsidR="00E038BF" w:rsidRPr="00FE7622">
        <w:rPr>
          <w:iCs/>
          <w:color w:val="auto"/>
          <w:vertAlign w:val="superscript"/>
        </w:rPr>
        <w:t>78</w:t>
      </w:r>
      <w:r w:rsidR="004A13E6" w:rsidRPr="00FE7622">
        <w:rPr>
          <w:iCs/>
          <w:color w:val="auto"/>
        </w:rPr>
        <w:t xml:space="preserve"> © 2021 The Authors. </w:t>
      </w:r>
      <w:r w:rsidR="00E038BF" w:rsidRPr="00FE7622">
        <w:rPr>
          <w:i/>
          <w:color w:val="auto"/>
        </w:rPr>
        <w:t>JCSM Rapid Communications</w:t>
      </w:r>
      <w:r w:rsidR="004A13E6" w:rsidRPr="00FE7622">
        <w:rPr>
          <w:iCs/>
          <w:color w:val="auto"/>
        </w:rPr>
        <w:t xml:space="preserve"> published by John Wiley &amp; Sons Ltd on behalf of Society on Sarcopenia, Cachexia and Wasting Disorders. This is an open access article under the terms of the Creative Commons Attribution License, which permits use, distribution and reproduction in any medium, provided the original work is properly cited.</w:t>
      </w:r>
    </w:p>
    <w:bookmarkEnd w:id="68"/>
    <w:p w14:paraId="3865BA26" w14:textId="4A4741FF" w:rsidR="00E038BF" w:rsidRPr="00FE7622" w:rsidRDefault="00E038BF" w:rsidP="00C24EDE">
      <w:pPr>
        <w:pStyle w:val="52AheadHeadingsHeadingstyles"/>
      </w:pPr>
      <w:r w:rsidRPr="00FE7622">
        <w:t>Focus of chapter</w:t>
      </w:r>
    </w:p>
    <w:p w14:paraId="051E7766" w14:textId="27AE584E" w:rsidR="00F026E8" w:rsidRPr="00FE7622" w:rsidRDefault="00F026E8" w:rsidP="00C24EDE">
      <w:pPr>
        <w:pStyle w:val="602TextfoTextstylesTextstyles"/>
        <w:rPr>
          <w:color w:val="auto"/>
        </w:rPr>
      </w:pPr>
      <w:r w:rsidRPr="00FE7622">
        <w:rPr>
          <w:color w:val="auto"/>
        </w:rPr>
        <w:t>Recruitment to trials for older people</w:t>
      </w:r>
      <w:r w:rsidR="001302F4" w:rsidRPr="00FE7622">
        <w:rPr>
          <w:color w:val="auto"/>
        </w:rPr>
        <w:t>,</w:t>
      </w:r>
      <w:r w:rsidRPr="00FE7622">
        <w:rPr>
          <w:color w:val="auto"/>
        </w:rPr>
        <w:t xml:space="preserve"> including trials for sarcopenia</w:t>
      </w:r>
      <w:r w:rsidR="001302F4" w:rsidRPr="00FE7622">
        <w:rPr>
          <w:color w:val="auto"/>
        </w:rPr>
        <w:t>,</w:t>
      </w:r>
      <w:r w:rsidRPr="00FE7622">
        <w:rPr>
          <w:color w:val="auto"/>
        </w:rPr>
        <w:t xml:space="preserve"> is challenging. Sarcopenia is rarely sought in clinical practice; muscle strength and muscle mass are not measured or recorded in clinical notes. Finding participants with sarcopenia may</w:t>
      </w:r>
      <w:r w:rsidR="001302F4" w:rsidRPr="00FE7622">
        <w:rPr>
          <w:color w:val="auto"/>
        </w:rPr>
        <w:t>,</w:t>
      </w:r>
      <w:r w:rsidRPr="00FE7622">
        <w:rPr>
          <w:color w:val="auto"/>
        </w:rPr>
        <w:t xml:space="preserve"> therefore</w:t>
      </w:r>
      <w:r w:rsidR="001302F4" w:rsidRPr="00FE7622">
        <w:rPr>
          <w:color w:val="auto"/>
        </w:rPr>
        <w:t>,</w:t>
      </w:r>
      <w:r w:rsidRPr="00FE7622">
        <w:rPr>
          <w:color w:val="auto"/>
        </w:rPr>
        <w:t xml:space="preserve"> require muscle mass and strength to be measured on large numbers of potential participants at the screening stage with high screen failure rates. The screening and recruitment process developed in the </w:t>
      </w:r>
      <w:r w:rsidRPr="00842651">
        <w:rPr>
          <w:color w:val="auto"/>
        </w:rPr>
        <w:t>LACE</w:t>
      </w:r>
      <w:r w:rsidRPr="00FE7622">
        <w:rPr>
          <w:color w:val="auto"/>
        </w:rPr>
        <w:t xml:space="preserve"> trial sought to use a diverse range of recruitment pathways (primary and secondary care), sought to use a simple questionnaire at the pre-screening stage to enrich the potentially eligible population invited to screening visits, and sought to use a rapid, portable and simple measure of muscle mass (bioimpedance) at screening to reduce the need to conduct </w:t>
      </w:r>
      <w:r w:rsidRPr="00842651">
        <w:rPr>
          <w:color w:val="auto"/>
        </w:rPr>
        <w:t>DXA</w:t>
      </w:r>
      <w:r w:rsidRPr="00FE7622">
        <w:rPr>
          <w:color w:val="auto"/>
        </w:rPr>
        <w:t xml:space="preserve"> scans on large numbers of potential participants. This chapter presents an analysis of four different aspects of the screening and recruitment process outlined in </w:t>
      </w:r>
      <w:r w:rsidR="00E038BF" w:rsidRPr="00FE7622">
        <w:rPr>
          <w:i/>
          <w:iCs/>
          <w:color w:val="auto"/>
        </w:rPr>
        <w:t>Chapters 2</w:t>
      </w:r>
      <w:r w:rsidRPr="00FE7622">
        <w:rPr>
          <w:color w:val="auto"/>
        </w:rPr>
        <w:t xml:space="preserve"> and </w:t>
      </w:r>
      <w:r w:rsidR="00E038BF" w:rsidRPr="00FE7622">
        <w:rPr>
          <w:i/>
          <w:iCs/>
          <w:color w:val="auto"/>
        </w:rPr>
        <w:t>3</w:t>
      </w:r>
      <w:r w:rsidRPr="00FE7622">
        <w:rPr>
          <w:color w:val="auto"/>
        </w:rPr>
        <w:t xml:space="preserve"> to assess the performance of the recruitment process and hence to improve the recruitment process for future sarcopenia trials.</w:t>
      </w:r>
      <w:r w:rsidR="00E038BF" w:rsidRPr="00FE7622">
        <w:rPr>
          <w:color w:val="auto"/>
          <w:vertAlign w:val="superscript"/>
        </w:rPr>
        <w:t>78</w:t>
      </w:r>
      <w:r w:rsidRPr="00FE7622">
        <w:rPr>
          <w:color w:val="auto"/>
        </w:rPr>
        <w:t xml:space="preserve"> The four areas examined were:</w:t>
      </w:r>
    </w:p>
    <w:p w14:paraId="7CD72552" w14:textId="599596CE" w:rsidR="00F026E8" w:rsidRPr="00FE7622" w:rsidRDefault="00FB2FDA" w:rsidP="00C24EDE">
      <w:pPr>
        <w:pStyle w:val="621TextnumberedlistTextstylesTextstyles"/>
        <w:rPr>
          <w:color w:val="auto"/>
        </w:rPr>
      </w:pPr>
      <w:r w:rsidRPr="00FE7622">
        <w:rPr>
          <w:color w:val="auto"/>
        </w:rPr>
        <w:t>a</w:t>
      </w:r>
      <w:r w:rsidR="00F026E8" w:rsidRPr="00FE7622">
        <w:rPr>
          <w:color w:val="auto"/>
        </w:rPr>
        <w:t xml:space="preserve"> comparison of the efficiency and effectiveness of primary care </w:t>
      </w:r>
      <w:r w:rsidRPr="00FE7622">
        <w:rPr>
          <w:color w:val="auto"/>
        </w:rPr>
        <w:t>and</w:t>
      </w:r>
      <w:r w:rsidR="00F026E8" w:rsidRPr="00FE7622">
        <w:rPr>
          <w:color w:val="auto"/>
        </w:rPr>
        <w:t xml:space="preserve"> hospital-based care recruitment pathways</w:t>
      </w:r>
    </w:p>
    <w:p w14:paraId="64BFAD81" w14:textId="5AC74223" w:rsidR="00F026E8" w:rsidRPr="00FE7622" w:rsidRDefault="00FB2FDA" w:rsidP="00C24EDE">
      <w:pPr>
        <w:pStyle w:val="621TextnumberedlistTextstylesTextstyles"/>
        <w:rPr>
          <w:color w:val="auto"/>
        </w:rPr>
      </w:pPr>
      <w:r w:rsidRPr="00FE7622">
        <w:rPr>
          <w:color w:val="auto"/>
        </w:rPr>
        <w:t>a</w:t>
      </w:r>
      <w:r w:rsidR="00F026E8" w:rsidRPr="00FE7622">
        <w:rPr>
          <w:color w:val="auto"/>
        </w:rPr>
        <w:t xml:space="preserve"> comparison of central trial unit </w:t>
      </w:r>
      <w:r w:rsidRPr="00FE7622">
        <w:rPr>
          <w:color w:val="auto"/>
        </w:rPr>
        <w:t>and</w:t>
      </w:r>
      <w:r w:rsidR="00F026E8" w:rsidRPr="00FE7622">
        <w:rPr>
          <w:color w:val="auto"/>
        </w:rPr>
        <w:t xml:space="preserve"> local research team telephone prescreening</w:t>
      </w:r>
    </w:p>
    <w:p w14:paraId="28700B4D" w14:textId="294128BC" w:rsidR="00F026E8" w:rsidRPr="00FE7622" w:rsidRDefault="00FB2FDA" w:rsidP="00C24EDE">
      <w:pPr>
        <w:pStyle w:val="621TextnumberedlistTextstylesTextstyles"/>
        <w:rPr>
          <w:color w:val="auto"/>
        </w:rPr>
      </w:pPr>
      <w:r w:rsidRPr="00FE7622">
        <w:rPr>
          <w:color w:val="auto"/>
        </w:rPr>
        <w:t>t</w:t>
      </w:r>
      <w:r w:rsidR="00F026E8" w:rsidRPr="00FE7622">
        <w:rPr>
          <w:color w:val="auto"/>
        </w:rPr>
        <w:t>he performance of a simple telephone physical function questionnaire (</w:t>
      </w:r>
      <w:r w:rsidR="00F026E8" w:rsidRPr="00842651">
        <w:rPr>
          <w:color w:val="auto"/>
        </w:rPr>
        <w:t>SARC-F</w:t>
      </w:r>
      <w:r w:rsidR="00F026E8" w:rsidRPr="00FE7622">
        <w:rPr>
          <w:color w:val="auto"/>
        </w:rPr>
        <w:t>) as part of the prescreening process</w:t>
      </w:r>
    </w:p>
    <w:p w14:paraId="6D6E4FDA" w14:textId="03EBCFFF" w:rsidR="00F026E8" w:rsidRPr="00FE7622" w:rsidRDefault="00FB2FDA" w:rsidP="00C24EDE">
      <w:pPr>
        <w:pStyle w:val="6211TextnumberedlistlastTextstylesTextstyles"/>
        <w:rPr>
          <w:color w:val="auto"/>
        </w:rPr>
      </w:pPr>
      <w:r w:rsidRPr="00FE7622">
        <w:rPr>
          <w:color w:val="auto"/>
        </w:rPr>
        <w:t>a</w:t>
      </w:r>
      <w:r w:rsidR="00F026E8" w:rsidRPr="00FE7622">
        <w:rPr>
          <w:color w:val="auto"/>
        </w:rPr>
        <w:t xml:space="preserve">n analysis of the ability of bioimpedance measurements at the screening visit to identify a study population with low muscle mass measured by </w:t>
      </w:r>
      <w:r w:rsidR="00F026E8" w:rsidRPr="00842651">
        <w:rPr>
          <w:color w:val="auto"/>
        </w:rPr>
        <w:t>DXA</w:t>
      </w:r>
      <w:r w:rsidR="00F026E8" w:rsidRPr="00FE7622">
        <w:rPr>
          <w:color w:val="auto"/>
        </w:rPr>
        <w:t>.</w:t>
      </w:r>
    </w:p>
    <w:p w14:paraId="3E44DD18" w14:textId="2ABBB0A0" w:rsidR="00E038BF" w:rsidRPr="00FE7622" w:rsidRDefault="00E038BF" w:rsidP="00A471D6">
      <w:pPr>
        <w:pStyle w:val="52AheadHeadingsHeadingstyles"/>
      </w:pPr>
      <w:bookmarkStart w:id="69" w:name="_Toc79684515"/>
      <w:r w:rsidRPr="00FE7622">
        <w:t>Recruitment</w:t>
      </w:r>
      <w:bookmarkEnd w:id="69"/>
    </w:p>
    <w:p w14:paraId="0E0D0BED" w14:textId="59B099DA" w:rsidR="00F026E8" w:rsidRPr="00FE7622" w:rsidRDefault="00F026E8" w:rsidP="00A471D6">
      <w:pPr>
        <w:pStyle w:val="602TextfoTextstylesTextstyles"/>
        <w:rPr>
          <w:color w:val="auto"/>
        </w:rPr>
      </w:pPr>
      <w:r w:rsidRPr="00FE7622">
        <w:rPr>
          <w:color w:val="auto"/>
        </w:rPr>
        <w:t xml:space="preserve">A total of 320 participants attended a screening visit and 145 participants were randomised into the trial between June 2016 and December 2018, </w:t>
      </w:r>
      <w:r w:rsidR="00CA4AD8" w:rsidRPr="00FE7622">
        <w:rPr>
          <w:color w:val="auto"/>
        </w:rPr>
        <w:t>at which time</w:t>
      </w:r>
      <w:r w:rsidR="004135DB" w:rsidRPr="00FE7622">
        <w:rPr>
          <w:color w:val="auto"/>
        </w:rPr>
        <w:t xml:space="preserve"> the funder closed</w:t>
      </w:r>
      <w:r w:rsidRPr="00FE7622">
        <w:rPr>
          <w:color w:val="auto"/>
        </w:rPr>
        <w:t xml:space="preserve"> entry to the trial </w:t>
      </w:r>
      <w:r w:rsidR="004135DB" w:rsidRPr="00FE7622">
        <w:rPr>
          <w:color w:val="auto"/>
        </w:rPr>
        <w:t>owing</w:t>
      </w:r>
      <w:r w:rsidRPr="00FE7622">
        <w:rPr>
          <w:color w:val="auto"/>
        </w:rPr>
        <w:t xml:space="preserve"> to slow recruitment. </w:t>
      </w:r>
      <w:r w:rsidR="00E038BF" w:rsidRPr="00FE7622">
        <w:rPr>
          <w:i/>
          <w:iCs/>
          <w:color w:val="auto"/>
        </w:rPr>
        <w:t>Appendix 1</w:t>
      </w:r>
      <w:r w:rsidRPr="00FE7622">
        <w:rPr>
          <w:color w:val="auto"/>
        </w:rPr>
        <w:t xml:space="preserve">, </w:t>
      </w:r>
      <w:r w:rsidR="00E038BF" w:rsidRPr="00FE7622">
        <w:rPr>
          <w:i/>
          <w:color w:val="auto"/>
        </w:rPr>
        <w:t>Table 20</w:t>
      </w:r>
      <w:r w:rsidR="001302F4" w:rsidRPr="00FE7622">
        <w:rPr>
          <w:color w:val="auto"/>
        </w:rPr>
        <w:t xml:space="preserve">, </w:t>
      </w:r>
      <w:r w:rsidRPr="00FE7622">
        <w:rPr>
          <w:color w:val="auto"/>
        </w:rPr>
        <w:t xml:space="preserve">shows recruitment by site, and </w:t>
      </w:r>
      <w:r w:rsidR="00E038BF" w:rsidRPr="00FE7622">
        <w:rPr>
          <w:i/>
          <w:iCs/>
          <w:color w:val="auto"/>
        </w:rPr>
        <w:t>Appendix 2</w:t>
      </w:r>
      <w:r w:rsidR="004135DB" w:rsidRPr="00FE7622">
        <w:rPr>
          <w:color w:val="auto"/>
        </w:rPr>
        <w:t xml:space="preserve">, </w:t>
      </w:r>
      <w:r w:rsidR="00E038BF" w:rsidRPr="00FE7622">
        <w:rPr>
          <w:i/>
          <w:color w:val="auto"/>
        </w:rPr>
        <w:t>Figure 23</w:t>
      </w:r>
      <w:r w:rsidR="004135DB" w:rsidRPr="00FE7622">
        <w:rPr>
          <w:iCs/>
          <w:color w:val="auto"/>
        </w:rPr>
        <w:t xml:space="preserve">, shows </w:t>
      </w:r>
      <w:r w:rsidRPr="00FE7622">
        <w:rPr>
          <w:iCs/>
          <w:color w:val="auto"/>
        </w:rPr>
        <w:t>cumulative</w:t>
      </w:r>
      <w:r w:rsidRPr="00FE7622">
        <w:rPr>
          <w:color w:val="auto"/>
        </w:rPr>
        <w:t xml:space="preserve"> recruitment per month throughout the trial recruitment phase.</w:t>
      </w:r>
    </w:p>
    <w:p w14:paraId="0970037B" w14:textId="622FEFEC" w:rsidR="00E038BF" w:rsidRPr="00FE7622" w:rsidRDefault="00E038BF" w:rsidP="00A471D6">
      <w:pPr>
        <w:pStyle w:val="52AheadHeadingsHeadingstyles"/>
      </w:pPr>
      <w:bookmarkStart w:id="70" w:name="_Toc79684516"/>
      <w:r w:rsidRPr="00FE7622">
        <w:t>Results</w:t>
      </w:r>
      <w:bookmarkEnd w:id="70"/>
    </w:p>
    <w:p w14:paraId="294236B0" w14:textId="1C16E820" w:rsidR="00E038BF" w:rsidRPr="00FE7622" w:rsidRDefault="00E038BF" w:rsidP="00A471D6">
      <w:pPr>
        <w:pStyle w:val="53BheadHeadingsHeadingstyles"/>
      </w:pPr>
      <w:bookmarkStart w:id="71" w:name="_Toc79684517"/>
      <w:r w:rsidRPr="00FE7622">
        <w:t>Primary compared with secondary care screening yield</w:t>
      </w:r>
      <w:bookmarkEnd w:id="71"/>
    </w:p>
    <w:p w14:paraId="2CBA6071" w14:textId="670B22CD" w:rsidR="00F026E8" w:rsidRPr="00FE7622" w:rsidRDefault="00E038BF" w:rsidP="00A471D6">
      <w:pPr>
        <w:pStyle w:val="602TextfoTextstylesTextstyles"/>
        <w:rPr>
          <w:color w:val="auto"/>
        </w:rPr>
      </w:pPr>
      <w:r w:rsidRPr="00FE7622">
        <w:rPr>
          <w:i/>
          <w:color w:val="FF0000"/>
        </w:rPr>
        <w:t>Figure 3</w:t>
      </w:r>
      <w:r w:rsidR="00F026E8" w:rsidRPr="00FE7622">
        <w:rPr>
          <w:color w:val="auto"/>
        </w:rPr>
        <w:t xml:space="preserve"> shows a comparison of participant flow through the primary care and hospital-based screening pathways. The proportion of participants randomised </w:t>
      </w:r>
      <w:r w:rsidR="007C4C71" w:rsidRPr="00FE7622">
        <w:rPr>
          <w:color w:val="auto"/>
        </w:rPr>
        <w:t>of</w:t>
      </w:r>
      <w:r w:rsidR="00F026E8" w:rsidRPr="00FE7622">
        <w:rPr>
          <w:color w:val="auto"/>
        </w:rPr>
        <w:t xml:space="preserve"> those approached was not significantly higher in primary care than in hospital-based care </w:t>
      </w:r>
      <w:r w:rsidR="00694BD2" w:rsidRPr="00FE7622">
        <w:rPr>
          <w:color w:val="auto"/>
        </w:rPr>
        <w:t>[</w:t>
      </w:r>
      <w:r w:rsidR="00F026E8" w:rsidRPr="00FE7622">
        <w:rPr>
          <w:color w:val="auto"/>
        </w:rPr>
        <w:t>138/13</w:t>
      </w:r>
      <w:r w:rsidR="00480B8C" w:rsidRPr="00FE7622">
        <w:rPr>
          <w:color w:val="auto"/>
        </w:rPr>
        <w:t>,</w:t>
      </w:r>
      <w:r w:rsidR="00F026E8" w:rsidRPr="00FE7622">
        <w:rPr>
          <w:color w:val="auto"/>
        </w:rPr>
        <w:t xml:space="preserve">808 </w:t>
      </w:r>
      <w:r w:rsidR="00694BD2" w:rsidRPr="00FE7622">
        <w:rPr>
          <w:color w:val="auto"/>
        </w:rPr>
        <w:t>(</w:t>
      </w:r>
      <w:r w:rsidR="00F026E8" w:rsidRPr="00FE7622">
        <w:rPr>
          <w:color w:val="auto"/>
        </w:rPr>
        <w:t>1.0%</w:t>
      </w:r>
      <w:r w:rsidR="00694BD2" w:rsidRPr="00FE7622">
        <w:rPr>
          <w:color w:val="auto"/>
        </w:rPr>
        <w:t>)</w:t>
      </w:r>
      <w:r w:rsidR="00F026E8" w:rsidRPr="00FE7622">
        <w:rPr>
          <w:color w:val="auto"/>
        </w:rPr>
        <w:t xml:space="preserve"> vs</w:t>
      </w:r>
      <w:r w:rsidR="00480B8C" w:rsidRPr="00FE7622">
        <w:rPr>
          <w:color w:val="auto"/>
        </w:rPr>
        <w:t>.</w:t>
      </w:r>
      <w:r w:rsidR="00F026E8" w:rsidRPr="00FE7622">
        <w:rPr>
          <w:color w:val="auto"/>
        </w:rPr>
        <w:t xml:space="preserve"> 7/1202 </w:t>
      </w:r>
      <w:r w:rsidR="00694BD2" w:rsidRPr="00FE7622">
        <w:rPr>
          <w:color w:val="auto"/>
        </w:rPr>
        <w:t>(</w:t>
      </w:r>
      <w:r w:rsidR="00F026E8" w:rsidRPr="00FE7622">
        <w:rPr>
          <w:color w:val="auto"/>
        </w:rPr>
        <w:t>0.6%</w:t>
      </w:r>
      <w:r w:rsidR="00694BD2" w:rsidRPr="00FE7622">
        <w:rPr>
          <w:color w:val="auto"/>
        </w:rPr>
        <w:t>)</w:t>
      </w:r>
      <w:r w:rsidR="00F026E8" w:rsidRPr="00FE7622">
        <w:rPr>
          <w:color w:val="auto"/>
        </w:rPr>
        <w:t xml:space="preserve">; </w:t>
      </w:r>
      <w:r w:rsidRPr="00FE7622">
        <w:rPr>
          <w:i/>
          <w:color w:val="auto"/>
        </w:rPr>
        <w:t>p</w:t>
      </w:r>
      <w:r w:rsidR="00A471D6" w:rsidRPr="00FE7622">
        <w:rPr>
          <w:color w:val="auto"/>
        </w:rPr>
        <w:t> = </w:t>
      </w:r>
      <w:r w:rsidR="00F026E8" w:rsidRPr="00FE7622">
        <w:rPr>
          <w:color w:val="auto"/>
        </w:rPr>
        <w:t>0.16</w:t>
      </w:r>
      <w:r w:rsidR="00694BD2" w:rsidRPr="00FE7622">
        <w:rPr>
          <w:color w:val="auto"/>
        </w:rPr>
        <w:t>]</w:t>
      </w:r>
      <w:r w:rsidR="00480B8C" w:rsidRPr="00FE7622">
        <w:rPr>
          <w:color w:val="auto"/>
        </w:rPr>
        <w:t>,</w:t>
      </w:r>
      <w:r w:rsidR="00F026E8" w:rsidRPr="00FE7622">
        <w:rPr>
          <w:color w:val="auto"/>
        </w:rPr>
        <w:t xml:space="preserve"> but the </w:t>
      </w:r>
      <w:r w:rsidR="00694BD2" w:rsidRPr="00FE7622">
        <w:rPr>
          <w:color w:val="auto"/>
        </w:rPr>
        <w:t>number</w:t>
      </w:r>
      <w:r w:rsidR="00F026E8" w:rsidRPr="00FE7622">
        <w:rPr>
          <w:color w:val="auto"/>
        </w:rPr>
        <w:t xml:space="preserve"> of participants able to be approached and randomised through the primary care pathway was much </w:t>
      </w:r>
      <w:r w:rsidR="00694BD2" w:rsidRPr="00FE7622">
        <w:rPr>
          <w:color w:val="auto"/>
        </w:rPr>
        <w:t>larger</w:t>
      </w:r>
      <w:r w:rsidR="00F026E8" w:rsidRPr="00FE7622">
        <w:rPr>
          <w:color w:val="auto"/>
        </w:rPr>
        <w:t>.</w:t>
      </w:r>
    </w:p>
    <w:p w14:paraId="05129EDA" w14:textId="3142EDD0" w:rsidR="00F026E8" w:rsidRPr="00FE7622" w:rsidRDefault="00E038BF" w:rsidP="00F026E8">
      <w:pPr>
        <w:pStyle w:val="81FigurelegendTableFigureBoxstyles"/>
        <w:rPr>
          <w:lang w:val="en-GB"/>
        </w:rPr>
      </w:pPr>
      <w:r w:rsidRPr="00FE7622">
        <w:rPr>
          <w:b/>
        </w:rPr>
        <w:t>FIGURE 3</w:t>
      </w:r>
      <w:r w:rsidRPr="00FE7622">
        <w:rPr>
          <w:b/>
        </w:rPr>
        <w:t> </w:t>
      </w:r>
      <w:r w:rsidR="00F026E8" w:rsidRPr="00FE7622">
        <w:rPr>
          <w:lang w:val="en-GB"/>
        </w:rPr>
        <w:t>Primary vs</w:t>
      </w:r>
      <w:r w:rsidR="00BF13CC" w:rsidRPr="00FE7622">
        <w:rPr>
          <w:lang w:val="en-GB"/>
        </w:rPr>
        <w:t>.</w:t>
      </w:r>
      <w:r w:rsidR="00F026E8" w:rsidRPr="00FE7622">
        <w:rPr>
          <w:lang w:val="en-GB"/>
        </w:rPr>
        <w:t xml:space="preserve"> </w:t>
      </w:r>
      <w:r w:rsidR="00BF13CC" w:rsidRPr="00FE7622">
        <w:rPr>
          <w:lang w:val="en-GB"/>
        </w:rPr>
        <w:t>s</w:t>
      </w:r>
      <w:r w:rsidR="00F026E8" w:rsidRPr="00FE7622">
        <w:rPr>
          <w:lang w:val="en-GB"/>
        </w:rPr>
        <w:t>econdary care screening yield</w:t>
      </w:r>
      <w:r w:rsidR="00BF13CC" w:rsidRPr="00FE7622">
        <w:rPr>
          <w:lang w:val="en-GB"/>
        </w:rPr>
        <w:t>.</w:t>
      </w:r>
    </w:p>
    <w:p w14:paraId="07D3FFBF" w14:textId="3D88D08A" w:rsidR="00E038BF" w:rsidRPr="00FE7622" w:rsidRDefault="00E038BF" w:rsidP="00A471D6">
      <w:pPr>
        <w:pStyle w:val="53BheadHeadingsHeadingstyles"/>
      </w:pPr>
      <w:bookmarkStart w:id="72" w:name="_Toc79684518"/>
      <w:r w:rsidRPr="00FE7622">
        <w:t>Central compared with local pre-screening</w:t>
      </w:r>
      <w:bookmarkEnd w:id="72"/>
    </w:p>
    <w:p w14:paraId="556C0E8A" w14:textId="6FAA0825" w:rsidR="00F026E8" w:rsidRPr="00FE7622" w:rsidRDefault="00480B8C" w:rsidP="00A471D6">
      <w:pPr>
        <w:pStyle w:val="602TextfoTextstylesTextstyles"/>
        <w:rPr>
          <w:color w:val="auto"/>
        </w:rPr>
      </w:pPr>
      <w:r w:rsidRPr="00FE7622">
        <w:rPr>
          <w:color w:val="auto"/>
        </w:rPr>
        <w:t xml:space="preserve">A total of </w:t>
      </w:r>
      <w:r w:rsidR="00F026E8" w:rsidRPr="00FE7622">
        <w:rPr>
          <w:color w:val="auto"/>
        </w:rPr>
        <w:t>633</w:t>
      </w:r>
      <w:r w:rsidRPr="00FE7622">
        <w:rPr>
          <w:color w:val="auto"/>
        </w:rPr>
        <w:t xml:space="preserve"> out of </w:t>
      </w:r>
      <w:r w:rsidR="00F026E8" w:rsidRPr="00FE7622">
        <w:rPr>
          <w:color w:val="auto"/>
        </w:rPr>
        <w:t>2897 primary care respondents were prescreened centrally; the mean number of calls per respondent was 2.3. The conversion rate from prescreening to randomisation was 18</w:t>
      </w:r>
      <w:r w:rsidRPr="00FE7622">
        <w:rPr>
          <w:color w:val="auto"/>
        </w:rPr>
        <w:t xml:space="preserve"> out of </w:t>
      </w:r>
      <w:r w:rsidR="00F026E8" w:rsidRPr="00FE7622">
        <w:rPr>
          <w:color w:val="auto"/>
        </w:rPr>
        <w:t xml:space="preserve">633 (2.8%) for centralised calls compared </w:t>
      </w:r>
      <w:r w:rsidRPr="00FE7622">
        <w:rPr>
          <w:color w:val="auto"/>
        </w:rPr>
        <w:t>with</w:t>
      </w:r>
      <w:r w:rsidR="00F026E8" w:rsidRPr="00FE7622">
        <w:rPr>
          <w:color w:val="auto"/>
        </w:rPr>
        <w:t xml:space="preserve"> 120</w:t>
      </w:r>
      <w:r w:rsidRPr="00FE7622">
        <w:rPr>
          <w:color w:val="auto"/>
        </w:rPr>
        <w:t xml:space="preserve"> out of </w:t>
      </w:r>
      <w:r w:rsidR="00F026E8" w:rsidRPr="00FE7622">
        <w:rPr>
          <w:color w:val="auto"/>
        </w:rPr>
        <w:t>2264 (5.3%) for local prescreening calls (</w:t>
      </w:r>
      <w:r w:rsidR="00E038BF" w:rsidRPr="00FE7622">
        <w:rPr>
          <w:i/>
          <w:color w:val="auto"/>
        </w:rPr>
        <w:t>p</w:t>
      </w:r>
      <w:r w:rsidR="00A471D6" w:rsidRPr="00FE7622">
        <w:rPr>
          <w:color w:val="auto"/>
        </w:rPr>
        <w:t> = </w:t>
      </w:r>
      <w:r w:rsidR="00F026E8" w:rsidRPr="00FE7622">
        <w:rPr>
          <w:color w:val="auto"/>
        </w:rPr>
        <w:t xml:space="preserve">0.01). </w:t>
      </w:r>
      <w:r w:rsidR="00E038BF" w:rsidRPr="00E038BF">
        <w:rPr>
          <w:color w:val="FF00FF"/>
          <w:sz w:val="24"/>
        </w:rPr>
        <w:t>[12]</w:t>
      </w:r>
      <w:commentRangeStart w:id="73"/>
      <w:r w:rsidR="00F026E8" w:rsidRPr="00FE7622">
        <w:rPr>
          <w:color w:val="auto"/>
        </w:rPr>
        <w:t xml:space="preserve">At </w:t>
      </w:r>
      <w:r w:rsidRPr="00FE7622">
        <w:rPr>
          <w:color w:val="auto"/>
        </w:rPr>
        <w:t>10</w:t>
      </w:r>
      <w:r w:rsidR="00F026E8" w:rsidRPr="00FE7622">
        <w:rPr>
          <w:color w:val="auto"/>
        </w:rPr>
        <w:t xml:space="preserve"> sites, prescreening was conducted partly by the local study team and partly by central prescreening</w:t>
      </w:r>
      <w:commentRangeEnd w:id="73"/>
      <w:r w:rsidR="00006B19" w:rsidRPr="00FE7622">
        <w:rPr>
          <w:rStyle w:val="CommentReference"/>
          <w:rFonts w:ascii="Times New Roman" w:hAnsi="Times New Roman" w:cs="Times New Roman"/>
          <w:color w:val="auto"/>
          <w:lang w:val="en-US"/>
        </w:rPr>
        <w:commentReference w:id="73"/>
      </w:r>
      <w:r w:rsidR="00F026E8" w:rsidRPr="00FE7622">
        <w:rPr>
          <w:color w:val="auto"/>
        </w:rPr>
        <w:t xml:space="preserve"> to augment the local study team</w:t>
      </w:r>
      <w:r w:rsidR="007B176A" w:rsidRPr="00FE7622">
        <w:rPr>
          <w:color w:val="auto"/>
        </w:rPr>
        <w:t>’s capacity</w:t>
      </w:r>
      <w:r w:rsidR="00F026E8" w:rsidRPr="00FE7622">
        <w:rPr>
          <w:color w:val="auto"/>
        </w:rPr>
        <w:t xml:space="preserve"> to respond to expressions of interest in the study in a timely manner. When the analysis was confined to these </w:t>
      </w:r>
      <w:r w:rsidRPr="00FE7622">
        <w:rPr>
          <w:color w:val="auto"/>
        </w:rPr>
        <w:t>10</w:t>
      </w:r>
      <w:r w:rsidR="00F026E8" w:rsidRPr="00FE7622">
        <w:rPr>
          <w:color w:val="auto"/>
        </w:rPr>
        <w:t xml:space="preserve"> sites, the conversion rate from pr</w:t>
      </w:r>
      <w:r w:rsidRPr="00FE7622">
        <w:rPr>
          <w:color w:val="auto"/>
        </w:rPr>
        <w:t>e</w:t>
      </w:r>
      <w:r w:rsidR="00F026E8" w:rsidRPr="00FE7622">
        <w:rPr>
          <w:color w:val="auto"/>
        </w:rPr>
        <w:t>screening to randomisation was 18</w:t>
      </w:r>
      <w:r w:rsidRPr="00FE7622">
        <w:rPr>
          <w:color w:val="auto"/>
        </w:rPr>
        <w:t xml:space="preserve"> out of </w:t>
      </w:r>
      <w:r w:rsidR="00F026E8" w:rsidRPr="00FE7622">
        <w:rPr>
          <w:color w:val="auto"/>
        </w:rPr>
        <w:t xml:space="preserve">588 (3.1%) for centralised calls compared </w:t>
      </w:r>
      <w:r w:rsidRPr="00FE7622">
        <w:rPr>
          <w:color w:val="auto"/>
        </w:rPr>
        <w:t>with</w:t>
      </w:r>
      <w:r w:rsidR="00F026E8" w:rsidRPr="00FE7622">
        <w:rPr>
          <w:color w:val="auto"/>
        </w:rPr>
        <w:t xml:space="preserve"> 73</w:t>
      </w:r>
      <w:r w:rsidRPr="00FE7622">
        <w:rPr>
          <w:color w:val="auto"/>
        </w:rPr>
        <w:t xml:space="preserve"> out of </w:t>
      </w:r>
      <w:r w:rsidR="00F026E8" w:rsidRPr="00FE7622">
        <w:rPr>
          <w:color w:val="auto"/>
        </w:rPr>
        <w:t>1814 (4.0%) for local prescreening calls (</w:t>
      </w:r>
      <w:r w:rsidR="00E038BF" w:rsidRPr="00FE7622">
        <w:rPr>
          <w:i/>
          <w:color w:val="auto"/>
        </w:rPr>
        <w:t>p</w:t>
      </w:r>
      <w:r w:rsidR="00A471D6" w:rsidRPr="00FE7622">
        <w:rPr>
          <w:color w:val="auto"/>
        </w:rPr>
        <w:t> = </w:t>
      </w:r>
      <w:r w:rsidR="00F026E8" w:rsidRPr="00FE7622">
        <w:rPr>
          <w:color w:val="auto"/>
        </w:rPr>
        <w:t>0.29).</w:t>
      </w:r>
    </w:p>
    <w:p w14:paraId="67D6295B" w14:textId="6FF5EB8E" w:rsidR="00E038BF" w:rsidRPr="00FE7622" w:rsidRDefault="00E038BF" w:rsidP="00A471D6">
      <w:pPr>
        <w:pStyle w:val="53BheadHeadingsHeadingstyles"/>
      </w:pPr>
      <w:bookmarkStart w:id="74" w:name="_Toc79684519"/>
      <w:r w:rsidRPr="00FE7622">
        <w:t>Relationship between Strength Assistance Rise Climb – Falls score and progression to screening and randomisation</w:t>
      </w:r>
      <w:bookmarkEnd w:id="74"/>
    </w:p>
    <w:p w14:paraId="3CD33165" w14:textId="69076D7F" w:rsidR="00F026E8" w:rsidRPr="00FE7622" w:rsidRDefault="00F026E8" w:rsidP="00E8492A">
      <w:pPr>
        <w:pStyle w:val="602TextfoTextstylesTextstyles"/>
        <w:rPr>
          <w:color w:val="auto"/>
        </w:rPr>
      </w:pPr>
      <w:r w:rsidRPr="00FE7622">
        <w:rPr>
          <w:color w:val="auto"/>
        </w:rPr>
        <w:t xml:space="preserve">A weak relationship was seen between higher (worse) </w:t>
      </w:r>
      <w:r w:rsidRPr="00842651">
        <w:rPr>
          <w:color w:val="auto"/>
        </w:rPr>
        <w:t>SARC-F</w:t>
      </w:r>
      <w:r w:rsidRPr="00FE7622">
        <w:rPr>
          <w:color w:val="auto"/>
        </w:rPr>
        <w:t xml:space="preserve"> score at pre-screening and lower likelihood of progression to randomisation (</w:t>
      </w:r>
      <w:r w:rsidR="00E038BF" w:rsidRPr="00FE7622">
        <w:rPr>
          <w:i/>
          <w:iCs/>
          <w:color w:val="auto"/>
        </w:rPr>
        <w:t>r</w:t>
      </w:r>
      <w:r w:rsidR="00E8492A" w:rsidRPr="00FE7622">
        <w:rPr>
          <w:color w:val="auto"/>
        </w:rPr>
        <w:t> = </w:t>
      </w:r>
      <w:r w:rsidRPr="00FE7622">
        <w:rPr>
          <w:color w:val="auto"/>
        </w:rPr>
        <w:t>–0.08</w:t>
      </w:r>
      <w:r w:rsidR="00943CB4" w:rsidRPr="00FE7622">
        <w:rPr>
          <w:color w:val="auto"/>
        </w:rPr>
        <w:t>;</w:t>
      </w:r>
      <w:r w:rsidRPr="00FE7622">
        <w:rPr>
          <w:color w:val="auto"/>
        </w:rPr>
        <w:t xml:space="preserve"> </w:t>
      </w:r>
      <w:r w:rsidR="00E038BF" w:rsidRPr="00FE7622">
        <w:rPr>
          <w:i/>
          <w:color w:val="auto"/>
        </w:rPr>
        <w:t>p</w:t>
      </w:r>
      <w:r w:rsidR="00E8492A" w:rsidRPr="00FE7622">
        <w:rPr>
          <w:color w:val="auto"/>
        </w:rPr>
        <w:t> = </w:t>
      </w:r>
      <w:r w:rsidRPr="00FE7622">
        <w:rPr>
          <w:color w:val="auto"/>
        </w:rPr>
        <w:t>0.03); the association was stronger in men (</w:t>
      </w:r>
      <w:r w:rsidR="00E038BF" w:rsidRPr="00FE7622">
        <w:rPr>
          <w:i/>
          <w:iCs/>
          <w:color w:val="auto"/>
        </w:rPr>
        <w:t>r</w:t>
      </w:r>
      <w:r w:rsidR="00E8492A" w:rsidRPr="00FE7622">
        <w:rPr>
          <w:color w:val="auto"/>
        </w:rPr>
        <w:t> = </w:t>
      </w:r>
      <w:r w:rsidRPr="00FE7622">
        <w:rPr>
          <w:color w:val="auto"/>
        </w:rPr>
        <w:t>–0.13</w:t>
      </w:r>
      <w:r w:rsidR="00943CB4" w:rsidRPr="00FE7622">
        <w:rPr>
          <w:color w:val="auto"/>
        </w:rPr>
        <w:t>;</w:t>
      </w:r>
      <w:r w:rsidRPr="00FE7622">
        <w:rPr>
          <w:color w:val="auto"/>
        </w:rPr>
        <w:t xml:space="preserve"> </w:t>
      </w:r>
      <w:r w:rsidR="00E038BF" w:rsidRPr="00FE7622">
        <w:rPr>
          <w:i/>
          <w:color w:val="auto"/>
        </w:rPr>
        <w:t>p</w:t>
      </w:r>
      <w:r w:rsidR="00E8492A" w:rsidRPr="00FE7622">
        <w:rPr>
          <w:color w:val="auto"/>
        </w:rPr>
        <w:t> = </w:t>
      </w:r>
      <w:r w:rsidRPr="00FE7622">
        <w:rPr>
          <w:color w:val="auto"/>
        </w:rPr>
        <w:t>0.04) than in women (</w:t>
      </w:r>
      <w:r w:rsidR="00E038BF" w:rsidRPr="00FE7622">
        <w:rPr>
          <w:i/>
          <w:iCs/>
          <w:color w:val="auto"/>
        </w:rPr>
        <w:t>r</w:t>
      </w:r>
      <w:r w:rsidR="00E8492A" w:rsidRPr="00FE7622">
        <w:rPr>
          <w:color w:val="auto"/>
        </w:rPr>
        <w:t> = </w:t>
      </w:r>
      <w:r w:rsidRPr="00FE7622">
        <w:rPr>
          <w:color w:val="auto"/>
        </w:rPr>
        <w:t>–0.05</w:t>
      </w:r>
      <w:r w:rsidR="00943CB4" w:rsidRPr="00FE7622">
        <w:rPr>
          <w:color w:val="auto"/>
        </w:rPr>
        <w:t>;</w:t>
      </w:r>
      <w:r w:rsidRPr="00FE7622">
        <w:rPr>
          <w:color w:val="auto"/>
        </w:rPr>
        <w:t xml:space="preserve"> </w:t>
      </w:r>
      <w:r w:rsidR="00E038BF" w:rsidRPr="00FE7622">
        <w:rPr>
          <w:i/>
          <w:color w:val="auto"/>
        </w:rPr>
        <w:t>p</w:t>
      </w:r>
      <w:r w:rsidR="00E8492A" w:rsidRPr="00FE7622">
        <w:rPr>
          <w:color w:val="auto"/>
        </w:rPr>
        <w:t> = </w:t>
      </w:r>
      <w:r w:rsidRPr="00FE7622">
        <w:rPr>
          <w:color w:val="auto"/>
        </w:rPr>
        <w:t xml:space="preserve">0.29). </w:t>
      </w:r>
      <w:r w:rsidR="00D9522D" w:rsidRPr="00FE7622">
        <w:rPr>
          <w:color w:val="auto"/>
        </w:rPr>
        <w:t>The d</w:t>
      </w:r>
      <w:r w:rsidRPr="00FE7622">
        <w:rPr>
          <w:color w:val="auto"/>
        </w:rPr>
        <w:t xml:space="preserve">etails of </w:t>
      </w:r>
      <w:r w:rsidR="00D9522D" w:rsidRPr="00FE7622">
        <w:rPr>
          <w:color w:val="auto"/>
        </w:rPr>
        <w:t xml:space="preserve">the </w:t>
      </w:r>
      <w:r w:rsidRPr="00FE7622">
        <w:rPr>
          <w:color w:val="auto"/>
        </w:rPr>
        <w:t xml:space="preserve">conversion rates by </w:t>
      </w:r>
      <w:r w:rsidRPr="00842651">
        <w:rPr>
          <w:color w:val="auto"/>
        </w:rPr>
        <w:t>SARC-F</w:t>
      </w:r>
      <w:r w:rsidRPr="00FE7622">
        <w:rPr>
          <w:color w:val="auto"/>
        </w:rPr>
        <w:t xml:space="preserve"> score are given in </w:t>
      </w:r>
      <w:r w:rsidR="00E038BF" w:rsidRPr="00FE7622">
        <w:rPr>
          <w:i/>
          <w:color w:val="FF0000"/>
        </w:rPr>
        <w:t>Figure 4</w:t>
      </w:r>
      <w:r w:rsidRPr="00FE7622">
        <w:rPr>
          <w:color w:val="auto"/>
        </w:rPr>
        <w:t xml:space="preserve">. Participants with a </w:t>
      </w:r>
      <w:r w:rsidRPr="00842651">
        <w:rPr>
          <w:color w:val="auto"/>
        </w:rPr>
        <w:t>SARC-F</w:t>
      </w:r>
      <w:r w:rsidRPr="00FE7622">
        <w:rPr>
          <w:color w:val="auto"/>
        </w:rPr>
        <w:t xml:space="preserve"> score of </w:t>
      </w:r>
      <w:r w:rsidR="00943CB4" w:rsidRPr="00FE7622">
        <w:rPr>
          <w:color w:val="auto"/>
        </w:rPr>
        <w:t>&lt; </w:t>
      </w:r>
      <w:r w:rsidRPr="00FE7622">
        <w:rPr>
          <w:color w:val="auto"/>
        </w:rPr>
        <w:t>3 did not progress to screening</w:t>
      </w:r>
      <w:r w:rsidR="00943CB4" w:rsidRPr="00FE7622">
        <w:rPr>
          <w:color w:val="auto"/>
        </w:rPr>
        <w:t xml:space="preserve"> and </w:t>
      </w:r>
      <w:r w:rsidRPr="00FE7622">
        <w:rPr>
          <w:color w:val="auto"/>
        </w:rPr>
        <w:t xml:space="preserve">thus we were unable to assess the relationship between </w:t>
      </w:r>
      <w:r w:rsidR="00C0506F" w:rsidRPr="00FE7622">
        <w:rPr>
          <w:color w:val="auto"/>
        </w:rPr>
        <w:t xml:space="preserve">a </w:t>
      </w:r>
      <w:r w:rsidRPr="00842651">
        <w:rPr>
          <w:color w:val="auto"/>
        </w:rPr>
        <w:t>SARC-F</w:t>
      </w:r>
      <w:r w:rsidRPr="00FE7622">
        <w:rPr>
          <w:color w:val="auto"/>
        </w:rPr>
        <w:t xml:space="preserve"> score of 0</w:t>
      </w:r>
      <w:r w:rsidR="00943CB4" w:rsidRPr="00FE7622">
        <w:rPr>
          <w:color w:val="auto"/>
        </w:rPr>
        <w:t>–</w:t>
      </w:r>
      <w:r w:rsidRPr="00FE7622">
        <w:rPr>
          <w:color w:val="auto"/>
        </w:rPr>
        <w:t xml:space="preserve">2 and </w:t>
      </w:r>
      <w:r w:rsidR="00C0506F" w:rsidRPr="00FE7622">
        <w:rPr>
          <w:color w:val="auto"/>
        </w:rPr>
        <w:t xml:space="preserve">the </w:t>
      </w:r>
      <w:r w:rsidRPr="00FE7622">
        <w:rPr>
          <w:color w:val="auto"/>
        </w:rPr>
        <w:t>likelihood of progressin</w:t>
      </w:r>
      <w:r w:rsidR="003E01D0" w:rsidRPr="00FE7622">
        <w:rPr>
          <w:color w:val="auto"/>
        </w:rPr>
        <w:t>g</w:t>
      </w:r>
      <w:r w:rsidRPr="00FE7622">
        <w:rPr>
          <w:color w:val="auto"/>
        </w:rPr>
        <w:t xml:space="preserve"> to randomisation.</w:t>
      </w:r>
    </w:p>
    <w:p w14:paraId="21281F04" w14:textId="5D009D4B" w:rsidR="0031492E" w:rsidRPr="00FE7622" w:rsidRDefault="00E038BF" w:rsidP="0031492E">
      <w:pPr>
        <w:pStyle w:val="81FigurelegendTableFigureBoxstyles"/>
        <w:rPr>
          <w:lang w:val="en-GB"/>
        </w:rPr>
      </w:pPr>
      <w:r w:rsidRPr="00FE7622">
        <w:rPr>
          <w:b/>
        </w:rPr>
        <w:t>FIGURE 4</w:t>
      </w:r>
      <w:r w:rsidRPr="00FE7622">
        <w:rPr>
          <w:b/>
        </w:rPr>
        <w:t> </w:t>
      </w:r>
      <w:r w:rsidR="0031492E" w:rsidRPr="00FE7622">
        <w:rPr>
          <w:lang w:val="en-GB"/>
        </w:rPr>
        <w:t xml:space="preserve">Conversion rate to screening visits and randomisation by </w:t>
      </w:r>
      <w:r w:rsidR="0031492E" w:rsidRPr="00842651">
        <w:rPr>
          <w:lang w:val="en-GB"/>
        </w:rPr>
        <w:t>SARC-F</w:t>
      </w:r>
      <w:r w:rsidR="0031492E" w:rsidRPr="00FE7622">
        <w:rPr>
          <w:lang w:val="en-GB"/>
        </w:rPr>
        <w:t xml:space="preserve"> score at pre-screening</w:t>
      </w:r>
      <w:r w:rsidR="00BF13CC" w:rsidRPr="00FE7622">
        <w:rPr>
          <w:lang w:val="en-GB"/>
        </w:rPr>
        <w:t>.</w:t>
      </w:r>
    </w:p>
    <w:p w14:paraId="0D1ABAA0" w14:textId="195F45F1" w:rsidR="00F026E8" w:rsidRPr="00FE7622" w:rsidRDefault="00F026E8" w:rsidP="00E8492A">
      <w:pPr>
        <w:pStyle w:val="602TextfoTextstylesTextstyles"/>
        <w:rPr>
          <w:color w:val="auto"/>
        </w:rPr>
      </w:pPr>
      <w:r w:rsidRPr="00FE7622">
        <w:rPr>
          <w:color w:val="auto"/>
        </w:rPr>
        <w:t xml:space="preserve">The </w:t>
      </w:r>
      <w:r w:rsidRPr="00842651">
        <w:rPr>
          <w:color w:val="auto"/>
        </w:rPr>
        <w:t>SARC-F</w:t>
      </w:r>
      <w:r w:rsidRPr="00FE7622">
        <w:rPr>
          <w:color w:val="auto"/>
        </w:rPr>
        <w:t xml:space="preserve"> score at pre-screening showed a modest association with handgrip strength for both men (</w:t>
      </w:r>
      <w:r w:rsidR="00E038BF" w:rsidRPr="00FE7622">
        <w:rPr>
          <w:i/>
          <w:iCs/>
          <w:color w:val="auto"/>
        </w:rPr>
        <w:t>r</w:t>
      </w:r>
      <w:r w:rsidR="00E8492A" w:rsidRPr="00FE7622">
        <w:rPr>
          <w:color w:val="auto"/>
        </w:rPr>
        <w:t> = </w:t>
      </w:r>
      <w:r w:rsidRPr="00FE7622">
        <w:rPr>
          <w:color w:val="auto"/>
        </w:rPr>
        <w:t>–0.29</w:t>
      </w:r>
      <w:r w:rsidR="00943CB4" w:rsidRPr="00FE7622">
        <w:rPr>
          <w:color w:val="auto"/>
        </w:rPr>
        <w:t>;</w:t>
      </w:r>
      <w:r w:rsidRPr="00FE7622">
        <w:rPr>
          <w:color w:val="auto"/>
        </w:rPr>
        <w:t xml:space="preserve"> </w:t>
      </w:r>
      <w:r w:rsidR="00E038BF" w:rsidRPr="00FE7622">
        <w:rPr>
          <w:i/>
          <w:color w:val="auto"/>
        </w:rPr>
        <w:t>p </w:t>
      </w:r>
      <w:r w:rsidRPr="00FE7622">
        <w:rPr>
          <w:color w:val="auto"/>
        </w:rPr>
        <w:t>&lt; 0.001) and women (</w:t>
      </w:r>
      <w:r w:rsidR="00E038BF" w:rsidRPr="00FE7622">
        <w:rPr>
          <w:i/>
          <w:iCs/>
          <w:color w:val="auto"/>
        </w:rPr>
        <w:t>r</w:t>
      </w:r>
      <w:r w:rsidR="00E8492A" w:rsidRPr="00FE7622">
        <w:rPr>
          <w:color w:val="auto"/>
        </w:rPr>
        <w:t> = </w:t>
      </w:r>
      <w:r w:rsidRPr="00FE7622">
        <w:rPr>
          <w:color w:val="auto"/>
        </w:rPr>
        <w:t>–0.17</w:t>
      </w:r>
      <w:r w:rsidR="00943CB4" w:rsidRPr="00FE7622">
        <w:rPr>
          <w:color w:val="auto"/>
        </w:rPr>
        <w:t>;</w:t>
      </w:r>
      <w:r w:rsidRPr="00FE7622">
        <w:rPr>
          <w:color w:val="auto"/>
        </w:rPr>
        <w:t xml:space="preserve"> </w:t>
      </w:r>
      <w:r w:rsidR="00E038BF" w:rsidRPr="00FE7622">
        <w:rPr>
          <w:i/>
          <w:color w:val="auto"/>
        </w:rPr>
        <w:t>p</w:t>
      </w:r>
      <w:r w:rsidR="00E8492A" w:rsidRPr="00FE7622">
        <w:rPr>
          <w:color w:val="auto"/>
        </w:rPr>
        <w:t> = </w:t>
      </w:r>
      <w:r w:rsidRPr="00FE7622">
        <w:rPr>
          <w:color w:val="auto"/>
        </w:rPr>
        <w:t>0.03). A similar correlation (</w:t>
      </w:r>
      <w:r w:rsidR="00E038BF" w:rsidRPr="00FE7622">
        <w:rPr>
          <w:i/>
          <w:iCs/>
          <w:color w:val="auto"/>
        </w:rPr>
        <w:t>r</w:t>
      </w:r>
      <w:r w:rsidR="00E8492A" w:rsidRPr="00FE7622">
        <w:rPr>
          <w:color w:val="auto"/>
        </w:rPr>
        <w:t> = </w:t>
      </w:r>
      <w:r w:rsidRPr="00FE7622">
        <w:rPr>
          <w:color w:val="auto"/>
        </w:rPr>
        <w:t>–0.28</w:t>
      </w:r>
      <w:r w:rsidR="00943CB4" w:rsidRPr="00FE7622">
        <w:rPr>
          <w:color w:val="auto"/>
        </w:rPr>
        <w:t>;</w:t>
      </w:r>
      <w:r w:rsidRPr="00FE7622">
        <w:rPr>
          <w:color w:val="auto"/>
        </w:rPr>
        <w:t xml:space="preserve"> </w:t>
      </w:r>
      <w:r w:rsidR="00E038BF" w:rsidRPr="00FE7622">
        <w:rPr>
          <w:i/>
          <w:color w:val="auto"/>
        </w:rPr>
        <w:t>p </w:t>
      </w:r>
      <w:r w:rsidRPr="00FE7622">
        <w:rPr>
          <w:color w:val="auto"/>
        </w:rPr>
        <w:t xml:space="preserve">&lt; 0.001) was seen between </w:t>
      </w:r>
      <w:r w:rsidRPr="00842651">
        <w:rPr>
          <w:color w:val="auto"/>
        </w:rPr>
        <w:t>SARC-F</w:t>
      </w:r>
      <w:r w:rsidRPr="00FE7622">
        <w:rPr>
          <w:color w:val="auto"/>
        </w:rPr>
        <w:t xml:space="preserve"> score and 4-metre gait speed at screening. A significant correlation was found between </w:t>
      </w:r>
      <w:r w:rsidRPr="00842651">
        <w:rPr>
          <w:color w:val="auto"/>
        </w:rPr>
        <w:t>SARC-F</w:t>
      </w:r>
      <w:r w:rsidRPr="00FE7622">
        <w:rPr>
          <w:color w:val="auto"/>
        </w:rPr>
        <w:t xml:space="preserve"> and appendicular skeletal muscle mass (</w:t>
      </w:r>
      <w:r w:rsidRPr="00842651">
        <w:rPr>
          <w:color w:val="auto"/>
        </w:rPr>
        <w:t>ASMM</w:t>
      </w:r>
      <w:r w:rsidRPr="00FE7622">
        <w:rPr>
          <w:color w:val="auto"/>
        </w:rPr>
        <w:t>) index measured by bioimpedance for men (</w:t>
      </w:r>
      <w:r w:rsidR="00E038BF" w:rsidRPr="00FE7622">
        <w:rPr>
          <w:i/>
          <w:iCs/>
          <w:color w:val="auto"/>
        </w:rPr>
        <w:t>r</w:t>
      </w:r>
      <w:r w:rsidR="00E8492A" w:rsidRPr="00FE7622">
        <w:rPr>
          <w:color w:val="auto"/>
        </w:rPr>
        <w:t> = </w:t>
      </w:r>
      <w:r w:rsidRPr="00FE7622">
        <w:rPr>
          <w:color w:val="auto"/>
        </w:rPr>
        <w:t>–0.19</w:t>
      </w:r>
      <w:r w:rsidR="00943CB4" w:rsidRPr="00FE7622">
        <w:rPr>
          <w:color w:val="auto"/>
        </w:rPr>
        <w:t>;</w:t>
      </w:r>
      <w:r w:rsidRPr="00FE7622">
        <w:rPr>
          <w:color w:val="auto"/>
        </w:rPr>
        <w:t xml:space="preserve"> </w:t>
      </w:r>
      <w:r w:rsidR="00E038BF" w:rsidRPr="00FE7622">
        <w:rPr>
          <w:i/>
          <w:color w:val="auto"/>
        </w:rPr>
        <w:t>p</w:t>
      </w:r>
      <w:r w:rsidR="00E8492A" w:rsidRPr="00FE7622">
        <w:rPr>
          <w:color w:val="auto"/>
        </w:rPr>
        <w:t> = </w:t>
      </w:r>
      <w:r w:rsidRPr="00FE7622">
        <w:rPr>
          <w:color w:val="auto"/>
        </w:rPr>
        <w:t>0.04) but not for women (</w:t>
      </w:r>
      <w:r w:rsidR="00E038BF" w:rsidRPr="00FE7622">
        <w:rPr>
          <w:i/>
          <w:iCs/>
          <w:color w:val="auto"/>
        </w:rPr>
        <w:t>r</w:t>
      </w:r>
      <w:r w:rsidR="00E8492A" w:rsidRPr="00FE7622">
        <w:rPr>
          <w:color w:val="auto"/>
        </w:rPr>
        <w:t> = </w:t>
      </w:r>
      <w:r w:rsidRPr="00FE7622">
        <w:rPr>
          <w:color w:val="auto"/>
        </w:rPr>
        <w:t>0.05</w:t>
      </w:r>
      <w:r w:rsidR="00943CB4" w:rsidRPr="00FE7622">
        <w:rPr>
          <w:color w:val="auto"/>
        </w:rPr>
        <w:t>;</w:t>
      </w:r>
      <w:r w:rsidRPr="00FE7622">
        <w:rPr>
          <w:color w:val="auto"/>
        </w:rPr>
        <w:t xml:space="preserve"> </w:t>
      </w:r>
      <w:r w:rsidR="00E038BF" w:rsidRPr="00FE7622">
        <w:rPr>
          <w:i/>
          <w:color w:val="auto"/>
        </w:rPr>
        <w:t>p</w:t>
      </w:r>
      <w:r w:rsidR="00E8492A" w:rsidRPr="00FE7622">
        <w:rPr>
          <w:color w:val="auto"/>
        </w:rPr>
        <w:t> = </w:t>
      </w:r>
      <w:r w:rsidRPr="00FE7622">
        <w:rPr>
          <w:color w:val="auto"/>
        </w:rPr>
        <w:t>0.47).</w:t>
      </w:r>
    </w:p>
    <w:p w14:paraId="2E398746" w14:textId="10DF7D12" w:rsidR="00E038BF" w:rsidRPr="00FE7622" w:rsidRDefault="00E038BF" w:rsidP="0082089A">
      <w:pPr>
        <w:pStyle w:val="53BheadHeadingsHeadingstyles"/>
        <w:rPr>
          <w:rFonts w:ascii="Calibri" w:eastAsia="Calibri" w:hAnsi="Calibri"/>
        </w:rPr>
      </w:pPr>
      <w:bookmarkStart w:id="75" w:name="_Toc79684520"/>
      <w:r w:rsidRPr="00FE7622">
        <w:t xml:space="preserve">Relationship between muscle mass measured by bioimpedance and </w:t>
      </w:r>
      <w:bookmarkEnd w:id="75"/>
      <w:r w:rsidRPr="00FE7622">
        <w:t>dual-energy X-ray absorptiometry</w:t>
      </w:r>
    </w:p>
    <w:p w14:paraId="6FEB12E7" w14:textId="667E6F24" w:rsidR="00F026E8" w:rsidRPr="00FE7622" w:rsidRDefault="00F026E8" w:rsidP="0082089A">
      <w:pPr>
        <w:pStyle w:val="602TextfoTextstylesTextstyles"/>
        <w:rPr>
          <w:color w:val="auto"/>
        </w:rPr>
      </w:pPr>
      <w:r w:rsidRPr="00FE7622">
        <w:rPr>
          <w:color w:val="auto"/>
        </w:rPr>
        <w:t xml:space="preserve">The Sergi equation was used in </w:t>
      </w:r>
      <w:r w:rsidR="00E14483" w:rsidRPr="00FE7622">
        <w:rPr>
          <w:color w:val="auto"/>
        </w:rPr>
        <w:t xml:space="preserve">the </w:t>
      </w:r>
      <w:r w:rsidRPr="00842651">
        <w:rPr>
          <w:color w:val="auto"/>
        </w:rPr>
        <w:t>LACE</w:t>
      </w:r>
      <w:r w:rsidRPr="00FE7622">
        <w:rPr>
          <w:color w:val="auto"/>
        </w:rPr>
        <w:t xml:space="preserve"> </w:t>
      </w:r>
      <w:r w:rsidR="00E14483" w:rsidRPr="00FE7622">
        <w:rPr>
          <w:color w:val="auto"/>
        </w:rPr>
        <w:t xml:space="preserve">trial </w:t>
      </w:r>
      <w:r w:rsidRPr="00FE7622">
        <w:rPr>
          <w:color w:val="auto"/>
        </w:rPr>
        <w:t xml:space="preserve">to screen participants for low muscle mass. Resistance and reactance measures from </w:t>
      </w:r>
      <w:r w:rsidRPr="00842651">
        <w:rPr>
          <w:color w:val="auto"/>
        </w:rPr>
        <w:t>BIA</w:t>
      </w:r>
      <w:r w:rsidRPr="00FE7622">
        <w:rPr>
          <w:color w:val="auto"/>
        </w:rPr>
        <w:t xml:space="preserve"> are converted </w:t>
      </w:r>
      <w:r w:rsidR="00943CB4" w:rsidRPr="00FE7622">
        <w:rPr>
          <w:color w:val="auto"/>
        </w:rPr>
        <w:t>using</w:t>
      </w:r>
      <w:r w:rsidRPr="00FE7622">
        <w:rPr>
          <w:color w:val="auto"/>
        </w:rPr>
        <w:t xml:space="preserve"> the Sergi equation to predict appendicular skeletal muscle mass (</w:t>
      </w:r>
      <w:r w:rsidRPr="00842651">
        <w:rPr>
          <w:color w:val="auto"/>
        </w:rPr>
        <w:t>ASMM</w:t>
      </w:r>
      <w:r w:rsidRPr="00FE7622">
        <w:rPr>
          <w:color w:val="auto"/>
        </w:rPr>
        <w:t>) index (</w:t>
      </w:r>
      <w:r w:rsidRPr="00842651">
        <w:rPr>
          <w:color w:val="auto"/>
        </w:rPr>
        <w:t>ASMM</w:t>
      </w:r>
      <w:r w:rsidRPr="00FE7622">
        <w:rPr>
          <w:color w:val="auto"/>
        </w:rPr>
        <w:t>/height</w:t>
      </w:r>
      <w:r w:rsidR="00E038BF" w:rsidRPr="00FE7622">
        <w:rPr>
          <w:color w:val="auto"/>
          <w:vertAlign w:val="superscript"/>
        </w:rPr>
        <w:t>2</w:t>
      </w:r>
      <w:r w:rsidRPr="00FE7622">
        <w:rPr>
          <w:color w:val="auto"/>
        </w:rPr>
        <w:t xml:space="preserve">). The Sergi equation was derived from bioimpedance measures using the same </w:t>
      </w:r>
      <w:r w:rsidRPr="00842651">
        <w:rPr>
          <w:color w:val="auto"/>
        </w:rPr>
        <w:t>BIA</w:t>
      </w:r>
      <w:r w:rsidRPr="00FE7622">
        <w:rPr>
          <w:color w:val="auto"/>
        </w:rPr>
        <w:t xml:space="preserve"> system as used for screening in the </w:t>
      </w:r>
      <w:r w:rsidRPr="00842651">
        <w:rPr>
          <w:color w:val="auto"/>
        </w:rPr>
        <w:t>LACE</w:t>
      </w:r>
      <w:r w:rsidRPr="00FE7622">
        <w:rPr>
          <w:color w:val="auto"/>
        </w:rPr>
        <w:t xml:space="preserve"> trial (the Akern </w:t>
      </w:r>
      <w:r w:rsidRPr="00842651">
        <w:rPr>
          <w:color w:val="auto"/>
        </w:rPr>
        <w:t>BIA</w:t>
      </w:r>
      <w:r w:rsidRPr="00FE7622">
        <w:rPr>
          <w:color w:val="auto"/>
        </w:rPr>
        <w:t xml:space="preserve"> 101), compared with </w:t>
      </w:r>
      <w:r w:rsidRPr="00842651">
        <w:rPr>
          <w:color w:val="auto"/>
        </w:rPr>
        <w:t>DXA</w:t>
      </w:r>
      <w:r w:rsidRPr="00FE7622">
        <w:rPr>
          <w:color w:val="auto"/>
        </w:rPr>
        <w:t xml:space="preserve"> appendicular muscle mass. The Sergi equation was derived in an older, white, European (but non-UK) population</w:t>
      </w:r>
      <w:r w:rsidR="00943CB4" w:rsidRPr="00FE7622">
        <w:rPr>
          <w:color w:val="auto"/>
        </w:rPr>
        <w:t>,</w:t>
      </w:r>
      <w:r w:rsidRPr="00FE7622">
        <w:rPr>
          <w:color w:val="auto"/>
        </w:rPr>
        <w:t xml:space="preserve"> and data are lacking </w:t>
      </w:r>
      <w:r w:rsidR="00043F57" w:rsidRPr="00FE7622">
        <w:rPr>
          <w:color w:val="auto"/>
        </w:rPr>
        <w:t>on</w:t>
      </w:r>
      <w:r w:rsidRPr="00FE7622">
        <w:rPr>
          <w:color w:val="auto"/>
        </w:rPr>
        <w:t xml:space="preserve"> how well the equation can predict </w:t>
      </w:r>
      <w:r w:rsidRPr="00842651">
        <w:rPr>
          <w:color w:val="auto"/>
        </w:rPr>
        <w:t>DXA</w:t>
      </w:r>
      <w:r w:rsidRPr="00FE7622">
        <w:rPr>
          <w:color w:val="auto"/>
        </w:rPr>
        <w:t>-measured muscle mass, and hence</w:t>
      </w:r>
      <w:r w:rsidR="00043F57" w:rsidRPr="00FE7622">
        <w:rPr>
          <w:color w:val="auto"/>
        </w:rPr>
        <w:t xml:space="preserve"> on</w:t>
      </w:r>
      <w:r w:rsidRPr="00FE7622">
        <w:rPr>
          <w:color w:val="auto"/>
        </w:rPr>
        <w:t xml:space="preserve"> its utility as a screening tool in sarcopenia trials.</w:t>
      </w:r>
    </w:p>
    <w:p w14:paraId="2841244D" w14:textId="78B60AE4" w:rsidR="00F026E8" w:rsidRPr="00FE7622" w:rsidRDefault="00F026E8" w:rsidP="0082089A">
      <w:pPr>
        <w:pStyle w:val="602TextfoTextstylesTextstyles"/>
        <w:rPr>
          <w:color w:val="auto"/>
        </w:rPr>
      </w:pPr>
      <w:r w:rsidRPr="00FE7622">
        <w:rPr>
          <w:color w:val="auto"/>
        </w:rPr>
        <w:t xml:space="preserve">Estimates of </w:t>
      </w:r>
      <w:r w:rsidRPr="00842651">
        <w:rPr>
          <w:color w:val="auto"/>
        </w:rPr>
        <w:t>ASMM</w:t>
      </w:r>
      <w:r w:rsidRPr="00FE7622">
        <w:rPr>
          <w:color w:val="auto"/>
        </w:rPr>
        <w:t xml:space="preserve"> index derived via the Sergi equation at the screening visit were compared with </w:t>
      </w:r>
      <w:r w:rsidRPr="00842651">
        <w:rPr>
          <w:color w:val="auto"/>
        </w:rPr>
        <w:t>ASMM</w:t>
      </w:r>
      <w:r w:rsidRPr="00FE7622">
        <w:rPr>
          <w:color w:val="auto"/>
        </w:rPr>
        <w:t xml:space="preserve"> index measured by </w:t>
      </w:r>
      <w:r w:rsidRPr="00842651">
        <w:rPr>
          <w:color w:val="auto"/>
        </w:rPr>
        <w:t>DXA</w:t>
      </w:r>
      <w:r w:rsidRPr="00FE7622">
        <w:rPr>
          <w:color w:val="auto"/>
        </w:rPr>
        <w:t xml:space="preserve"> at the baseline visit. A total of 144 participants underwent </w:t>
      </w:r>
      <w:r w:rsidRPr="00842651">
        <w:rPr>
          <w:color w:val="auto"/>
        </w:rPr>
        <w:t>DXA</w:t>
      </w:r>
      <w:r w:rsidRPr="00FE7622">
        <w:rPr>
          <w:color w:val="auto"/>
        </w:rPr>
        <w:t xml:space="preserve"> at the baseline visit and had usable data; data were not acquired for one participant due to scanner technical failure. Baseline details for these 144 participants </w:t>
      </w:r>
      <w:r w:rsidR="008F23D9" w:rsidRPr="00FE7622">
        <w:rPr>
          <w:color w:val="auto"/>
        </w:rPr>
        <w:t xml:space="preserve">are shown </w:t>
      </w:r>
      <w:r w:rsidRPr="00FE7622">
        <w:rPr>
          <w:color w:val="auto"/>
        </w:rPr>
        <w:t xml:space="preserve">in </w:t>
      </w:r>
      <w:r w:rsidR="00E038BF" w:rsidRPr="00FE7622">
        <w:rPr>
          <w:i/>
          <w:color w:val="FF0000"/>
        </w:rPr>
        <w:t>Table 3</w:t>
      </w:r>
      <w:r w:rsidRPr="00FE7622">
        <w:rPr>
          <w:color w:val="auto"/>
        </w:rPr>
        <w:t>.</w:t>
      </w:r>
    </w:p>
    <w:p w14:paraId="661A6587" w14:textId="01D86F6E" w:rsidR="00F026E8" w:rsidRPr="00FE7622" w:rsidRDefault="00E038BF" w:rsidP="00F026E8">
      <w:pPr>
        <w:pStyle w:val="70TablelegendTablesTableFigureBoxstyles"/>
        <w:rPr>
          <w:lang w:val="en-GB"/>
        </w:rPr>
      </w:pPr>
      <w:r w:rsidRPr="00FE7622">
        <w:rPr>
          <w:b/>
        </w:rPr>
        <w:t>TABLE 3</w:t>
      </w:r>
      <w:r w:rsidRPr="00FE7622">
        <w:rPr>
          <w:b/>
        </w:rPr>
        <w:t> </w:t>
      </w:r>
      <w:r w:rsidR="00F026E8" w:rsidRPr="00FE7622">
        <w:rPr>
          <w:lang w:val="en-GB"/>
        </w:rPr>
        <w:t>Characteristics of participants attending screening visit and baseline visit for muscle mass measurement</w:t>
      </w:r>
    </w:p>
    <w:tbl>
      <w:tblPr>
        <w:tblW w:w="0" w:type="auto"/>
        <w:tblCellMar>
          <w:top w:w="40" w:type="dxa"/>
          <w:left w:w="60" w:type="dxa"/>
          <w:bottom w:w="40" w:type="dxa"/>
          <w:right w:w="60" w:type="dxa"/>
        </w:tblCellMar>
        <w:tblLook w:val="04A0" w:firstRow="1" w:lastRow="0" w:firstColumn="1" w:lastColumn="0" w:noHBand="0" w:noVBand="1"/>
      </w:tblPr>
      <w:tblGrid>
        <w:gridCol w:w="4377"/>
        <w:gridCol w:w="1904"/>
        <w:gridCol w:w="2745"/>
      </w:tblGrid>
      <w:tr w:rsidR="00F01139" w:rsidRPr="00FE7622" w14:paraId="11C1DB66" w14:textId="77777777" w:rsidTr="00AF19CC">
        <w:trPr>
          <w:cantSplit/>
        </w:trPr>
        <w:tc>
          <w:tcPr>
            <w:tcW w:w="0" w:type="auto"/>
            <w:shd w:val="clear" w:color="auto" w:fill="auto"/>
          </w:tcPr>
          <w:p w14:paraId="1DB5D7CB" w14:textId="673779AB" w:rsidR="00F01139" w:rsidRPr="00FE7622" w:rsidRDefault="00E038BF" w:rsidP="00AF19CC">
            <w:pPr>
              <w:pStyle w:val="705TableheadgroupTablesTableFigureBoxstyles"/>
            </w:pPr>
            <w:r w:rsidRPr="00FE7622">
              <w:t>Characteristic</w:t>
            </w:r>
          </w:p>
        </w:tc>
        <w:tc>
          <w:tcPr>
            <w:tcW w:w="0" w:type="auto"/>
            <w:shd w:val="clear" w:color="auto" w:fill="auto"/>
          </w:tcPr>
          <w:p w14:paraId="5DFFA130" w14:textId="5643837E" w:rsidR="00F01139" w:rsidRPr="00FE7622" w:rsidRDefault="00E038BF" w:rsidP="00AF19CC">
            <w:pPr>
              <w:pStyle w:val="710TableheadTablesTableFigureBoxstyles"/>
            </w:pPr>
            <w:r w:rsidRPr="00FE7622">
              <w:t>Attended screening visit (</w:t>
            </w:r>
            <w:r w:rsidRPr="00FE7622">
              <w:rPr>
                <w:i/>
                <w:iCs/>
              </w:rPr>
              <w:t>N</w:t>
            </w:r>
            <w:r w:rsidRPr="00FE7622">
              <w:t> = 320)</w:t>
            </w:r>
          </w:p>
        </w:tc>
        <w:tc>
          <w:tcPr>
            <w:tcW w:w="0" w:type="auto"/>
            <w:shd w:val="clear" w:color="auto" w:fill="auto"/>
          </w:tcPr>
          <w:p w14:paraId="32D7897A" w14:textId="7718589B" w:rsidR="00F01139" w:rsidRPr="00FE7622" w:rsidRDefault="00E038BF" w:rsidP="00AF19CC">
            <w:pPr>
              <w:pStyle w:val="710TableheadTablesTableFigureBoxstyles"/>
            </w:pPr>
            <w:r w:rsidRPr="00FE7622">
              <w:t xml:space="preserve">Randomised with valid baseline </w:t>
            </w:r>
            <w:r w:rsidRPr="00842651">
              <w:t>DXA</w:t>
            </w:r>
            <w:r w:rsidRPr="00FE7622">
              <w:t xml:space="preserve"> data (</w:t>
            </w:r>
            <w:r w:rsidRPr="00FE7622">
              <w:rPr>
                <w:i/>
              </w:rPr>
              <w:t>N</w:t>
            </w:r>
            <w:r w:rsidRPr="00FE7622">
              <w:t> = 144)</w:t>
            </w:r>
          </w:p>
        </w:tc>
      </w:tr>
      <w:tr w:rsidR="00F01139" w:rsidRPr="00FE7622" w14:paraId="53C809A6" w14:textId="77777777" w:rsidTr="00AF19CC">
        <w:trPr>
          <w:cantSplit/>
        </w:trPr>
        <w:tc>
          <w:tcPr>
            <w:tcW w:w="0" w:type="auto"/>
            <w:shd w:val="clear" w:color="auto" w:fill="auto"/>
          </w:tcPr>
          <w:p w14:paraId="550A95DF" w14:textId="77777777" w:rsidR="00F01139" w:rsidRPr="00FE7622" w:rsidRDefault="00F01139" w:rsidP="00AF19CC">
            <w:pPr>
              <w:pStyle w:val="72TabletextTablesTableFigureBoxstyles"/>
            </w:pPr>
            <w:r w:rsidRPr="00FE7622">
              <w:rPr>
                <w:color w:val="auto"/>
              </w:rPr>
              <w:t>Mean age (years) (</w:t>
            </w:r>
            <w:r w:rsidRPr="00842651">
              <w:rPr>
                <w:color w:val="auto"/>
              </w:rPr>
              <w:t>SD</w:t>
            </w:r>
            <w:r w:rsidRPr="00FE7622">
              <w:rPr>
                <w:color w:val="auto"/>
              </w:rPr>
              <w:t>)</w:t>
            </w:r>
          </w:p>
        </w:tc>
        <w:tc>
          <w:tcPr>
            <w:tcW w:w="0" w:type="auto"/>
            <w:shd w:val="clear" w:color="auto" w:fill="auto"/>
          </w:tcPr>
          <w:p w14:paraId="188C9792" w14:textId="0231F13B" w:rsidR="00F01139" w:rsidRPr="00FE7622" w:rsidRDefault="00F01139" w:rsidP="00AF19CC">
            <w:pPr>
              <w:pStyle w:val="72TabletextTablesTableFigureBoxstyles"/>
            </w:pPr>
            <w:r w:rsidRPr="00FE7622">
              <w:rPr>
                <w:color w:val="auto"/>
              </w:rPr>
              <w:t>77.7 (5.6)</w:t>
            </w:r>
          </w:p>
        </w:tc>
        <w:tc>
          <w:tcPr>
            <w:tcW w:w="0" w:type="auto"/>
            <w:shd w:val="clear" w:color="auto" w:fill="auto"/>
          </w:tcPr>
          <w:p w14:paraId="649F713C" w14:textId="77777777" w:rsidR="00F01139" w:rsidRPr="00FE7622" w:rsidRDefault="00F01139" w:rsidP="00AF19CC">
            <w:pPr>
              <w:pStyle w:val="72TabletextTablesTableFigureBoxstyles"/>
              <w:rPr>
                <w:color w:val="auto"/>
              </w:rPr>
            </w:pPr>
            <w:r w:rsidRPr="00FE7622">
              <w:rPr>
                <w:color w:val="auto"/>
              </w:rPr>
              <w:t>78.8 (6.0)</w:t>
            </w:r>
          </w:p>
        </w:tc>
      </w:tr>
      <w:tr w:rsidR="00F01139" w:rsidRPr="00FE7622" w14:paraId="38716FB1" w14:textId="77777777" w:rsidTr="00AF19CC">
        <w:trPr>
          <w:cantSplit/>
        </w:trPr>
        <w:tc>
          <w:tcPr>
            <w:tcW w:w="0" w:type="auto"/>
            <w:shd w:val="clear" w:color="auto" w:fill="auto"/>
          </w:tcPr>
          <w:p w14:paraId="3C271300" w14:textId="77777777" w:rsidR="00F01139" w:rsidRPr="00FE7622" w:rsidRDefault="00F01139" w:rsidP="00AF19CC">
            <w:pPr>
              <w:pStyle w:val="72TabletextTablesTableFigureBoxstyles"/>
            </w:pPr>
            <w:r w:rsidRPr="00FE7622">
              <w:rPr>
                <w:color w:val="auto"/>
              </w:rPr>
              <w:t>Female sex (%)</w:t>
            </w:r>
          </w:p>
        </w:tc>
        <w:tc>
          <w:tcPr>
            <w:tcW w:w="0" w:type="auto"/>
            <w:shd w:val="clear" w:color="auto" w:fill="auto"/>
          </w:tcPr>
          <w:p w14:paraId="174FCEF4" w14:textId="47ECD2F0" w:rsidR="00F01139" w:rsidRPr="00FE7622" w:rsidRDefault="00F01139" w:rsidP="00AF19CC">
            <w:pPr>
              <w:pStyle w:val="72TabletextTablesTableFigureBoxstyles"/>
            </w:pPr>
            <w:r w:rsidRPr="00FE7622">
              <w:rPr>
                <w:color w:val="auto"/>
              </w:rPr>
              <w:t>190 (59)</w:t>
            </w:r>
          </w:p>
        </w:tc>
        <w:tc>
          <w:tcPr>
            <w:tcW w:w="0" w:type="auto"/>
            <w:shd w:val="clear" w:color="auto" w:fill="auto"/>
          </w:tcPr>
          <w:p w14:paraId="6BC3250E" w14:textId="77777777" w:rsidR="00F01139" w:rsidRPr="00FE7622" w:rsidRDefault="00F01139" w:rsidP="00AF19CC">
            <w:pPr>
              <w:pStyle w:val="72TabletextTablesTableFigureBoxstyles"/>
              <w:rPr>
                <w:color w:val="auto"/>
              </w:rPr>
            </w:pPr>
            <w:r w:rsidRPr="00FE7622">
              <w:rPr>
                <w:color w:val="auto"/>
              </w:rPr>
              <w:t>78 (54)</w:t>
            </w:r>
          </w:p>
        </w:tc>
      </w:tr>
      <w:tr w:rsidR="00F01139" w:rsidRPr="00FE7622" w14:paraId="1889D30C" w14:textId="77777777" w:rsidTr="00AF19CC">
        <w:trPr>
          <w:cantSplit/>
        </w:trPr>
        <w:tc>
          <w:tcPr>
            <w:tcW w:w="0" w:type="auto"/>
            <w:vMerge w:val="restart"/>
            <w:shd w:val="clear" w:color="auto" w:fill="auto"/>
          </w:tcPr>
          <w:p w14:paraId="2DA3EBCB" w14:textId="4EE4A144" w:rsidR="00F01139" w:rsidRPr="00FE7622" w:rsidRDefault="00F01139" w:rsidP="00AF19CC">
            <w:pPr>
              <w:pStyle w:val="72TabletextTablesTableFigureBoxstyles"/>
            </w:pPr>
            <w:r w:rsidRPr="00FE7622">
              <w:rPr>
                <w:color w:val="auto"/>
              </w:rPr>
              <w:t>Mean handgrip strength (kg) (</w:t>
            </w:r>
            <w:r w:rsidRPr="00842651">
              <w:rPr>
                <w:color w:val="auto"/>
              </w:rPr>
              <w:t>SD</w:t>
            </w:r>
            <w:r w:rsidRPr="00FE7622">
              <w:rPr>
                <w:color w:val="auto"/>
              </w:rPr>
              <w:t>)</w:t>
            </w:r>
          </w:p>
        </w:tc>
        <w:tc>
          <w:tcPr>
            <w:tcW w:w="0" w:type="auto"/>
            <w:shd w:val="clear" w:color="auto" w:fill="auto"/>
          </w:tcPr>
          <w:p w14:paraId="10E512DD" w14:textId="36879842" w:rsidR="00F01139" w:rsidRPr="00FE7622" w:rsidRDefault="00F01139" w:rsidP="00AF19CC">
            <w:pPr>
              <w:pStyle w:val="72TabletextTablesTableFigureBoxstyles"/>
            </w:pPr>
            <w:r w:rsidRPr="00FE7622">
              <w:rPr>
                <w:color w:val="auto"/>
              </w:rPr>
              <w:t>Men (</w:t>
            </w:r>
            <w:r w:rsidR="00E038BF" w:rsidRPr="00FE7622">
              <w:rPr>
                <w:i/>
                <w:color w:val="auto"/>
              </w:rPr>
              <w:t>n</w:t>
            </w:r>
            <w:r w:rsidRPr="00FE7622">
              <w:rPr>
                <w:color w:val="auto"/>
              </w:rPr>
              <w:t> = 123): 24.8 (7.0)</w:t>
            </w:r>
          </w:p>
        </w:tc>
        <w:tc>
          <w:tcPr>
            <w:tcW w:w="0" w:type="auto"/>
            <w:shd w:val="clear" w:color="auto" w:fill="auto"/>
          </w:tcPr>
          <w:p w14:paraId="3F115F82" w14:textId="0AE8DED1" w:rsidR="00F01139" w:rsidRPr="00FE7622" w:rsidRDefault="00F01139" w:rsidP="00AF19CC">
            <w:pPr>
              <w:pStyle w:val="72TabletextTablesTableFigureBoxstyles"/>
              <w:rPr>
                <w:color w:val="auto"/>
              </w:rPr>
            </w:pPr>
            <w:r w:rsidRPr="00FE7622">
              <w:rPr>
                <w:color w:val="auto"/>
              </w:rPr>
              <w:t>Men (</w:t>
            </w:r>
            <w:r w:rsidR="00E038BF" w:rsidRPr="00FE7622">
              <w:rPr>
                <w:i/>
                <w:color w:val="auto"/>
              </w:rPr>
              <w:t>n</w:t>
            </w:r>
            <w:r w:rsidRPr="00FE7622">
              <w:rPr>
                <w:color w:val="auto"/>
              </w:rPr>
              <w:t> = 66): 23.1 (5.9)</w:t>
            </w:r>
          </w:p>
        </w:tc>
      </w:tr>
      <w:tr w:rsidR="00F01139" w:rsidRPr="00FE7622" w14:paraId="2DD647F7" w14:textId="77777777" w:rsidTr="00AF19CC">
        <w:trPr>
          <w:cantSplit/>
        </w:trPr>
        <w:tc>
          <w:tcPr>
            <w:tcW w:w="0" w:type="auto"/>
            <w:vMerge/>
            <w:shd w:val="clear" w:color="auto" w:fill="auto"/>
          </w:tcPr>
          <w:p w14:paraId="0BD5088D" w14:textId="57BE5A04" w:rsidR="00F01139" w:rsidRPr="00FE7622" w:rsidRDefault="00F01139" w:rsidP="00AF19CC">
            <w:pPr>
              <w:pStyle w:val="72TabletextTablesTableFigureBoxstyles"/>
            </w:pPr>
          </w:p>
        </w:tc>
        <w:tc>
          <w:tcPr>
            <w:tcW w:w="0" w:type="auto"/>
            <w:shd w:val="clear" w:color="auto" w:fill="auto"/>
          </w:tcPr>
          <w:p w14:paraId="0559ED99" w14:textId="22B8AC4E" w:rsidR="00F01139" w:rsidRPr="00FE7622" w:rsidRDefault="00F01139" w:rsidP="00AF19CC">
            <w:pPr>
              <w:pStyle w:val="72TabletextTablesTableFigureBoxstyles"/>
            </w:pPr>
            <w:r w:rsidRPr="00FE7622">
              <w:rPr>
                <w:color w:val="auto"/>
              </w:rPr>
              <w:t>Women (</w:t>
            </w:r>
            <w:r w:rsidR="00E038BF" w:rsidRPr="00FE7622">
              <w:rPr>
                <w:i/>
                <w:color w:val="auto"/>
              </w:rPr>
              <w:t>n</w:t>
            </w:r>
            <w:r w:rsidRPr="00FE7622">
              <w:rPr>
                <w:color w:val="auto"/>
              </w:rPr>
              <w:t> = 151): 14.3 (4.4)</w:t>
            </w:r>
          </w:p>
        </w:tc>
        <w:tc>
          <w:tcPr>
            <w:tcW w:w="0" w:type="auto"/>
            <w:shd w:val="clear" w:color="auto" w:fill="auto"/>
          </w:tcPr>
          <w:p w14:paraId="65FCC9CA" w14:textId="21B6DE8A" w:rsidR="00F01139" w:rsidRPr="00FE7622" w:rsidRDefault="00F01139" w:rsidP="00AF19CC">
            <w:pPr>
              <w:pStyle w:val="72TabletextTablesTableFigureBoxstyles"/>
              <w:rPr>
                <w:color w:val="auto"/>
              </w:rPr>
            </w:pPr>
            <w:r w:rsidRPr="00FE7622">
              <w:rPr>
                <w:color w:val="auto"/>
              </w:rPr>
              <w:t>Women (</w:t>
            </w:r>
            <w:r w:rsidR="00E038BF" w:rsidRPr="00FE7622">
              <w:rPr>
                <w:i/>
                <w:color w:val="auto"/>
              </w:rPr>
              <w:t>n</w:t>
            </w:r>
            <w:r w:rsidRPr="00FE7622">
              <w:rPr>
                <w:color w:val="auto"/>
              </w:rPr>
              <w:t> = 78): 13.7 (3.9)</w:t>
            </w:r>
          </w:p>
        </w:tc>
      </w:tr>
      <w:tr w:rsidR="00F01139" w:rsidRPr="00FE7622" w14:paraId="3671EB7D" w14:textId="77777777" w:rsidTr="00AF19CC">
        <w:trPr>
          <w:cantSplit/>
        </w:trPr>
        <w:tc>
          <w:tcPr>
            <w:tcW w:w="0" w:type="auto"/>
            <w:vMerge w:val="restart"/>
            <w:shd w:val="clear" w:color="auto" w:fill="auto"/>
          </w:tcPr>
          <w:p w14:paraId="086F607A" w14:textId="4BF9EAFA" w:rsidR="00F01139" w:rsidRPr="00FE7622" w:rsidRDefault="00F01139" w:rsidP="00AF19CC">
            <w:pPr>
              <w:pStyle w:val="72TabletextTablesTableFigureBoxstyles"/>
            </w:pPr>
            <w:r w:rsidRPr="00FE7622">
              <w:rPr>
                <w:color w:val="auto"/>
              </w:rPr>
              <w:t xml:space="preserve">Mean </w:t>
            </w:r>
            <w:r w:rsidRPr="00842651">
              <w:rPr>
                <w:color w:val="auto"/>
              </w:rPr>
              <w:t>BIA</w:t>
            </w:r>
            <w:r w:rsidRPr="00FE7622">
              <w:rPr>
                <w:color w:val="auto"/>
              </w:rPr>
              <w:t xml:space="preserve"> muscle mass</w:t>
            </w:r>
            <w:r w:rsidR="00E038BF" w:rsidRPr="00FE7622">
              <w:rPr>
                <w:color w:val="auto"/>
                <w:vertAlign w:val="superscript"/>
              </w:rPr>
              <w:t>a</w:t>
            </w:r>
            <w:r w:rsidRPr="00FE7622">
              <w:rPr>
                <w:color w:val="auto"/>
              </w:rPr>
              <w:t xml:space="preserve"> (kg/m</w:t>
            </w:r>
            <w:r w:rsidR="00E038BF" w:rsidRPr="00FE7622">
              <w:rPr>
                <w:color w:val="auto"/>
                <w:vertAlign w:val="superscript"/>
              </w:rPr>
              <w:t>2</w:t>
            </w:r>
            <w:r w:rsidRPr="00FE7622">
              <w:rPr>
                <w:color w:val="auto"/>
              </w:rPr>
              <w:t>) (</w:t>
            </w:r>
            <w:r w:rsidRPr="00842651">
              <w:rPr>
                <w:color w:val="auto"/>
              </w:rPr>
              <w:t>SD</w:t>
            </w:r>
            <w:r w:rsidRPr="00FE7622">
              <w:rPr>
                <w:color w:val="auto"/>
              </w:rPr>
              <w:t>)</w:t>
            </w:r>
          </w:p>
        </w:tc>
        <w:tc>
          <w:tcPr>
            <w:tcW w:w="0" w:type="auto"/>
            <w:shd w:val="clear" w:color="auto" w:fill="auto"/>
          </w:tcPr>
          <w:p w14:paraId="0A0C1B3F" w14:textId="7F84226E" w:rsidR="00F01139" w:rsidRPr="00FE7622" w:rsidRDefault="00F01139" w:rsidP="00AF19CC">
            <w:pPr>
              <w:pStyle w:val="72TabletextTablesTableFigureBoxstyles"/>
            </w:pPr>
            <w:r w:rsidRPr="00FE7622">
              <w:rPr>
                <w:color w:val="auto"/>
              </w:rPr>
              <w:t>Men (</w:t>
            </w:r>
            <w:r w:rsidR="00E038BF" w:rsidRPr="00FE7622">
              <w:rPr>
                <w:i/>
                <w:color w:val="auto"/>
              </w:rPr>
              <w:t>n</w:t>
            </w:r>
            <w:r w:rsidRPr="00FE7622">
              <w:rPr>
                <w:color w:val="auto"/>
              </w:rPr>
              <w:t> = 130): 7.49 (1.37)</w:t>
            </w:r>
          </w:p>
        </w:tc>
        <w:tc>
          <w:tcPr>
            <w:tcW w:w="0" w:type="auto"/>
            <w:shd w:val="clear" w:color="auto" w:fill="auto"/>
          </w:tcPr>
          <w:p w14:paraId="0D7E0426" w14:textId="0B29CF0C" w:rsidR="00F01139" w:rsidRPr="00FE7622" w:rsidRDefault="00F01139" w:rsidP="00AF19CC">
            <w:pPr>
              <w:pStyle w:val="72TabletextTablesTableFigureBoxstyles"/>
              <w:rPr>
                <w:color w:val="auto"/>
              </w:rPr>
            </w:pPr>
            <w:r w:rsidRPr="00FE7622">
              <w:rPr>
                <w:color w:val="auto"/>
              </w:rPr>
              <w:t>Men (</w:t>
            </w:r>
            <w:r w:rsidR="00E038BF" w:rsidRPr="00FE7622">
              <w:rPr>
                <w:i/>
                <w:color w:val="auto"/>
              </w:rPr>
              <w:t>n</w:t>
            </w:r>
            <w:r w:rsidRPr="00FE7622">
              <w:rPr>
                <w:color w:val="auto"/>
              </w:rPr>
              <w:t> = 66): 7.64 (1.34)</w:t>
            </w:r>
          </w:p>
        </w:tc>
      </w:tr>
      <w:tr w:rsidR="00F01139" w:rsidRPr="00FE7622" w14:paraId="149BE58E" w14:textId="77777777" w:rsidTr="00AF19CC">
        <w:trPr>
          <w:cantSplit/>
        </w:trPr>
        <w:tc>
          <w:tcPr>
            <w:tcW w:w="0" w:type="auto"/>
            <w:vMerge/>
            <w:shd w:val="clear" w:color="auto" w:fill="auto"/>
          </w:tcPr>
          <w:p w14:paraId="5430D1D6" w14:textId="009A63EE" w:rsidR="00F01139" w:rsidRPr="00FE7622" w:rsidRDefault="00F01139" w:rsidP="00AF19CC">
            <w:pPr>
              <w:pStyle w:val="72TabletextTablesTableFigureBoxstyles"/>
            </w:pPr>
          </w:p>
        </w:tc>
        <w:tc>
          <w:tcPr>
            <w:tcW w:w="0" w:type="auto"/>
            <w:shd w:val="clear" w:color="auto" w:fill="auto"/>
          </w:tcPr>
          <w:p w14:paraId="395F1925" w14:textId="5DF8C737" w:rsidR="00F01139" w:rsidRPr="00FE7622" w:rsidRDefault="00F01139" w:rsidP="00AF19CC">
            <w:pPr>
              <w:pStyle w:val="72TabletextTablesTableFigureBoxstyles"/>
            </w:pPr>
            <w:r w:rsidRPr="00FE7622">
              <w:rPr>
                <w:color w:val="auto"/>
              </w:rPr>
              <w:t>Women (</w:t>
            </w:r>
            <w:r w:rsidR="00E038BF" w:rsidRPr="00FE7622">
              <w:rPr>
                <w:i/>
                <w:color w:val="auto"/>
              </w:rPr>
              <w:t>n</w:t>
            </w:r>
            <w:r w:rsidRPr="00FE7622">
              <w:rPr>
                <w:color w:val="auto"/>
              </w:rPr>
              <w:t> = 188): 5.79 (1.82)</w:t>
            </w:r>
          </w:p>
        </w:tc>
        <w:tc>
          <w:tcPr>
            <w:tcW w:w="0" w:type="auto"/>
            <w:shd w:val="clear" w:color="auto" w:fill="auto"/>
          </w:tcPr>
          <w:p w14:paraId="10547F14" w14:textId="2BFF6A3D" w:rsidR="00F01139" w:rsidRPr="00FE7622" w:rsidRDefault="00F01139" w:rsidP="00AF19CC">
            <w:pPr>
              <w:pStyle w:val="72TabletextTablesTableFigureBoxstyles"/>
              <w:rPr>
                <w:color w:val="auto"/>
              </w:rPr>
            </w:pPr>
            <w:r w:rsidRPr="00FE7622">
              <w:rPr>
                <w:color w:val="auto"/>
              </w:rPr>
              <w:t>Women (</w:t>
            </w:r>
            <w:r w:rsidR="00E038BF" w:rsidRPr="00FE7622">
              <w:rPr>
                <w:i/>
                <w:color w:val="auto"/>
              </w:rPr>
              <w:t>n</w:t>
            </w:r>
            <w:r w:rsidRPr="00FE7622">
              <w:rPr>
                <w:color w:val="auto"/>
              </w:rPr>
              <w:t> = 78): 5.17 (1.17)</w:t>
            </w:r>
          </w:p>
        </w:tc>
      </w:tr>
      <w:tr w:rsidR="00F01139" w:rsidRPr="00FE7622" w14:paraId="1405832A" w14:textId="77777777" w:rsidTr="00AF19CC">
        <w:trPr>
          <w:cantSplit/>
        </w:trPr>
        <w:tc>
          <w:tcPr>
            <w:tcW w:w="0" w:type="auto"/>
            <w:shd w:val="clear" w:color="auto" w:fill="auto"/>
          </w:tcPr>
          <w:p w14:paraId="3BC23068" w14:textId="009B7729" w:rsidR="00F01139" w:rsidRPr="00FE7622" w:rsidRDefault="00F01139" w:rsidP="00AF19CC">
            <w:pPr>
              <w:pStyle w:val="72TabletextTablesTableFigureBoxstyles"/>
            </w:pPr>
            <w:r w:rsidRPr="00FE7622">
              <w:rPr>
                <w:color w:val="auto"/>
              </w:rPr>
              <w:t xml:space="preserve">Mean </w:t>
            </w:r>
            <w:r w:rsidRPr="00842651">
              <w:rPr>
                <w:color w:val="auto"/>
              </w:rPr>
              <w:t>SPPB</w:t>
            </w:r>
            <w:r w:rsidRPr="00FE7622">
              <w:rPr>
                <w:color w:val="auto"/>
              </w:rPr>
              <w:t xml:space="preserve"> (</w:t>
            </w:r>
            <w:r w:rsidRPr="00842651">
              <w:rPr>
                <w:color w:val="auto"/>
              </w:rPr>
              <w:t>SD</w:t>
            </w:r>
            <w:r w:rsidRPr="00FE7622">
              <w:rPr>
                <w:color w:val="auto"/>
              </w:rPr>
              <w:t>) (</w:t>
            </w:r>
            <w:r w:rsidR="00E038BF" w:rsidRPr="00FE7622">
              <w:rPr>
                <w:i/>
                <w:color w:val="auto"/>
              </w:rPr>
              <w:t>n</w:t>
            </w:r>
            <w:r w:rsidRPr="00FE7622">
              <w:rPr>
                <w:color w:val="auto"/>
              </w:rPr>
              <w:t> = 282)</w:t>
            </w:r>
          </w:p>
        </w:tc>
        <w:tc>
          <w:tcPr>
            <w:tcW w:w="0" w:type="auto"/>
            <w:shd w:val="clear" w:color="auto" w:fill="auto"/>
          </w:tcPr>
          <w:p w14:paraId="47B4F318" w14:textId="054D17CE" w:rsidR="00F01139" w:rsidRPr="00FE7622" w:rsidRDefault="00F01139" w:rsidP="00AF19CC">
            <w:pPr>
              <w:pStyle w:val="72TabletextTablesTableFigureBoxstyles"/>
            </w:pPr>
            <w:r w:rsidRPr="00FE7622">
              <w:rPr>
                <w:color w:val="auto"/>
              </w:rPr>
              <w:t>6.8 (2.7)</w:t>
            </w:r>
          </w:p>
        </w:tc>
        <w:tc>
          <w:tcPr>
            <w:tcW w:w="0" w:type="auto"/>
            <w:shd w:val="clear" w:color="auto" w:fill="auto"/>
          </w:tcPr>
          <w:p w14:paraId="03DEC3AD" w14:textId="77777777" w:rsidR="00F01139" w:rsidRPr="00FE7622" w:rsidRDefault="00F01139" w:rsidP="00AF19CC">
            <w:pPr>
              <w:pStyle w:val="72TabletextTablesTableFigureBoxstyles"/>
              <w:rPr>
                <w:color w:val="auto"/>
              </w:rPr>
            </w:pPr>
            <w:r w:rsidRPr="00FE7622">
              <w:rPr>
                <w:color w:val="auto"/>
              </w:rPr>
              <w:t>7.0 (2.3)</w:t>
            </w:r>
          </w:p>
        </w:tc>
      </w:tr>
      <w:tr w:rsidR="00F01139" w:rsidRPr="00FE7622" w14:paraId="4693AC10" w14:textId="77777777" w:rsidTr="00AF19CC">
        <w:trPr>
          <w:cantSplit/>
        </w:trPr>
        <w:tc>
          <w:tcPr>
            <w:tcW w:w="0" w:type="auto"/>
            <w:shd w:val="clear" w:color="auto" w:fill="auto"/>
          </w:tcPr>
          <w:p w14:paraId="3285A864" w14:textId="673720EE" w:rsidR="00F01139" w:rsidRPr="00FE7622" w:rsidRDefault="00F01139" w:rsidP="00AF19CC">
            <w:pPr>
              <w:pStyle w:val="72TabletextTablesTableFigureBoxstyles"/>
            </w:pPr>
            <w:r w:rsidRPr="00FE7622">
              <w:rPr>
                <w:color w:val="auto"/>
              </w:rPr>
              <w:t>Mean gait speed (m/second) (</w:t>
            </w:r>
            <w:r w:rsidRPr="00842651">
              <w:rPr>
                <w:color w:val="auto"/>
              </w:rPr>
              <w:t>SD</w:t>
            </w:r>
            <w:r w:rsidRPr="00FE7622">
              <w:rPr>
                <w:color w:val="auto"/>
              </w:rPr>
              <w:t>) (</w:t>
            </w:r>
            <w:r w:rsidR="00E038BF" w:rsidRPr="00FE7622">
              <w:rPr>
                <w:i/>
                <w:color w:val="auto"/>
              </w:rPr>
              <w:t>n</w:t>
            </w:r>
            <w:r w:rsidRPr="00FE7622">
              <w:rPr>
                <w:color w:val="auto"/>
              </w:rPr>
              <w:t> = 271)</w:t>
            </w:r>
          </w:p>
        </w:tc>
        <w:tc>
          <w:tcPr>
            <w:tcW w:w="0" w:type="auto"/>
            <w:shd w:val="clear" w:color="auto" w:fill="auto"/>
          </w:tcPr>
          <w:p w14:paraId="4603E842" w14:textId="6C7DF9CA" w:rsidR="00F01139" w:rsidRPr="00FE7622" w:rsidRDefault="00F01139" w:rsidP="00AF19CC">
            <w:pPr>
              <w:pStyle w:val="72TabletextTablesTableFigureBoxstyles"/>
            </w:pPr>
            <w:r w:rsidRPr="00FE7622">
              <w:rPr>
                <w:color w:val="auto"/>
              </w:rPr>
              <w:t>0.76 (0.25)</w:t>
            </w:r>
          </w:p>
        </w:tc>
        <w:tc>
          <w:tcPr>
            <w:tcW w:w="0" w:type="auto"/>
            <w:shd w:val="clear" w:color="auto" w:fill="auto"/>
          </w:tcPr>
          <w:p w14:paraId="1EF20AC3" w14:textId="77777777" w:rsidR="00F01139" w:rsidRPr="00FE7622" w:rsidRDefault="00F01139" w:rsidP="00AF19CC">
            <w:pPr>
              <w:pStyle w:val="72TabletextTablesTableFigureBoxstyles"/>
              <w:rPr>
                <w:color w:val="auto"/>
              </w:rPr>
            </w:pPr>
            <w:r w:rsidRPr="00FE7622">
              <w:rPr>
                <w:color w:val="auto"/>
              </w:rPr>
              <w:t>0.75 (0.23)</w:t>
            </w:r>
          </w:p>
        </w:tc>
      </w:tr>
      <w:tr w:rsidR="00F01139" w:rsidRPr="00FE7622" w14:paraId="2320D3B9" w14:textId="77777777" w:rsidTr="00AF19CC">
        <w:trPr>
          <w:cantSplit/>
        </w:trPr>
        <w:tc>
          <w:tcPr>
            <w:tcW w:w="0" w:type="auto"/>
            <w:shd w:val="clear" w:color="auto" w:fill="auto"/>
          </w:tcPr>
          <w:p w14:paraId="2A3CB7C2" w14:textId="76C1B022" w:rsidR="00F01139" w:rsidRPr="00FE7622" w:rsidRDefault="00F01139" w:rsidP="00AF19CC">
            <w:pPr>
              <w:pStyle w:val="72TabletextTablesTableFigureBoxstyles"/>
            </w:pPr>
            <w:r w:rsidRPr="00FE7622">
              <w:rPr>
                <w:color w:val="auto"/>
              </w:rPr>
              <w:t>Median chair stand time (seconds) [</w:t>
            </w:r>
            <w:r w:rsidRPr="00842651">
              <w:rPr>
                <w:color w:val="auto"/>
              </w:rPr>
              <w:t>IQR</w:t>
            </w:r>
            <w:r w:rsidRPr="00FE7622">
              <w:rPr>
                <w:color w:val="auto"/>
              </w:rPr>
              <w:t>]</w:t>
            </w:r>
          </w:p>
        </w:tc>
        <w:tc>
          <w:tcPr>
            <w:tcW w:w="0" w:type="auto"/>
            <w:shd w:val="clear" w:color="auto" w:fill="auto"/>
          </w:tcPr>
          <w:p w14:paraId="3459ABAE" w14:textId="27AD3B94" w:rsidR="00F01139" w:rsidRPr="00FE7622" w:rsidRDefault="00F01139" w:rsidP="00AF19CC">
            <w:pPr>
              <w:pStyle w:val="72TabletextTablesTableFigureBoxstyles"/>
            </w:pPr>
            <w:r w:rsidRPr="00FE7622">
              <w:rPr>
                <w:color w:val="auto"/>
              </w:rPr>
              <w:t>21 [16–28]</w:t>
            </w:r>
          </w:p>
        </w:tc>
        <w:tc>
          <w:tcPr>
            <w:tcW w:w="0" w:type="auto"/>
            <w:shd w:val="clear" w:color="auto" w:fill="auto"/>
          </w:tcPr>
          <w:p w14:paraId="6F1C1364" w14:textId="77777777" w:rsidR="00F01139" w:rsidRPr="00FE7622" w:rsidRDefault="00F01139" w:rsidP="00AF19CC">
            <w:pPr>
              <w:pStyle w:val="72TabletextTablesTableFigureBoxstyles"/>
              <w:rPr>
                <w:color w:val="auto"/>
              </w:rPr>
            </w:pPr>
            <w:r w:rsidRPr="00FE7622">
              <w:rPr>
                <w:color w:val="auto"/>
              </w:rPr>
              <w:t>22 [17–28]</w:t>
            </w:r>
          </w:p>
        </w:tc>
      </w:tr>
      <w:tr w:rsidR="00F01139" w:rsidRPr="00FE7622" w14:paraId="0C0D54A8" w14:textId="77777777" w:rsidTr="00AF19CC">
        <w:trPr>
          <w:cantSplit/>
        </w:trPr>
        <w:tc>
          <w:tcPr>
            <w:tcW w:w="0" w:type="auto"/>
            <w:shd w:val="clear" w:color="auto" w:fill="auto"/>
          </w:tcPr>
          <w:p w14:paraId="3D67255E" w14:textId="1328A429" w:rsidR="00F01139" w:rsidRPr="00FE7622" w:rsidRDefault="00F01139" w:rsidP="00AF19CC">
            <w:pPr>
              <w:pStyle w:val="72TabletextTablesTableFigureBoxstyles"/>
              <w:rPr>
                <w:color w:val="auto"/>
              </w:rPr>
            </w:pPr>
            <w:r w:rsidRPr="00FE7622">
              <w:rPr>
                <w:color w:val="auto"/>
              </w:rPr>
              <w:t>Proportion (%) with low grip strength (&lt; 30 kg male, &lt; 20 kg female)</w:t>
            </w:r>
          </w:p>
        </w:tc>
        <w:tc>
          <w:tcPr>
            <w:tcW w:w="0" w:type="auto"/>
            <w:shd w:val="clear" w:color="auto" w:fill="auto"/>
          </w:tcPr>
          <w:p w14:paraId="68C5D278" w14:textId="1B532CDD" w:rsidR="00F01139" w:rsidRPr="00FE7622" w:rsidRDefault="00F01139" w:rsidP="00AF19CC">
            <w:pPr>
              <w:pStyle w:val="72TabletextTablesTableFigureBoxstyles"/>
            </w:pPr>
            <w:r w:rsidRPr="00FE7622">
              <w:rPr>
                <w:color w:val="auto"/>
              </w:rPr>
              <w:t>231/274 (84)</w:t>
            </w:r>
          </w:p>
        </w:tc>
        <w:tc>
          <w:tcPr>
            <w:tcW w:w="0" w:type="auto"/>
            <w:shd w:val="clear" w:color="auto" w:fill="auto"/>
          </w:tcPr>
          <w:p w14:paraId="082845E0" w14:textId="77777777" w:rsidR="00F01139" w:rsidRPr="00FE7622" w:rsidRDefault="00F01139" w:rsidP="00AF19CC">
            <w:pPr>
              <w:pStyle w:val="72TabletextTablesTableFigureBoxstyles"/>
              <w:rPr>
                <w:color w:val="auto"/>
              </w:rPr>
            </w:pPr>
            <w:r w:rsidRPr="00FE7622">
              <w:rPr>
                <w:color w:val="auto"/>
              </w:rPr>
              <w:t>135/144 (94)</w:t>
            </w:r>
          </w:p>
        </w:tc>
      </w:tr>
      <w:tr w:rsidR="00F01139" w:rsidRPr="00FE7622" w14:paraId="6CCEC336" w14:textId="77777777" w:rsidTr="00AF19CC">
        <w:trPr>
          <w:cantSplit/>
        </w:trPr>
        <w:tc>
          <w:tcPr>
            <w:tcW w:w="0" w:type="auto"/>
            <w:shd w:val="clear" w:color="auto" w:fill="auto"/>
          </w:tcPr>
          <w:p w14:paraId="76755FEF" w14:textId="0950E5FD" w:rsidR="00F01139" w:rsidRPr="00FE7622" w:rsidRDefault="00F01139" w:rsidP="00AF19CC">
            <w:pPr>
              <w:pStyle w:val="72TabletextTablesTableFigureBoxstyles"/>
              <w:rPr>
                <w:color w:val="auto"/>
              </w:rPr>
            </w:pPr>
            <w:r w:rsidRPr="00FE7622">
              <w:rPr>
                <w:color w:val="auto"/>
              </w:rPr>
              <w:t>Proportion (%) with low grip strength (&lt; 27 kg male, &lt; 16 kg female)</w:t>
            </w:r>
          </w:p>
        </w:tc>
        <w:tc>
          <w:tcPr>
            <w:tcW w:w="0" w:type="auto"/>
            <w:shd w:val="clear" w:color="auto" w:fill="auto"/>
          </w:tcPr>
          <w:p w14:paraId="436B35B0" w14:textId="3092FBF0" w:rsidR="00F01139" w:rsidRPr="00FE7622" w:rsidRDefault="00F01139" w:rsidP="00AF19CC">
            <w:pPr>
              <w:pStyle w:val="72TabletextTablesTableFigureBoxstyles"/>
            </w:pPr>
            <w:r w:rsidRPr="00FE7622">
              <w:rPr>
                <w:color w:val="auto"/>
              </w:rPr>
              <w:t>174/274 (64)</w:t>
            </w:r>
          </w:p>
        </w:tc>
        <w:tc>
          <w:tcPr>
            <w:tcW w:w="0" w:type="auto"/>
            <w:shd w:val="clear" w:color="auto" w:fill="auto"/>
          </w:tcPr>
          <w:p w14:paraId="02F785A5" w14:textId="77777777" w:rsidR="00F01139" w:rsidRPr="00FE7622" w:rsidRDefault="00F01139" w:rsidP="00AF19CC">
            <w:pPr>
              <w:pStyle w:val="72TabletextTablesTableFigureBoxstyles"/>
              <w:rPr>
                <w:color w:val="auto"/>
              </w:rPr>
            </w:pPr>
            <w:r w:rsidRPr="00FE7622">
              <w:rPr>
                <w:color w:val="auto"/>
              </w:rPr>
              <w:t>104/144 (72)</w:t>
            </w:r>
          </w:p>
        </w:tc>
      </w:tr>
      <w:tr w:rsidR="00F01139" w:rsidRPr="00FE7622" w14:paraId="15B40A88" w14:textId="77777777" w:rsidTr="00AF19CC">
        <w:trPr>
          <w:cantSplit/>
        </w:trPr>
        <w:tc>
          <w:tcPr>
            <w:tcW w:w="0" w:type="auto"/>
            <w:shd w:val="clear" w:color="auto" w:fill="auto"/>
          </w:tcPr>
          <w:p w14:paraId="5323D845" w14:textId="348700B6" w:rsidR="00F01139" w:rsidRPr="00FE7622" w:rsidRDefault="00F01139" w:rsidP="00AF19CC">
            <w:pPr>
              <w:pStyle w:val="72TabletextTablesTableFigureBoxstyles"/>
            </w:pPr>
            <w:r w:rsidRPr="00FE7622">
              <w:rPr>
                <w:color w:val="auto"/>
              </w:rPr>
              <w:t>Proportion (%) with low muscle mass index (</w:t>
            </w:r>
            <w:r w:rsidRPr="00842651">
              <w:rPr>
                <w:color w:val="auto"/>
              </w:rPr>
              <w:t>BIA</w:t>
            </w:r>
            <w:r w:rsidRPr="00FE7622">
              <w:rPr>
                <w:color w:val="auto"/>
              </w:rPr>
              <w:t>) (&lt; 7.26 kg/m</w:t>
            </w:r>
            <w:r w:rsidR="00E038BF" w:rsidRPr="00FE7622">
              <w:rPr>
                <w:color w:val="auto"/>
                <w:vertAlign w:val="superscript"/>
              </w:rPr>
              <w:t>2</w:t>
            </w:r>
            <w:r w:rsidRPr="00FE7622">
              <w:rPr>
                <w:color w:val="auto"/>
              </w:rPr>
              <w:t xml:space="preserve"> male, &lt; 5.45 kg/m</w:t>
            </w:r>
            <w:r w:rsidR="00E038BF" w:rsidRPr="00FE7622">
              <w:rPr>
                <w:color w:val="auto"/>
                <w:vertAlign w:val="superscript"/>
              </w:rPr>
              <w:t>2</w:t>
            </w:r>
            <w:r w:rsidRPr="00FE7622">
              <w:rPr>
                <w:color w:val="auto"/>
              </w:rPr>
              <w:t xml:space="preserve"> female)</w:t>
            </w:r>
          </w:p>
        </w:tc>
        <w:tc>
          <w:tcPr>
            <w:tcW w:w="0" w:type="auto"/>
            <w:shd w:val="clear" w:color="auto" w:fill="auto"/>
          </w:tcPr>
          <w:p w14:paraId="47B4F0D6" w14:textId="4AD61076" w:rsidR="00F01139" w:rsidRPr="00FE7622" w:rsidRDefault="00F01139" w:rsidP="00AF19CC">
            <w:pPr>
              <w:pStyle w:val="72TabletextTablesTableFigureBoxstyles"/>
            </w:pPr>
            <w:r w:rsidRPr="00FE7622">
              <w:rPr>
                <w:color w:val="auto"/>
              </w:rPr>
              <w:t>143/318 (45)</w:t>
            </w:r>
          </w:p>
        </w:tc>
        <w:tc>
          <w:tcPr>
            <w:tcW w:w="0" w:type="auto"/>
            <w:shd w:val="clear" w:color="auto" w:fill="auto"/>
          </w:tcPr>
          <w:p w14:paraId="03880EFF" w14:textId="77777777" w:rsidR="00F01139" w:rsidRPr="00FE7622" w:rsidRDefault="00F01139" w:rsidP="00AF19CC">
            <w:pPr>
              <w:pStyle w:val="72TabletextTablesTableFigureBoxstyles"/>
              <w:rPr>
                <w:color w:val="auto"/>
              </w:rPr>
            </w:pPr>
            <w:r w:rsidRPr="00FE7622">
              <w:rPr>
                <w:color w:val="auto"/>
              </w:rPr>
              <w:t>73/144 (51)</w:t>
            </w:r>
          </w:p>
        </w:tc>
      </w:tr>
      <w:tr w:rsidR="003E5C73" w:rsidRPr="00FE7622" w14:paraId="5CFDEBA3" w14:textId="77777777" w:rsidTr="00AF19CC">
        <w:trPr>
          <w:cantSplit/>
        </w:trPr>
        <w:tc>
          <w:tcPr>
            <w:tcW w:w="0" w:type="auto"/>
            <w:gridSpan w:val="3"/>
            <w:shd w:val="clear" w:color="auto" w:fill="auto"/>
          </w:tcPr>
          <w:p w14:paraId="54B5C972" w14:textId="7FB585F1" w:rsidR="003E5C73" w:rsidRPr="00FE7622" w:rsidRDefault="003E5C73" w:rsidP="00AF19CC">
            <w:pPr>
              <w:pStyle w:val="72TabletextTablesTableFigureBoxstyles"/>
              <w:rPr>
                <w:color w:val="auto"/>
              </w:rPr>
            </w:pPr>
            <w:r w:rsidRPr="00FE7622">
              <w:rPr>
                <w:color w:val="auto"/>
              </w:rPr>
              <w:t xml:space="preserve">Low </w:t>
            </w:r>
            <w:r w:rsidRPr="00842651">
              <w:rPr>
                <w:color w:val="auto"/>
              </w:rPr>
              <w:t>BIA</w:t>
            </w:r>
            <w:r w:rsidRPr="00FE7622">
              <w:rPr>
                <w:color w:val="auto"/>
              </w:rPr>
              <w:t xml:space="preserve"> muscle mass on </w:t>
            </w:r>
            <w:r w:rsidRPr="00842651">
              <w:rPr>
                <w:color w:val="auto"/>
              </w:rPr>
              <w:t>BMI</w:t>
            </w:r>
            <w:r w:rsidRPr="00FE7622">
              <w:rPr>
                <w:color w:val="auto"/>
              </w:rPr>
              <w:t xml:space="preserve"> stratum (%)</w:t>
            </w:r>
          </w:p>
        </w:tc>
      </w:tr>
      <w:tr w:rsidR="00F01139" w:rsidRPr="00FE7622" w14:paraId="09D3F08D" w14:textId="77777777" w:rsidTr="00AF19CC">
        <w:trPr>
          <w:cantSplit/>
        </w:trPr>
        <w:tc>
          <w:tcPr>
            <w:tcW w:w="0" w:type="auto"/>
            <w:shd w:val="clear" w:color="auto" w:fill="auto"/>
          </w:tcPr>
          <w:p w14:paraId="4B1C8B72" w14:textId="3A33226E" w:rsidR="00F01139" w:rsidRPr="00FE7622" w:rsidRDefault="00F01139" w:rsidP="00AF19CC">
            <w:pPr>
              <w:pStyle w:val="72TabletextTablesTableFigureBoxstyles"/>
            </w:pPr>
            <w:r w:rsidRPr="00FE7622">
              <w:rPr>
                <w:color w:val="auto"/>
              </w:rPr>
              <w:tab/>
              <w:t>&lt; 18.5 kg/m</w:t>
            </w:r>
            <w:r w:rsidR="00E038BF" w:rsidRPr="00FE7622">
              <w:rPr>
                <w:color w:val="auto"/>
                <w:vertAlign w:val="superscript"/>
              </w:rPr>
              <w:t>2</w:t>
            </w:r>
          </w:p>
        </w:tc>
        <w:tc>
          <w:tcPr>
            <w:tcW w:w="0" w:type="auto"/>
            <w:shd w:val="clear" w:color="auto" w:fill="auto"/>
          </w:tcPr>
          <w:p w14:paraId="27C901AA" w14:textId="1FCCEB49" w:rsidR="00F01139" w:rsidRPr="00FE7622" w:rsidRDefault="00F01139" w:rsidP="00AF19CC">
            <w:pPr>
              <w:pStyle w:val="72TabletextTablesTableFigureBoxstyles"/>
            </w:pPr>
            <w:r w:rsidRPr="00FE7622">
              <w:rPr>
                <w:color w:val="auto"/>
              </w:rPr>
              <w:t>7/7 (100)</w:t>
            </w:r>
          </w:p>
        </w:tc>
        <w:tc>
          <w:tcPr>
            <w:tcW w:w="0" w:type="auto"/>
            <w:shd w:val="clear" w:color="auto" w:fill="auto"/>
          </w:tcPr>
          <w:p w14:paraId="6551AFD8" w14:textId="77777777" w:rsidR="00F01139" w:rsidRPr="00FE7622" w:rsidRDefault="00F01139" w:rsidP="00AF19CC">
            <w:pPr>
              <w:pStyle w:val="72TabletextTablesTableFigureBoxstyles"/>
              <w:rPr>
                <w:color w:val="auto"/>
              </w:rPr>
            </w:pPr>
            <w:r w:rsidRPr="00FE7622">
              <w:rPr>
                <w:color w:val="auto"/>
              </w:rPr>
              <w:t>4/4 (100)</w:t>
            </w:r>
          </w:p>
        </w:tc>
      </w:tr>
      <w:tr w:rsidR="00F01139" w:rsidRPr="00FE7622" w14:paraId="3E061FBA" w14:textId="77777777" w:rsidTr="00AF19CC">
        <w:trPr>
          <w:cantSplit/>
        </w:trPr>
        <w:tc>
          <w:tcPr>
            <w:tcW w:w="0" w:type="auto"/>
            <w:shd w:val="clear" w:color="auto" w:fill="auto"/>
          </w:tcPr>
          <w:p w14:paraId="3BDD1490" w14:textId="56BCA768" w:rsidR="00F01139" w:rsidRPr="00FE7622" w:rsidRDefault="00F01139" w:rsidP="00AF19CC">
            <w:pPr>
              <w:pStyle w:val="72TabletextTablesTableFigureBoxstyles"/>
            </w:pPr>
            <w:r w:rsidRPr="00FE7622">
              <w:rPr>
                <w:color w:val="auto"/>
              </w:rPr>
              <w:tab/>
              <w:t>18.5–24.9 kg/m</w:t>
            </w:r>
            <w:r w:rsidR="00E038BF" w:rsidRPr="00FE7622">
              <w:rPr>
                <w:color w:val="auto"/>
                <w:vertAlign w:val="superscript"/>
              </w:rPr>
              <w:t>2</w:t>
            </w:r>
          </w:p>
        </w:tc>
        <w:tc>
          <w:tcPr>
            <w:tcW w:w="0" w:type="auto"/>
            <w:shd w:val="clear" w:color="auto" w:fill="auto"/>
          </w:tcPr>
          <w:p w14:paraId="34AC3196" w14:textId="4C41098C" w:rsidR="00F01139" w:rsidRPr="00FE7622" w:rsidRDefault="00F01139" w:rsidP="00AF19CC">
            <w:pPr>
              <w:pStyle w:val="72TabletextTablesTableFigureBoxstyles"/>
            </w:pPr>
            <w:r w:rsidRPr="00FE7622">
              <w:rPr>
                <w:color w:val="auto"/>
              </w:rPr>
              <w:t>68/81 (84)</w:t>
            </w:r>
          </w:p>
        </w:tc>
        <w:tc>
          <w:tcPr>
            <w:tcW w:w="0" w:type="auto"/>
            <w:shd w:val="clear" w:color="auto" w:fill="auto"/>
          </w:tcPr>
          <w:p w14:paraId="4CF715A4" w14:textId="77777777" w:rsidR="00F01139" w:rsidRPr="00FE7622" w:rsidRDefault="00F01139" w:rsidP="00AF19CC">
            <w:pPr>
              <w:pStyle w:val="72TabletextTablesTableFigureBoxstyles"/>
              <w:rPr>
                <w:color w:val="auto"/>
              </w:rPr>
            </w:pPr>
            <w:r w:rsidRPr="00FE7622">
              <w:rPr>
                <w:color w:val="auto"/>
              </w:rPr>
              <w:t>29/34 (85)</w:t>
            </w:r>
          </w:p>
        </w:tc>
      </w:tr>
      <w:tr w:rsidR="00F01139" w:rsidRPr="00FE7622" w14:paraId="7771C45F" w14:textId="77777777" w:rsidTr="00AF19CC">
        <w:trPr>
          <w:cantSplit/>
        </w:trPr>
        <w:tc>
          <w:tcPr>
            <w:tcW w:w="0" w:type="auto"/>
            <w:shd w:val="clear" w:color="auto" w:fill="auto"/>
          </w:tcPr>
          <w:p w14:paraId="5B996AA1" w14:textId="1E6F2BA2" w:rsidR="00F01139" w:rsidRPr="00FE7622" w:rsidRDefault="00F01139" w:rsidP="00AF19CC">
            <w:pPr>
              <w:pStyle w:val="72TabletextTablesTableFigureBoxstyles"/>
            </w:pPr>
            <w:r w:rsidRPr="00FE7622">
              <w:rPr>
                <w:color w:val="auto"/>
              </w:rPr>
              <w:tab/>
              <w:t>25.0–29.9 kg/m</w:t>
            </w:r>
            <w:r w:rsidR="00E038BF" w:rsidRPr="00FE7622">
              <w:rPr>
                <w:color w:val="auto"/>
                <w:vertAlign w:val="superscript"/>
              </w:rPr>
              <w:t>2</w:t>
            </w:r>
          </w:p>
        </w:tc>
        <w:tc>
          <w:tcPr>
            <w:tcW w:w="0" w:type="auto"/>
            <w:shd w:val="clear" w:color="auto" w:fill="auto"/>
          </w:tcPr>
          <w:p w14:paraId="3915774B" w14:textId="55C03701" w:rsidR="00F01139" w:rsidRPr="00FE7622" w:rsidRDefault="00F01139" w:rsidP="00AF19CC">
            <w:pPr>
              <w:pStyle w:val="72TabletextTablesTableFigureBoxstyles"/>
            </w:pPr>
            <w:r w:rsidRPr="00FE7622">
              <w:rPr>
                <w:color w:val="auto"/>
              </w:rPr>
              <w:t>100/132 (76)</w:t>
            </w:r>
          </w:p>
        </w:tc>
        <w:tc>
          <w:tcPr>
            <w:tcW w:w="0" w:type="auto"/>
            <w:shd w:val="clear" w:color="auto" w:fill="auto"/>
          </w:tcPr>
          <w:p w14:paraId="078E4174" w14:textId="77777777" w:rsidR="00F01139" w:rsidRPr="00FE7622" w:rsidRDefault="00F01139" w:rsidP="00AF19CC">
            <w:pPr>
              <w:pStyle w:val="72TabletextTablesTableFigureBoxstyles"/>
              <w:rPr>
                <w:color w:val="auto"/>
              </w:rPr>
            </w:pPr>
            <w:r w:rsidRPr="00FE7622">
              <w:rPr>
                <w:color w:val="auto"/>
              </w:rPr>
              <w:t>58/74 (78)</w:t>
            </w:r>
          </w:p>
        </w:tc>
      </w:tr>
      <w:tr w:rsidR="00F01139" w:rsidRPr="00FE7622" w14:paraId="6605BE1C" w14:textId="77777777" w:rsidTr="00AF19CC">
        <w:trPr>
          <w:cantSplit/>
        </w:trPr>
        <w:tc>
          <w:tcPr>
            <w:tcW w:w="0" w:type="auto"/>
            <w:shd w:val="clear" w:color="auto" w:fill="auto"/>
          </w:tcPr>
          <w:p w14:paraId="000A7918" w14:textId="29E99A14" w:rsidR="00F01139" w:rsidRPr="00FE7622" w:rsidRDefault="00F01139" w:rsidP="00AF19CC">
            <w:pPr>
              <w:pStyle w:val="72TabletextTablesTableFigureBoxstyles"/>
            </w:pPr>
            <w:r w:rsidRPr="00FE7622">
              <w:rPr>
                <w:color w:val="auto"/>
              </w:rPr>
              <w:tab/>
              <w:t>≥ 30 kg/m</w:t>
            </w:r>
            <w:r w:rsidR="00E038BF" w:rsidRPr="00FE7622">
              <w:rPr>
                <w:color w:val="auto"/>
                <w:vertAlign w:val="superscript"/>
              </w:rPr>
              <w:t>2</w:t>
            </w:r>
          </w:p>
        </w:tc>
        <w:tc>
          <w:tcPr>
            <w:tcW w:w="0" w:type="auto"/>
            <w:shd w:val="clear" w:color="auto" w:fill="auto"/>
          </w:tcPr>
          <w:p w14:paraId="66F28008" w14:textId="2742F4C2" w:rsidR="00F01139" w:rsidRPr="00FE7622" w:rsidRDefault="00F01139" w:rsidP="00AF19CC">
            <w:pPr>
              <w:pStyle w:val="72TabletextTablesTableFigureBoxstyles"/>
            </w:pPr>
            <w:r w:rsidRPr="00FE7622">
              <w:rPr>
                <w:color w:val="auto"/>
              </w:rPr>
              <w:t>49/98 (50)</w:t>
            </w:r>
          </w:p>
        </w:tc>
        <w:tc>
          <w:tcPr>
            <w:tcW w:w="0" w:type="auto"/>
            <w:shd w:val="clear" w:color="auto" w:fill="auto"/>
          </w:tcPr>
          <w:p w14:paraId="0026A7F3" w14:textId="77777777" w:rsidR="00F01139" w:rsidRPr="00FE7622" w:rsidRDefault="00F01139" w:rsidP="00AF19CC">
            <w:pPr>
              <w:pStyle w:val="72TabletextTablesTableFigureBoxstyles"/>
              <w:rPr>
                <w:color w:val="auto"/>
              </w:rPr>
            </w:pPr>
            <w:r w:rsidRPr="00FE7622">
              <w:rPr>
                <w:color w:val="auto"/>
              </w:rPr>
              <w:t>18/32 (56)</w:t>
            </w:r>
          </w:p>
        </w:tc>
      </w:tr>
      <w:tr w:rsidR="00F01139" w:rsidRPr="00FE7622" w14:paraId="20E46402" w14:textId="77777777" w:rsidTr="00AF19CC">
        <w:trPr>
          <w:cantSplit/>
        </w:trPr>
        <w:tc>
          <w:tcPr>
            <w:tcW w:w="0" w:type="auto"/>
            <w:shd w:val="clear" w:color="auto" w:fill="auto"/>
          </w:tcPr>
          <w:p w14:paraId="1785FB53" w14:textId="2490FD72" w:rsidR="00F01139" w:rsidRPr="00FE7622" w:rsidRDefault="00F01139" w:rsidP="00AF19CC">
            <w:pPr>
              <w:pStyle w:val="72TabletextTablesTableFigureBoxstyles"/>
            </w:pPr>
            <w:r w:rsidRPr="00FE7622">
              <w:rPr>
                <w:color w:val="auto"/>
              </w:rPr>
              <w:tab/>
              <w:t>Total</w:t>
            </w:r>
          </w:p>
        </w:tc>
        <w:tc>
          <w:tcPr>
            <w:tcW w:w="0" w:type="auto"/>
            <w:shd w:val="clear" w:color="auto" w:fill="auto"/>
          </w:tcPr>
          <w:p w14:paraId="570ACFE0" w14:textId="72249D94" w:rsidR="00F01139" w:rsidRPr="00FE7622" w:rsidRDefault="00F01139" w:rsidP="00AF19CC">
            <w:pPr>
              <w:pStyle w:val="72TabletextTablesTableFigureBoxstyles"/>
            </w:pPr>
            <w:r w:rsidRPr="00FE7622">
              <w:rPr>
                <w:color w:val="auto"/>
              </w:rPr>
              <w:t>224/318 (70)</w:t>
            </w:r>
          </w:p>
        </w:tc>
        <w:tc>
          <w:tcPr>
            <w:tcW w:w="0" w:type="auto"/>
            <w:shd w:val="clear" w:color="auto" w:fill="auto"/>
          </w:tcPr>
          <w:p w14:paraId="54D595E5" w14:textId="77777777" w:rsidR="00F01139" w:rsidRPr="00FE7622" w:rsidRDefault="00F01139" w:rsidP="00AF19CC">
            <w:pPr>
              <w:pStyle w:val="72TabletextTablesTableFigureBoxstyles"/>
              <w:rPr>
                <w:color w:val="auto"/>
              </w:rPr>
            </w:pPr>
            <w:r w:rsidRPr="00FE7622">
              <w:rPr>
                <w:color w:val="auto"/>
              </w:rPr>
              <w:t>109/144 (76)</w:t>
            </w:r>
          </w:p>
        </w:tc>
      </w:tr>
      <w:tr w:rsidR="00F026E8" w:rsidRPr="00FE7622" w14:paraId="6F32842A" w14:textId="77777777" w:rsidTr="00AF19CC">
        <w:trPr>
          <w:cantSplit/>
        </w:trPr>
        <w:tc>
          <w:tcPr>
            <w:tcW w:w="0" w:type="auto"/>
            <w:gridSpan w:val="3"/>
            <w:shd w:val="clear" w:color="auto" w:fill="auto"/>
          </w:tcPr>
          <w:p w14:paraId="49C8BB53" w14:textId="77777777" w:rsidR="00DE13E1" w:rsidRPr="00FE7622" w:rsidRDefault="00DE13E1" w:rsidP="00AF19CC">
            <w:pPr>
              <w:pStyle w:val="75TablenotesTablesTableFigureBoxstyles"/>
              <w:rPr>
                <w:lang w:val="en-GB"/>
              </w:rPr>
            </w:pPr>
            <w:r w:rsidRPr="00842651">
              <w:rPr>
                <w:lang w:val="en-GB"/>
              </w:rPr>
              <w:t>BIA</w:t>
            </w:r>
            <w:r w:rsidRPr="00FE7622">
              <w:rPr>
                <w:lang w:val="en-GB"/>
              </w:rPr>
              <w:t xml:space="preserve">, bioimpedance assessment; </w:t>
            </w:r>
            <w:r w:rsidRPr="00842651">
              <w:rPr>
                <w:lang w:val="en-GB"/>
              </w:rPr>
              <w:t>IQR</w:t>
            </w:r>
            <w:r w:rsidRPr="00FE7622">
              <w:rPr>
                <w:lang w:val="en-GB"/>
              </w:rPr>
              <w:t>, interquartile range.</w:t>
            </w:r>
          </w:p>
          <w:p w14:paraId="74DD7731" w14:textId="01C8BBE6" w:rsidR="00F026E8" w:rsidRPr="00FE7622" w:rsidRDefault="003E5C73" w:rsidP="00AF19CC">
            <w:pPr>
              <w:pStyle w:val="75TablenotesTablesTableFigureBoxstyles"/>
              <w:rPr>
                <w:lang w:val="en-GB"/>
              </w:rPr>
            </w:pPr>
            <w:r w:rsidRPr="00FE7622">
              <w:rPr>
                <w:lang w:val="en-GB"/>
              </w:rPr>
              <w:t>a</w:t>
            </w:r>
            <w:r w:rsidRPr="00FE7622">
              <w:rPr>
                <w:lang w:val="en-GB"/>
              </w:rPr>
              <w:tab/>
            </w:r>
            <w:r w:rsidR="00F026E8" w:rsidRPr="00842651">
              <w:rPr>
                <w:lang w:val="en-GB"/>
              </w:rPr>
              <w:t>ASMM</w:t>
            </w:r>
            <w:r w:rsidR="00F026E8" w:rsidRPr="00FE7622">
              <w:rPr>
                <w:lang w:val="en-GB"/>
              </w:rPr>
              <w:t>/height</w:t>
            </w:r>
            <w:r w:rsidR="00E038BF" w:rsidRPr="00FE7622">
              <w:rPr>
                <w:vertAlign w:val="superscript"/>
                <w:lang w:val="en-GB"/>
              </w:rPr>
              <w:t>2</w:t>
            </w:r>
            <w:r w:rsidR="00F026E8" w:rsidRPr="00FE7622">
              <w:rPr>
                <w:lang w:val="en-GB"/>
              </w:rPr>
              <w:t xml:space="preserve"> estimated using Sergi equation.</w:t>
            </w:r>
          </w:p>
        </w:tc>
      </w:tr>
    </w:tbl>
    <w:p w14:paraId="000538B9" w14:textId="2843E751" w:rsidR="00F026E8" w:rsidRPr="00FE7622" w:rsidRDefault="00E038BF" w:rsidP="005F75D0">
      <w:pPr>
        <w:pStyle w:val="602TextfoTextstylesTextstyles"/>
        <w:rPr>
          <w:color w:val="auto"/>
        </w:rPr>
      </w:pPr>
      <w:r w:rsidRPr="00FE7622">
        <w:rPr>
          <w:i/>
          <w:color w:val="FF0000"/>
        </w:rPr>
        <w:t>Figure 5</w:t>
      </w:r>
      <w:r w:rsidR="00F026E8" w:rsidRPr="00FE7622">
        <w:rPr>
          <w:color w:val="auto"/>
        </w:rPr>
        <w:t xml:space="preserve"> shows the correlation (</w:t>
      </w:r>
      <w:r w:rsidRPr="00FE7622">
        <w:rPr>
          <w:i/>
          <w:iCs/>
          <w:color w:val="auto"/>
        </w:rPr>
        <w:t>r</w:t>
      </w:r>
      <w:r w:rsidR="005F75D0" w:rsidRPr="00FE7622">
        <w:rPr>
          <w:color w:val="auto"/>
        </w:rPr>
        <w:t> = </w:t>
      </w:r>
      <w:r w:rsidR="00F026E8" w:rsidRPr="00FE7622">
        <w:rPr>
          <w:color w:val="auto"/>
        </w:rPr>
        <w:t>0.79</w:t>
      </w:r>
      <w:r w:rsidR="00537536" w:rsidRPr="00FE7622">
        <w:rPr>
          <w:color w:val="auto"/>
        </w:rPr>
        <w:t>;</w:t>
      </w:r>
      <w:r w:rsidR="00F026E8" w:rsidRPr="00FE7622">
        <w:rPr>
          <w:color w:val="auto"/>
        </w:rPr>
        <w:t xml:space="preserve"> </w:t>
      </w:r>
      <w:r w:rsidRPr="00FE7622">
        <w:rPr>
          <w:i/>
          <w:color w:val="auto"/>
        </w:rPr>
        <w:t>p </w:t>
      </w:r>
      <w:r w:rsidR="00F026E8" w:rsidRPr="00FE7622">
        <w:rPr>
          <w:color w:val="auto"/>
        </w:rPr>
        <w:t xml:space="preserve">&lt; 0.001) between </w:t>
      </w:r>
      <w:r w:rsidR="00F026E8" w:rsidRPr="00842651">
        <w:rPr>
          <w:color w:val="auto"/>
        </w:rPr>
        <w:t>DXA</w:t>
      </w:r>
      <w:r w:rsidR="00F026E8" w:rsidRPr="00FE7622">
        <w:rPr>
          <w:color w:val="auto"/>
        </w:rPr>
        <w:t xml:space="preserve">-measured baseline </w:t>
      </w:r>
      <w:r w:rsidR="00F026E8" w:rsidRPr="00842651">
        <w:rPr>
          <w:color w:val="auto"/>
        </w:rPr>
        <w:t>ASMM</w:t>
      </w:r>
      <w:r w:rsidR="00F026E8" w:rsidRPr="00FE7622">
        <w:rPr>
          <w:color w:val="auto"/>
        </w:rPr>
        <w:t xml:space="preserve"> index and </w:t>
      </w:r>
      <w:r w:rsidR="00F026E8" w:rsidRPr="00842651">
        <w:rPr>
          <w:color w:val="auto"/>
        </w:rPr>
        <w:t>ASMM</w:t>
      </w:r>
      <w:r w:rsidR="00F026E8" w:rsidRPr="00FE7622">
        <w:rPr>
          <w:color w:val="auto"/>
        </w:rPr>
        <w:t xml:space="preserve"> index estimated </w:t>
      </w:r>
      <w:r w:rsidR="00537536" w:rsidRPr="00FE7622">
        <w:rPr>
          <w:color w:val="auto"/>
        </w:rPr>
        <w:t>using</w:t>
      </w:r>
      <w:r w:rsidR="00F026E8" w:rsidRPr="00FE7622">
        <w:rPr>
          <w:color w:val="auto"/>
        </w:rPr>
        <w:t xml:space="preserve"> the Sergi equation from screening </w:t>
      </w:r>
      <w:r w:rsidR="00F026E8" w:rsidRPr="00842651">
        <w:rPr>
          <w:color w:val="auto"/>
        </w:rPr>
        <w:t>BIA</w:t>
      </w:r>
      <w:r w:rsidR="00F026E8" w:rsidRPr="00FE7622">
        <w:rPr>
          <w:color w:val="auto"/>
        </w:rPr>
        <w:t xml:space="preserve"> data. </w:t>
      </w:r>
      <w:r w:rsidRPr="00FE7622">
        <w:rPr>
          <w:i/>
          <w:color w:val="FF0000"/>
        </w:rPr>
        <w:t>Figure 6</w:t>
      </w:r>
      <w:r w:rsidR="00F026E8" w:rsidRPr="00FE7622">
        <w:rPr>
          <w:color w:val="auto"/>
        </w:rPr>
        <w:t xml:space="preserve"> shows the Bland–Altman plot; </w:t>
      </w:r>
      <w:r w:rsidR="00390C04" w:rsidRPr="00FE7622">
        <w:rPr>
          <w:color w:val="auto"/>
        </w:rPr>
        <w:t>although</w:t>
      </w:r>
      <w:r w:rsidR="00F026E8" w:rsidRPr="00FE7622">
        <w:rPr>
          <w:color w:val="auto"/>
        </w:rPr>
        <w:t xml:space="preserve"> overall agreement was good, with </w:t>
      </w:r>
      <w:r w:rsidR="00F026E8" w:rsidRPr="00842651">
        <w:rPr>
          <w:color w:val="auto"/>
        </w:rPr>
        <w:t>BIA</w:t>
      </w:r>
      <w:r w:rsidR="00F026E8" w:rsidRPr="00FE7622">
        <w:rPr>
          <w:color w:val="auto"/>
        </w:rPr>
        <w:t xml:space="preserve"> underestimating </w:t>
      </w:r>
      <w:r w:rsidR="00F026E8" w:rsidRPr="00842651">
        <w:rPr>
          <w:color w:val="auto"/>
        </w:rPr>
        <w:t>ASMM</w:t>
      </w:r>
      <w:r w:rsidR="00F026E8" w:rsidRPr="00FE7622">
        <w:rPr>
          <w:color w:val="auto"/>
        </w:rPr>
        <w:t xml:space="preserve"> index by only 0.17 kg (</w:t>
      </w:r>
      <w:r w:rsidR="00F026E8" w:rsidRPr="00842651">
        <w:rPr>
          <w:color w:val="auto"/>
        </w:rPr>
        <w:t>SD</w:t>
      </w:r>
      <w:r w:rsidR="00F026E8" w:rsidRPr="00FE7622">
        <w:rPr>
          <w:color w:val="auto"/>
        </w:rPr>
        <w:t xml:space="preserve"> 1.11</w:t>
      </w:r>
      <w:r w:rsidR="00390C04" w:rsidRPr="00FE7622">
        <w:rPr>
          <w:color w:val="auto"/>
        </w:rPr>
        <w:t> kg</w:t>
      </w:r>
      <w:r w:rsidR="00F026E8" w:rsidRPr="00FE7622">
        <w:rPr>
          <w:color w:val="auto"/>
        </w:rPr>
        <w:t xml:space="preserve">), estimates were systematically biased, with </w:t>
      </w:r>
      <w:r w:rsidR="0015773F" w:rsidRPr="00FE7622">
        <w:rPr>
          <w:color w:val="auto"/>
        </w:rPr>
        <w:t xml:space="preserve">a </w:t>
      </w:r>
      <w:r w:rsidR="00F026E8" w:rsidRPr="00FE7622">
        <w:rPr>
          <w:color w:val="auto"/>
        </w:rPr>
        <w:t xml:space="preserve">greater underestimation of </w:t>
      </w:r>
      <w:r w:rsidR="00F026E8" w:rsidRPr="00842651">
        <w:rPr>
          <w:color w:val="auto"/>
        </w:rPr>
        <w:t>ASMM</w:t>
      </w:r>
      <w:r w:rsidR="00F026E8" w:rsidRPr="00FE7622">
        <w:rPr>
          <w:color w:val="auto"/>
        </w:rPr>
        <w:t xml:space="preserve"> index by </w:t>
      </w:r>
      <w:r w:rsidR="00F026E8" w:rsidRPr="00842651">
        <w:rPr>
          <w:color w:val="auto"/>
        </w:rPr>
        <w:t>BIA</w:t>
      </w:r>
      <w:r w:rsidR="00F026E8" w:rsidRPr="00FE7622">
        <w:rPr>
          <w:color w:val="auto"/>
        </w:rPr>
        <w:t xml:space="preserve"> at lower </w:t>
      </w:r>
      <w:r w:rsidR="00F026E8" w:rsidRPr="00842651">
        <w:rPr>
          <w:color w:val="auto"/>
        </w:rPr>
        <w:t>ASMM</w:t>
      </w:r>
      <w:r w:rsidR="00F026E8" w:rsidRPr="00FE7622">
        <w:rPr>
          <w:color w:val="auto"/>
        </w:rPr>
        <w:t xml:space="preserve"> index by </w:t>
      </w:r>
      <w:r w:rsidR="00F026E8" w:rsidRPr="00842651">
        <w:rPr>
          <w:color w:val="auto"/>
        </w:rPr>
        <w:t>DXA</w:t>
      </w:r>
      <w:r w:rsidR="00F026E8" w:rsidRPr="00FE7622">
        <w:rPr>
          <w:color w:val="auto"/>
        </w:rPr>
        <w:t xml:space="preserve">, and </w:t>
      </w:r>
      <w:r w:rsidR="00BB2C7E" w:rsidRPr="00FE7622">
        <w:rPr>
          <w:color w:val="auto"/>
        </w:rPr>
        <w:t xml:space="preserve">an </w:t>
      </w:r>
      <w:r w:rsidR="00F026E8" w:rsidRPr="00FE7622">
        <w:rPr>
          <w:color w:val="auto"/>
        </w:rPr>
        <w:t xml:space="preserve">overestimation at higher </w:t>
      </w:r>
      <w:r w:rsidR="00F026E8" w:rsidRPr="00842651">
        <w:rPr>
          <w:color w:val="auto"/>
        </w:rPr>
        <w:t>ASMM</w:t>
      </w:r>
      <w:r w:rsidR="00F026E8" w:rsidRPr="00FE7622">
        <w:rPr>
          <w:color w:val="auto"/>
        </w:rPr>
        <w:t xml:space="preserve"> indices by </w:t>
      </w:r>
      <w:r w:rsidR="00F026E8" w:rsidRPr="00842651">
        <w:rPr>
          <w:color w:val="auto"/>
        </w:rPr>
        <w:t>DXA</w:t>
      </w:r>
      <w:r w:rsidR="00F026E8" w:rsidRPr="00FE7622">
        <w:rPr>
          <w:color w:val="auto"/>
        </w:rPr>
        <w:t xml:space="preserve"> as demonstrated by the regression line included in the figure. The overall bias amounted to 0.5 kg of underestimation by </w:t>
      </w:r>
      <w:r w:rsidR="00F026E8" w:rsidRPr="00842651">
        <w:rPr>
          <w:color w:val="auto"/>
        </w:rPr>
        <w:t>BIA</w:t>
      </w:r>
      <w:r w:rsidR="00F026E8" w:rsidRPr="00FE7622">
        <w:rPr>
          <w:color w:val="auto"/>
        </w:rPr>
        <w:t xml:space="preserve"> for every 1 kg lower </w:t>
      </w:r>
      <w:r w:rsidR="00F026E8" w:rsidRPr="00842651">
        <w:rPr>
          <w:color w:val="auto"/>
        </w:rPr>
        <w:t>ASMM</w:t>
      </w:r>
      <w:r w:rsidR="00F026E8" w:rsidRPr="00FE7622">
        <w:rPr>
          <w:color w:val="auto"/>
        </w:rPr>
        <w:t xml:space="preserve"> index by </w:t>
      </w:r>
      <w:r w:rsidR="00F026E8" w:rsidRPr="00842651">
        <w:rPr>
          <w:color w:val="auto"/>
        </w:rPr>
        <w:t>DXA</w:t>
      </w:r>
      <w:r w:rsidR="00F026E8" w:rsidRPr="00FE7622">
        <w:rPr>
          <w:color w:val="auto"/>
        </w:rPr>
        <w:t>.</w:t>
      </w:r>
    </w:p>
    <w:p w14:paraId="635DAF40" w14:textId="770F6A8B" w:rsidR="00F026E8" w:rsidRPr="00FE7622" w:rsidRDefault="00E038BF" w:rsidP="00F026E8">
      <w:pPr>
        <w:pStyle w:val="81FigurelegendTableFigureBoxstyles"/>
        <w:rPr>
          <w:lang w:val="en-GB"/>
        </w:rPr>
      </w:pPr>
      <w:r w:rsidRPr="00FE7622">
        <w:rPr>
          <w:b/>
        </w:rPr>
        <w:t>FIGURE 5</w:t>
      </w:r>
      <w:r w:rsidRPr="00FE7622">
        <w:rPr>
          <w:b/>
        </w:rPr>
        <w:t> </w:t>
      </w:r>
      <w:r w:rsidR="00F026E8" w:rsidRPr="00FE7622">
        <w:rPr>
          <w:lang w:val="en-GB"/>
        </w:rPr>
        <w:t xml:space="preserve">Correlation between appendicular skeletal muscle mass estimated by </w:t>
      </w:r>
      <w:r w:rsidR="00F026E8" w:rsidRPr="00842651">
        <w:rPr>
          <w:lang w:val="en-GB"/>
        </w:rPr>
        <w:t>BIA</w:t>
      </w:r>
      <w:r w:rsidR="00F026E8" w:rsidRPr="00FE7622">
        <w:rPr>
          <w:lang w:val="en-GB"/>
        </w:rPr>
        <w:t xml:space="preserve"> and measured by </w:t>
      </w:r>
      <w:r w:rsidR="00F026E8" w:rsidRPr="00842651">
        <w:rPr>
          <w:lang w:val="en-GB"/>
        </w:rPr>
        <w:t>DXA</w:t>
      </w:r>
      <w:r w:rsidR="00F026E8" w:rsidRPr="00FE7622">
        <w:rPr>
          <w:lang w:val="en-GB"/>
        </w:rPr>
        <w:t xml:space="preserve"> at baseline (</w:t>
      </w:r>
      <w:r w:rsidRPr="00FE7622">
        <w:rPr>
          <w:i/>
          <w:lang w:val="en-GB"/>
        </w:rPr>
        <w:t>n</w:t>
      </w:r>
      <w:r w:rsidRPr="00FE7622">
        <w:rPr>
          <w:b/>
          <w:bCs/>
          <w:lang w:val="en-GB"/>
        </w:rPr>
        <w:t> = </w:t>
      </w:r>
      <w:r w:rsidR="00F026E8" w:rsidRPr="00FE7622">
        <w:rPr>
          <w:lang w:val="en-GB"/>
        </w:rPr>
        <w:t>144). Dotted line</w:t>
      </w:r>
      <w:r w:rsidR="006B2B76" w:rsidRPr="00FE7622">
        <w:rPr>
          <w:lang w:val="en-GB"/>
        </w:rPr>
        <w:t xml:space="preserve"> is</w:t>
      </w:r>
      <w:r w:rsidR="00F026E8" w:rsidRPr="00FE7622">
        <w:rPr>
          <w:lang w:val="en-GB"/>
        </w:rPr>
        <w:t xml:space="preserve"> </w:t>
      </w:r>
      <w:r w:rsidR="006B2B76" w:rsidRPr="00FE7622">
        <w:rPr>
          <w:lang w:val="en-GB"/>
        </w:rPr>
        <w:t>l</w:t>
      </w:r>
      <w:r w:rsidR="00F026E8" w:rsidRPr="00FE7622">
        <w:rPr>
          <w:lang w:val="en-GB"/>
        </w:rPr>
        <w:t>ine of equivalence</w:t>
      </w:r>
      <w:r w:rsidR="006B2B76" w:rsidRPr="00FE7622">
        <w:rPr>
          <w:lang w:val="en-GB"/>
        </w:rPr>
        <w:t>;</w:t>
      </w:r>
      <w:r w:rsidR="00F026E8" w:rsidRPr="00FE7622">
        <w:rPr>
          <w:lang w:val="en-GB"/>
        </w:rPr>
        <w:t xml:space="preserve"> </w:t>
      </w:r>
      <w:r w:rsidR="006B2B76" w:rsidRPr="00FE7622">
        <w:rPr>
          <w:lang w:val="en-GB"/>
        </w:rPr>
        <w:t>s</w:t>
      </w:r>
      <w:r w:rsidR="00F026E8" w:rsidRPr="00FE7622">
        <w:rPr>
          <w:lang w:val="en-GB"/>
        </w:rPr>
        <w:t>olid line is line of fit</w:t>
      </w:r>
      <w:r w:rsidR="008F23D9" w:rsidRPr="00FE7622">
        <w:rPr>
          <w:lang w:val="en-GB"/>
        </w:rPr>
        <w:t>.</w:t>
      </w:r>
    </w:p>
    <w:p w14:paraId="1C19243D" w14:textId="6D5FED1E" w:rsidR="00F026E8" w:rsidRPr="00FE7622" w:rsidRDefault="00E038BF" w:rsidP="00F026E8">
      <w:pPr>
        <w:pStyle w:val="81FigurelegendTableFigureBoxstyles"/>
        <w:rPr>
          <w:lang w:val="en-GB"/>
        </w:rPr>
      </w:pPr>
      <w:r w:rsidRPr="00FE7622">
        <w:rPr>
          <w:b/>
        </w:rPr>
        <w:t>FIGURE 6</w:t>
      </w:r>
      <w:r w:rsidRPr="00FE7622">
        <w:rPr>
          <w:b/>
        </w:rPr>
        <w:t> </w:t>
      </w:r>
      <w:r w:rsidR="00F026E8" w:rsidRPr="00FE7622">
        <w:rPr>
          <w:lang w:val="en-GB"/>
        </w:rPr>
        <w:t xml:space="preserve">Bland–Altman plot </w:t>
      </w:r>
      <w:r w:rsidR="003B6DA8" w:rsidRPr="00FE7622">
        <w:rPr>
          <w:lang w:val="en-GB"/>
        </w:rPr>
        <w:t>of</w:t>
      </w:r>
      <w:r w:rsidR="00F026E8" w:rsidRPr="00FE7622">
        <w:rPr>
          <w:lang w:val="en-GB"/>
        </w:rPr>
        <w:t xml:space="preserve"> agreement between appendicular skeletal muscle mass estimated by </w:t>
      </w:r>
      <w:r w:rsidR="00F026E8" w:rsidRPr="00842651">
        <w:rPr>
          <w:lang w:val="en-GB"/>
        </w:rPr>
        <w:t>BIA</w:t>
      </w:r>
      <w:r w:rsidR="00F026E8" w:rsidRPr="00FE7622">
        <w:rPr>
          <w:lang w:val="en-GB"/>
        </w:rPr>
        <w:t xml:space="preserve"> and measured by </w:t>
      </w:r>
      <w:r w:rsidR="00F026E8" w:rsidRPr="00842651">
        <w:rPr>
          <w:lang w:val="en-GB"/>
        </w:rPr>
        <w:t>DXA</w:t>
      </w:r>
      <w:r w:rsidR="00F026E8" w:rsidRPr="00FE7622">
        <w:rPr>
          <w:lang w:val="en-GB"/>
        </w:rPr>
        <w:t xml:space="preserve"> at baseline (</w:t>
      </w:r>
      <w:r w:rsidRPr="00FE7622">
        <w:rPr>
          <w:i/>
          <w:lang w:val="en-GB"/>
        </w:rPr>
        <w:t>n</w:t>
      </w:r>
      <w:r w:rsidRPr="00FE7622">
        <w:rPr>
          <w:b/>
          <w:bCs/>
          <w:lang w:val="en-GB"/>
        </w:rPr>
        <w:t> = </w:t>
      </w:r>
      <w:r w:rsidR="00F026E8" w:rsidRPr="00FE7622">
        <w:rPr>
          <w:lang w:val="en-GB"/>
        </w:rPr>
        <w:t xml:space="preserve">144). Graph shows fit line with 95% </w:t>
      </w:r>
      <w:r w:rsidR="00F026E8" w:rsidRPr="00842651">
        <w:rPr>
          <w:lang w:val="en-GB"/>
        </w:rPr>
        <w:t>CI</w:t>
      </w:r>
      <w:r w:rsidR="00F026E8" w:rsidRPr="00FE7622">
        <w:rPr>
          <w:lang w:val="en-GB"/>
        </w:rPr>
        <w:t xml:space="preserve">, together with mean difference and 95% </w:t>
      </w:r>
      <w:r w:rsidR="00F026E8" w:rsidRPr="00842651">
        <w:rPr>
          <w:lang w:val="en-GB"/>
        </w:rPr>
        <w:t>CI</w:t>
      </w:r>
      <w:r w:rsidR="00F026E8" w:rsidRPr="00FE7622">
        <w:rPr>
          <w:lang w:val="en-GB"/>
        </w:rPr>
        <w:t xml:space="preserve"> </w:t>
      </w:r>
      <w:r w:rsidR="00896AD1" w:rsidRPr="00FE7622">
        <w:rPr>
          <w:lang w:val="en-GB"/>
        </w:rPr>
        <w:t>of</w:t>
      </w:r>
      <w:r w:rsidR="00F026E8" w:rsidRPr="00FE7622">
        <w:rPr>
          <w:lang w:val="en-GB"/>
        </w:rPr>
        <w:t xml:space="preserve"> difference.</w:t>
      </w:r>
      <w:r w:rsidR="00FC11D1" w:rsidRPr="00FE7622">
        <w:rPr>
          <w:lang w:val="en-GB"/>
        </w:rPr>
        <w:t xml:space="preserve"> </w:t>
      </w:r>
      <w:r w:rsidR="00FC11D1" w:rsidRPr="00842651">
        <w:rPr>
          <w:lang w:val="en-GB"/>
        </w:rPr>
        <w:t>CI</w:t>
      </w:r>
      <w:r w:rsidR="00FC11D1" w:rsidRPr="00FE7622">
        <w:rPr>
          <w:lang w:val="en-GB"/>
        </w:rPr>
        <w:t>, confidence interval.</w:t>
      </w:r>
    </w:p>
    <w:p w14:paraId="4BB7989B" w14:textId="3F8B3410" w:rsidR="00E038BF" w:rsidRPr="00FE7622" w:rsidRDefault="00E038BF" w:rsidP="0004394B">
      <w:pPr>
        <w:pStyle w:val="52AheadHeadingsHeadingstyles"/>
      </w:pPr>
      <w:bookmarkStart w:id="76" w:name="_Toc79684521"/>
      <w:r w:rsidRPr="00FE7622">
        <w:t>Derivation of an alternative equation to estimate muscle mass from bioimpedance</w:t>
      </w:r>
      <w:bookmarkEnd w:id="76"/>
    </w:p>
    <w:p w14:paraId="2BB9F91A" w14:textId="14188F0A" w:rsidR="00F026E8" w:rsidRPr="00FE7622" w:rsidRDefault="00F026E8" w:rsidP="0004394B">
      <w:pPr>
        <w:pStyle w:val="602TextfoTextstylesTextstyles"/>
        <w:rPr>
          <w:color w:val="auto"/>
        </w:rPr>
      </w:pPr>
      <w:r w:rsidRPr="00FE7622">
        <w:rPr>
          <w:color w:val="auto"/>
        </w:rPr>
        <w:t xml:space="preserve">To address the systematic bias seen when using the Sergi equation in the </w:t>
      </w:r>
      <w:r w:rsidRPr="00842651">
        <w:rPr>
          <w:color w:val="auto"/>
        </w:rPr>
        <w:t>LACE</w:t>
      </w:r>
      <w:r w:rsidRPr="00FE7622">
        <w:rPr>
          <w:color w:val="auto"/>
        </w:rPr>
        <w:t xml:space="preserve"> study population, we derived an alternative equation to fit data from the </w:t>
      </w:r>
      <w:r w:rsidRPr="00842651">
        <w:rPr>
          <w:color w:val="auto"/>
        </w:rPr>
        <w:t>LACE</w:t>
      </w:r>
      <w:r w:rsidRPr="00FE7622">
        <w:rPr>
          <w:color w:val="auto"/>
        </w:rPr>
        <w:t xml:space="preserve"> trial, using the results of a linear regression analysis (see </w:t>
      </w:r>
      <w:r w:rsidR="00E038BF" w:rsidRPr="00FE7622">
        <w:rPr>
          <w:i/>
          <w:iCs/>
          <w:color w:val="auto"/>
        </w:rPr>
        <w:t>Appendix 3</w:t>
      </w:r>
      <w:r w:rsidRPr="00FE7622">
        <w:rPr>
          <w:color w:val="auto"/>
        </w:rPr>
        <w:t xml:space="preserve">, </w:t>
      </w:r>
      <w:r w:rsidR="00E038BF" w:rsidRPr="00FE7622">
        <w:rPr>
          <w:i/>
          <w:color w:val="auto"/>
        </w:rPr>
        <w:t>Table 21</w:t>
      </w:r>
      <w:r w:rsidRPr="00FE7622">
        <w:rPr>
          <w:color w:val="auto"/>
        </w:rPr>
        <w:t xml:space="preserve">) with further adjustment to calibrate the new equation with the observed </w:t>
      </w:r>
      <w:r w:rsidRPr="00842651">
        <w:rPr>
          <w:color w:val="auto"/>
        </w:rPr>
        <w:t>DXA</w:t>
      </w:r>
      <w:r w:rsidRPr="00FE7622">
        <w:rPr>
          <w:color w:val="auto"/>
        </w:rPr>
        <w:t xml:space="preserve"> results. The final equation to predict </w:t>
      </w:r>
      <w:r w:rsidRPr="00842651">
        <w:rPr>
          <w:color w:val="auto"/>
        </w:rPr>
        <w:t>ASMM</w:t>
      </w:r>
      <w:r w:rsidRPr="00FE7622">
        <w:rPr>
          <w:color w:val="auto"/>
        </w:rPr>
        <w:t xml:space="preserve"> index as measured by </w:t>
      </w:r>
      <w:r w:rsidRPr="00842651">
        <w:rPr>
          <w:color w:val="auto"/>
        </w:rPr>
        <w:t>DXA</w:t>
      </w:r>
      <w:r w:rsidRPr="00FE7622">
        <w:rPr>
          <w:color w:val="auto"/>
        </w:rPr>
        <w:t xml:space="preserve"> from bioimpedance was:</w:t>
      </w:r>
    </w:p>
    <w:p w14:paraId="485DAE53" w14:textId="5BAC6E7D" w:rsidR="00E038BF" w:rsidRPr="00FE7622" w:rsidRDefault="00F026E8" w:rsidP="007E4ECA">
      <w:pPr>
        <w:pStyle w:val="632TextequationTextstylesTextstyles"/>
        <w:rPr>
          <w:b/>
          <w:bCs/>
          <w:color w:val="auto"/>
        </w:rPr>
      </w:pPr>
      <w:r w:rsidRPr="00CE1907">
        <w:rPr>
          <w:iCs/>
          <w:color w:val="auto"/>
        </w:rPr>
        <w:t>1</w:t>
      </w:r>
      <w:r w:rsidR="00E038BF" w:rsidRPr="00E038BF">
        <w:rPr>
          <w:iCs/>
          <w:color w:val="FF00FF"/>
          <w:sz w:val="24"/>
        </w:rPr>
        <w:t>[13]</w:t>
      </w:r>
      <w:commentRangeStart w:id="77"/>
      <w:r w:rsidRPr="00CE1907">
        <w:rPr>
          <w:iCs/>
          <w:color w:val="auto"/>
        </w:rPr>
        <w:t>.15</w:t>
      </w:r>
      <w:r w:rsidR="008F23D9" w:rsidRPr="00CE1907">
        <w:rPr>
          <w:iCs/>
          <w:color w:val="auto"/>
        </w:rPr>
        <w:t> × </w:t>
      </w:r>
      <w:r w:rsidRPr="00CE1907">
        <w:rPr>
          <w:iCs/>
          <w:color w:val="auto"/>
        </w:rPr>
        <w:t>(10.251</w:t>
      </w:r>
      <w:r w:rsidR="008F23D9" w:rsidRPr="00CE1907">
        <w:rPr>
          <w:iCs/>
          <w:color w:val="auto"/>
        </w:rPr>
        <w:t> </w:t>
      </w:r>
      <w:r w:rsidRPr="00CE1907">
        <w:rPr>
          <w:iCs/>
          <w:color w:val="auto"/>
        </w:rPr>
        <w:t>–</w:t>
      </w:r>
      <w:r w:rsidR="008F23D9" w:rsidRPr="00CE1907">
        <w:rPr>
          <w:iCs/>
          <w:color w:val="auto"/>
        </w:rPr>
        <w:t> </w:t>
      </w:r>
      <w:r w:rsidRPr="00CE1907">
        <w:rPr>
          <w:iCs/>
          <w:color w:val="auto"/>
        </w:rPr>
        <w:t>[</w:t>
      </w:r>
      <w:r w:rsidR="00384DFC" w:rsidRPr="00CE1907">
        <w:rPr>
          <w:iCs/>
          <w:color w:val="auto"/>
        </w:rPr>
        <w:t>a</w:t>
      </w:r>
      <w:r w:rsidRPr="00CE1907">
        <w:rPr>
          <w:iCs/>
          <w:color w:val="auto"/>
        </w:rPr>
        <w:t>ge in years</w:t>
      </w:r>
      <w:r w:rsidR="008F23D9" w:rsidRPr="00FE7622">
        <w:rPr>
          <w:iCs/>
          <w:color w:val="auto"/>
        </w:rPr>
        <w:t> × </w:t>
      </w:r>
      <w:r w:rsidRPr="00FE7622">
        <w:rPr>
          <w:iCs/>
          <w:color w:val="auto"/>
        </w:rPr>
        <w:t>0.011]</w:t>
      </w:r>
      <w:r w:rsidR="008F23D9" w:rsidRPr="00FE7622">
        <w:rPr>
          <w:iCs/>
          <w:color w:val="auto"/>
        </w:rPr>
        <w:t> </w:t>
      </w:r>
      <w:r w:rsidRPr="00FE7622">
        <w:rPr>
          <w:iCs/>
          <w:color w:val="auto"/>
        </w:rPr>
        <w:t>+</w:t>
      </w:r>
      <w:r w:rsidR="008F23D9" w:rsidRPr="00FE7622">
        <w:rPr>
          <w:iCs/>
          <w:color w:val="auto"/>
        </w:rPr>
        <w:t> </w:t>
      </w:r>
      <w:commentRangeEnd w:id="77"/>
      <w:r w:rsidR="00CE1907">
        <w:rPr>
          <w:rStyle w:val="CommentReference"/>
          <w:rFonts w:ascii="Times New Roman" w:hAnsi="Times New Roman" w:cs="Times New Roman"/>
          <w:color w:val="auto"/>
          <w:lang w:val="en-US"/>
        </w:rPr>
        <w:commentReference w:id="77"/>
      </w:r>
      <w:r w:rsidRPr="00FE7622">
        <w:rPr>
          <w:iCs/>
          <w:color w:val="auto"/>
        </w:rPr>
        <w:t>[</w:t>
      </w:r>
      <w:r w:rsidR="00384DFC" w:rsidRPr="00FE7622">
        <w:rPr>
          <w:iCs/>
          <w:color w:val="auto"/>
        </w:rPr>
        <w:t>s</w:t>
      </w:r>
      <w:r w:rsidRPr="00FE7622">
        <w:rPr>
          <w:iCs/>
          <w:color w:val="auto"/>
        </w:rPr>
        <w:t>ex</w:t>
      </w:r>
      <w:r w:rsidR="0004394B" w:rsidRPr="00FE7622">
        <w:rPr>
          <w:iCs/>
          <w:color w:val="auto"/>
        </w:rPr>
        <w:t> = </w:t>
      </w:r>
      <w:r w:rsidRPr="00FE7622">
        <w:rPr>
          <w:iCs/>
          <w:color w:val="auto"/>
        </w:rPr>
        <w:t>1 for male, 0 for female]</w:t>
      </w:r>
      <w:r w:rsidR="008F23D9" w:rsidRPr="00FE7622">
        <w:rPr>
          <w:iCs/>
          <w:color w:val="auto"/>
        </w:rPr>
        <w:t> </w:t>
      </w:r>
      <w:r w:rsidRPr="00FE7622">
        <w:rPr>
          <w:iCs/>
          <w:color w:val="auto"/>
        </w:rPr>
        <w:t>–</w:t>
      </w:r>
      <w:r w:rsidR="008F23D9" w:rsidRPr="00FE7622">
        <w:rPr>
          <w:iCs/>
          <w:color w:val="auto"/>
        </w:rPr>
        <w:t> </w:t>
      </w:r>
      <w:r w:rsidRPr="00FE7622">
        <w:rPr>
          <w:iCs/>
          <w:color w:val="auto"/>
        </w:rPr>
        <w:t>[Rz</w:t>
      </w:r>
      <w:r w:rsidR="008F23D9" w:rsidRPr="00FE7622">
        <w:rPr>
          <w:iCs/>
          <w:color w:val="auto"/>
        </w:rPr>
        <w:t> × </w:t>
      </w:r>
      <w:r w:rsidRPr="00FE7622">
        <w:rPr>
          <w:iCs/>
          <w:color w:val="auto"/>
        </w:rPr>
        <w:t>0.003]</w:t>
      </w:r>
      <w:r w:rsidR="008F23D9" w:rsidRPr="00FE7622">
        <w:rPr>
          <w:iCs/>
          <w:color w:val="auto"/>
        </w:rPr>
        <w:t> </w:t>
      </w:r>
      <w:r w:rsidRPr="00FE7622">
        <w:rPr>
          <w:iCs/>
          <w:color w:val="auto"/>
        </w:rPr>
        <w:t>+</w:t>
      </w:r>
      <w:r w:rsidR="008F23D9" w:rsidRPr="00FE7622">
        <w:rPr>
          <w:iCs/>
          <w:color w:val="auto"/>
        </w:rPr>
        <w:t> </w:t>
      </w:r>
      <w:r w:rsidRPr="00FE7622">
        <w:rPr>
          <w:iCs/>
          <w:color w:val="auto"/>
        </w:rPr>
        <w:t>[Xc</w:t>
      </w:r>
      <w:r w:rsidR="008F23D9" w:rsidRPr="00FE7622">
        <w:rPr>
          <w:iCs/>
          <w:color w:val="auto"/>
        </w:rPr>
        <w:t> × </w:t>
      </w:r>
      <w:r w:rsidRPr="00FE7622">
        <w:rPr>
          <w:iCs/>
          <w:color w:val="auto"/>
        </w:rPr>
        <w:t>0.011]</w:t>
      </w:r>
      <w:r w:rsidR="008F23D9" w:rsidRPr="00FE7622">
        <w:rPr>
          <w:iCs/>
          <w:color w:val="auto"/>
        </w:rPr>
        <w:t> </w:t>
      </w:r>
      <w:r w:rsidRPr="00FE7622">
        <w:rPr>
          <w:iCs/>
          <w:color w:val="auto"/>
        </w:rPr>
        <w:t>–</w:t>
      </w:r>
      <w:r w:rsidR="008F23D9" w:rsidRPr="00FE7622">
        <w:rPr>
          <w:iCs/>
          <w:color w:val="auto"/>
        </w:rPr>
        <w:t> </w:t>
      </w:r>
      <w:r w:rsidRPr="00FE7622">
        <w:rPr>
          <w:iCs/>
          <w:color w:val="auto"/>
        </w:rPr>
        <w:t>[</w:t>
      </w:r>
      <w:r w:rsidR="00384DFC" w:rsidRPr="00FE7622">
        <w:rPr>
          <w:iCs/>
          <w:color w:val="auto"/>
        </w:rPr>
        <w:t>h</w:t>
      </w:r>
      <w:r w:rsidRPr="00FE7622">
        <w:rPr>
          <w:iCs/>
          <w:color w:val="auto"/>
        </w:rPr>
        <w:t>eight in cm</w:t>
      </w:r>
      <w:r w:rsidR="008F23D9" w:rsidRPr="00FE7622">
        <w:rPr>
          <w:iCs/>
          <w:color w:val="auto"/>
        </w:rPr>
        <w:t> × </w:t>
      </w:r>
      <w:r w:rsidRPr="00FE7622">
        <w:rPr>
          <w:iCs/>
          <w:color w:val="auto"/>
        </w:rPr>
        <w:t>0.031]</w:t>
      </w:r>
      <w:r w:rsidR="008F23D9" w:rsidRPr="00FE7622">
        <w:rPr>
          <w:iCs/>
          <w:color w:val="auto"/>
        </w:rPr>
        <w:t> </w:t>
      </w:r>
      <w:r w:rsidRPr="00FE7622">
        <w:rPr>
          <w:iCs/>
          <w:color w:val="auto"/>
        </w:rPr>
        <w:t>+</w:t>
      </w:r>
      <w:r w:rsidR="008F23D9" w:rsidRPr="00FE7622">
        <w:rPr>
          <w:iCs/>
          <w:color w:val="auto"/>
        </w:rPr>
        <w:t> </w:t>
      </w:r>
      <w:r w:rsidRPr="00FE7622">
        <w:rPr>
          <w:iCs/>
          <w:color w:val="auto"/>
        </w:rPr>
        <w:t>[</w:t>
      </w:r>
      <w:r w:rsidR="00384DFC" w:rsidRPr="00FE7622">
        <w:rPr>
          <w:iCs/>
          <w:color w:val="auto"/>
        </w:rPr>
        <w:t>w</w:t>
      </w:r>
      <w:r w:rsidRPr="00FE7622">
        <w:rPr>
          <w:iCs/>
          <w:color w:val="auto"/>
        </w:rPr>
        <w:t>eight in kg</w:t>
      </w:r>
      <w:r w:rsidR="008F23D9" w:rsidRPr="00FE7622">
        <w:rPr>
          <w:iCs/>
          <w:color w:val="auto"/>
        </w:rPr>
        <w:t> × </w:t>
      </w:r>
      <w:r w:rsidRPr="00FE7622">
        <w:rPr>
          <w:iCs/>
          <w:color w:val="auto"/>
        </w:rPr>
        <w:t>0.044])</w:t>
      </w:r>
      <w:r w:rsidR="008F23D9" w:rsidRPr="00FE7622">
        <w:rPr>
          <w:iCs/>
          <w:color w:val="auto"/>
        </w:rPr>
        <w:t> </w:t>
      </w:r>
      <w:r w:rsidRPr="00FE7622">
        <w:rPr>
          <w:iCs/>
          <w:color w:val="auto"/>
        </w:rPr>
        <w:t>–</w:t>
      </w:r>
      <w:r w:rsidR="008F23D9" w:rsidRPr="00FE7622">
        <w:rPr>
          <w:iCs/>
          <w:color w:val="auto"/>
        </w:rPr>
        <w:t> </w:t>
      </w:r>
      <w:r w:rsidRPr="00FE7622">
        <w:rPr>
          <w:iCs/>
          <w:color w:val="auto"/>
        </w:rPr>
        <w:t>1.275</w:t>
      </w:r>
      <w:r w:rsidR="005A04D3" w:rsidRPr="00FE7622">
        <w:rPr>
          <w:iCs/>
          <w:color w:val="auto"/>
        </w:rPr>
        <w:t>,</w:t>
      </w:r>
      <w:r w:rsidRPr="00FE7622">
        <w:rPr>
          <w:iCs/>
          <w:color w:val="auto"/>
        </w:rPr>
        <w:tab/>
      </w:r>
      <w:r w:rsidRPr="00FE7622">
        <w:rPr>
          <w:color w:val="auto"/>
        </w:rPr>
        <w:t>(1)</w:t>
      </w:r>
    </w:p>
    <w:p w14:paraId="5574C549" w14:textId="0D341EEB" w:rsidR="00F026E8" w:rsidRPr="00FE7622" w:rsidRDefault="005A04D3" w:rsidP="007E4ECA">
      <w:pPr>
        <w:pStyle w:val="602TextfoTextstylesTextstyles"/>
        <w:rPr>
          <w:color w:val="auto"/>
        </w:rPr>
      </w:pPr>
      <w:r w:rsidRPr="00FE7622">
        <w:rPr>
          <w:color w:val="auto"/>
        </w:rPr>
        <w:t xml:space="preserve">where </w:t>
      </w:r>
      <w:r w:rsidR="00F026E8" w:rsidRPr="00FE7622">
        <w:rPr>
          <w:color w:val="auto"/>
        </w:rPr>
        <w:t>Rz</w:t>
      </w:r>
      <w:r w:rsidRPr="00FE7622">
        <w:rPr>
          <w:color w:val="auto"/>
        </w:rPr>
        <w:t xml:space="preserve"> is</w:t>
      </w:r>
      <w:r w:rsidR="00F026E8" w:rsidRPr="00FE7622">
        <w:rPr>
          <w:color w:val="auto"/>
        </w:rPr>
        <w:t xml:space="preserve"> </w:t>
      </w:r>
      <w:r w:rsidRPr="00FE7622">
        <w:rPr>
          <w:color w:val="auto"/>
        </w:rPr>
        <w:t>r</w:t>
      </w:r>
      <w:r w:rsidR="00F026E8" w:rsidRPr="00FE7622">
        <w:rPr>
          <w:color w:val="auto"/>
        </w:rPr>
        <w:t>esistance</w:t>
      </w:r>
      <w:r w:rsidRPr="00FE7622">
        <w:rPr>
          <w:color w:val="auto"/>
        </w:rPr>
        <w:t xml:space="preserve"> and </w:t>
      </w:r>
      <w:r w:rsidR="00F026E8" w:rsidRPr="00FE7622">
        <w:rPr>
          <w:color w:val="auto"/>
        </w:rPr>
        <w:t>Xc</w:t>
      </w:r>
      <w:r w:rsidRPr="00FE7622">
        <w:rPr>
          <w:color w:val="auto"/>
        </w:rPr>
        <w:t xml:space="preserve"> is</w:t>
      </w:r>
      <w:r w:rsidR="00F026E8" w:rsidRPr="00FE7622">
        <w:rPr>
          <w:color w:val="auto"/>
        </w:rPr>
        <w:t xml:space="preserve"> </w:t>
      </w:r>
      <w:r w:rsidRPr="00FE7622">
        <w:rPr>
          <w:color w:val="auto"/>
        </w:rPr>
        <w:t>r</w:t>
      </w:r>
      <w:r w:rsidR="00F026E8" w:rsidRPr="00FE7622">
        <w:rPr>
          <w:color w:val="auto"/>
        </w:rPr>
        <w:t>eactance</w:t>
      </w:r>
      <w:r w:rsidRPr="00FE7622">
        <w:rPr>
          <w:color w:val="auto"/>
        </w:rPr>
        <w:t>.</w:t>
      </w:r>
    </w:p>
    <w:p w14:paraId="7BC1646C" w14:textId="18BDFC46" w:rsidR="00F026E8" w:rsidRPr="00FE7622" w:rsidRDefault="00E038BF" w:rsidP="007E4ECA">
      <w:pPr>
        <w:pStyle w:val="602TextfoTextstylesTextstyles"/>
        <w:rPr>
          <w:color w:val="auto"/>
        </w:rPr>
      </w:pPr>
      <w:r w:rsidRPr="00FE7622">
        <w:rPr>
          <w:i/>
          <w:iCs/>
          <w:color w:val="auto"/>
        </w:rPr>
        <w:t>Appendix 3</w:t>
      </w:r>
      <w:r w:rsidR="00F026E8" w:rsidRPr="00FE7622">
        <w:rPr>
          <w:color w:val="auto"/>
        </w:rPr>
        <w:t xml:space="preserve">, </w:t>
      </w:r>
      <w:r w:rsidRPr="00FE7622">
        <w:rPr>
          <w:i/>
          <w:color w:val="auto"/>
        </w:rPr>
        <w:t>Figure 24</w:t>
      </w:r>
      <w:r w:rsidR="00384DFC" w:rsidRPr="00FE7622">
        <w:rPr>
          <w:color w:val="auto"/>
        </w:rPr>
        <w:t xml:space="preserve">, </w:t>
      </w:r>
      <w:r w:rsidR="00F026E8" w:rsidRPr="00FE7622">
        <w:rPr>
          <w:color w:val="auto"/>
        </w:rPr>
        <w:t xml:space="preserve">shows the Bland–Altman plot comparing this cohort-specific estimate with the measured </w:t>
      </w:r>
      <w:r w:rsidR="00F026E8" w:rsidRPr="00842651">
        <w:rPr>
          <w:color w:val="auto"/>
        </w:rPr>
        <w:t>DXA</w:t>
      </w:r>
      <w:r w:rsidR="00F026E8" w:rsidRPr="00FE7622">
        <w:rPr>
          <w:color w:val="auto"/>
        </w:rPr>
        <w:t xml:space="preserve"> </w:t>
      </w:r>
      <w:r w:rsidR="00F026E8" w:rsidRPr="00842651">
        <w:rPr>
          <w:color w:val="auto"/>
        </w:rPr>
        <w:t>ASMM</w:t>
      </w:r>
      <w:r w:rsidR="002731C3" w:rsidRPr="00FE7622">
        <w:rPr>
          <w:color w:val="auto"/>
        </w:rPr>
        <w:t xml:space="preserve"> index</w:t>
      </w:r>
      <w:r w:rsidR="00F026E8" w:rsidRPr="00FE7622">
        <w:rPr>
          <w:color w:val="auto"/>
        </w:rPr>
        <w:t xml:space="preserve">; the mean difference between estimated (by </w:t>
      </w:r>
      <w:r w:rsidR="00F026E8" w:rsidRPr="00842651">
        <w:rPr>
          <w:color w:val="auto"/>
        </w:rPr>
        <w:t>BIA</w:t>
      </w:r>
      <w:r w:rsidR="00F026E8" w:rsidRPr="00FE7622">
        <w:rPr>
          <w:color w:val="auto"/>
        </w:rPr>
        <w:t xml:space="preserve">) and measured (by </w:t>
      </w:r>
      <w:r w:rsidR="00F026E8" w:rsidRPr="00842651">
        <w:rPr>
          <w:color w:val="auto"/>
        </w:rPr>
        <w:t>DXA</w:t>
      </w:r>
      <w:r w:rsidR="00F026E8" w:rsidRPr="00FE7622">
        <w:rPr>
          <w:color w:val="auto"/>
        </w:rPr>
        <w:t xml:space="preserve">) </w:t>
      </w:r>
      <w:r w:rsidR="00F026E8" w:rsidRPr="00842651">
        <w:rPr>
          <w:color w:val="auto"/>
        </w:rPr>
        <w:t>ASMM</w:t>
      </w:r>
      <w:r w:rsidR="002731C3" w:rsidRPr="00FE7622">
        <w:rPr>
          <w:color w:val="auto"/>
        </w:rPr>
        <w:t xml:space="preserve"> index</w:t>
      </w:r>
      <w:r w:rsidR="00F026E8" w:rsidRPr="00FE7622">
        <w:rPr>
          <w:color w:val="auto"/>
        </w:rPr>
        <w:t xml:space="preserve"> was 0</w:t>
      </w:r>
      <w:r w:rsidR="00384DFC" w:rsidRPr="00FE7622">
        <w:rPr>
          <w:color w:val="auto"/>
        </w:rPr>
        <w:t> kg/m</w:t>
      </w:r>
      <w:r w:rsidRPr="00FE7622">
        <w:rPr>
          <w:color w:val="auto"/>
          <w:vertAlign w:val="superscript"/>
        </w:rPr>
        <w:t>2</w:t>
      </w:r>
      <w:r w:rsidR="00F026E8" w:rsidRPr="00FE7622">
        <w:rPr>
          <w:color w:val="auto"/>
        </w:rPr>
        <w:t xml:space="preserve"> (</w:t>
      </w:r>
      <w:r w:rsidR="00F026E8" w:rsidRPr="00842651">
        <w:rPr>
          <w:color w:val="auto"/>
        </w:rPr>
        <w:t>SD</w:t>
      </w:r>
      <w:r w:rsidR="00F026E8" w:rsidRPr="00FE7622">
        <w:rPr>
          <w:color w:val="auto"/>
        </w:rPr>
        <w:t xml:space="preserve"> 0.5</w:t>
      </w:r>
      <w:r w:rsidR="00384DFC" w:rsidRPr="00FE7622">
        <w:rPr>
          <w:color w:val="auto"/>
        </w:rPr>
        <w:t> kg/m</w:t>
      </w:r>
      <w:r w:rsidRPr="00FE7622">
        <w:rPr>
          <w:color w:val="auto"/>
          <w:vertAlign w:val="superscript"/>
        </w:rPr>
        <w:t>2</w:t>
      </w:r>
      <w:r w:rsidR="00F026E8" w:rsidRPr="00FE7622">
        <w:rPr>
          <w:color w:val="auto"/>
        </w:rPr>
        <w:t>)</w:t>
      </w:r>
      <w:r w:rsidR="00384DFC" w:rsidRPr="00FE7622">
        <w:rPr>
          <w:color w:val="auto"/>
        </w:rPr>
        <w:t xml:space="preserve">, </w:t>
      </w:r>
      <w:r w:rsidR="00F026E8" w:rsidRPr="00FE7622">
        <w:rPr>
          <w:color w:val="auto"/>
        </w:rPr>
        <w:t>and no systematic bias was evident.</w:t>
      </w:r>
    </w:p>
    <w:p w14:paraId="7C4B237C" w14:textId="01178FE6" w:rsidR="00E038BF" w:rsidRPr="00FE7622" w:rsidRDefault="00E038BF" w:rsidP="007E4ECA">
      <w:pPr>
        <w:pStyle w:val="52AheadHeadingsHeadingstyles"/>
      </w:pPr>
      <w:bookmarkStart w:id="78" w:name="_Toc79684522"/>
      <w:r w:rsidRPr="00FE7622">
        <w:t>Ability of recruitment process to deliver a study population meeting the definition of sarcopenia</w:t>
      </w:r>
      <w:bookmarkEnd w:id="78"/>
    </w:p>
    <w:p w14:paraId="560440F4" w14:textId="28534E23" w:rsidR="00F026E8" w:rsidRPr="00FE7622" w:rsidRDefault="00F026E8" w:rsidP="007E4ECA">
      <w:pPr>
        <w:pStyle w:val="602TextfoTextstylesTextstyles"/>
        <w:rPr>
          <w:color w:val="auto"/>
        </w:rPr>
      </w:pPr>
      <w:r w:rsidRPr="00FE7622">
        <w:rPr>
          <w:color w:val="auto"/>
        </w:rPr>
        <w:t>A challenge in recruit</w:t>
      </w:r>
      <w:r w:rsidR="006A30BB" w:rsidRPr="00FE7622">
        <w:rPr>
          <w:color w:val="auto"/>
        </w:rPr>
        <w:t>ing</w:t>
      </w:r>
      <w:r w:rsidRPr="00FE7622">
        <w:rPr>
          <w:color w:val="auto"/>
        </w:rPr>
        <w:t xml:space="preserve"> populations with sarcopenia remains the fluidity of definitions of sarcopenia. At the time of designing the </w:t>
      </w:r>
      <w:r w:rsidRPr="00842651">
        <w:rPr>
          <w:color w:val="auto"/>
        </w:rPr>
        <w:t>LACE</w:t>
      </w:r>
      <w:r w:rsidRPr="00FE7622">
        <w:rPr>
          <w:color w:val="auto"/>
        </w:rPr>
        <w:t xml:space="preserve"> trial, the European Working Group (</w:t>
      </w:r>
      <w:r w:rsidRPr="00842651">
        <w:rPr>
          <w:color w:val="auto"/>
        </w:rPr>
        <w:t>EWGSOP</w:t>
      </w:r>
      <w:r w:rsidRPr="00FE7622">
        <w:rPr>
          <w:color w:val="auto"/>
        </w:rPr>
        <w:t>) 2010 definition was extant and was used as the trial definition.</w:t>
      </w:r>
      <w:r w:rsidR="00E038BF" w:rsidRPr="00FE7622">
        <w:rPr>
          <w:color w:val="auto"/>
          <w:vertAlign w:val="superscript"/>
        </w:rPr>
        <w:t>35</w:t>
      </w:r>
      <w:r w:rsidRPr="00FE7622">
        <w:rPr>
          <w:color w:val="auto"/>
        </w:rPr>
        <w:t xml:space="preserve"> Following this guideline, we had defined sarcopenia as low muscle strength (handgrip </w:t>
      </w:r>
      <w:r w:rsidR="002633A7" w:rsidRPr="00FE7622">
        <w:rPr>
          <w:color w:val="auto"/>
        </w:rPr>
        <w:t xml:space="preserve">of </w:t>
      </w:r>
      <w:r w:rsidRPr="00FE7622">
        <w:rPr>
          <w:color w:val="auto"/>
        </w:rPr>
        <w:t>&lt; 30 kg for men</w:t>
      </w:r>
      <w:r w:rsidR="002633A7" w:rsidRPr="00FE7622">
        <w:rPr>
          <w:color w:val="auto"/>
        </w:rPr>
        <w:t xml:space="preserve"> and</w:t>
      </w:r>
      <w:r w:rsidRPr="00FE7622">
        <w:rPr>
          <w:color w:val="auto"/>
        </w:rPr>
        <w:t xml:space="preserve"> &lt; 20 kg for women, </w:t>
      </w:r>
      <w:r w:rsidR="00E038BF" w:rsidRPr="00FE7622">
        <w:rPr>
          <w:i/>
          <w:iCs/>
          <w:color w:val="auto"/>
        </w:rPr>
        <w:t>or</w:t>
      </w:r>
      <w:r w:rsidRPr="00FE7622">
        <w:rPr>
          <w:color w:val="auto"/>
        </w:rPr>
        <w:t xml:space="preserve"> walk speed</w:t>
      </w:r>
      <w:r w:rsidR="002633A7" w:rsidRPr="00FE7622">
        <w:rPr>
          <w:color w:val="auto"/>
        </w:rPr>
        <w:t xml:space="preserve"> of</w:t>
      </w:r>
      <w:r w:rsidRPr="00FE7622">
        <w:rPr>
          <w:color w:val="auto"/>
        </w:rPr>
        <w:t xml:space="preserve"> &lt; 0.8 m/s</w:t>
      </w:r>
      <w:r w:rsidR="002633A7" w:rsidRPr="00FE7622">
        <w:rPr>
          <w:color w:val="auto"/>
        </w:rPr>
        <w:t>econd</w:t>
      </w:r>
      <w:r w:rsidRPr="00FE7622">
        <w:rPr>
          <w:color w:val="auto"/>
        </w:rPr>
        <w:t xml:space="preserve"> for both sexes) and low muscle mass (</w:t>
      </w:r>
      <w:r w:rsidRPr="00842651">
        <w:rPr>
          <w:color w:val="auto"/>
        </w:rPr>
        <w:t>ASMM</w:t>
      </w:r>
      <w:r w:rsidRPr="00FE7622">
        <w:rPr>
          <w:color w:val="auto"/>
        </w:rPr>
        <w:t xml:space="preserve"> index &lt; 7.26</w:t>
      </w:r>
      <w:r w:rsidR="002633A7" w:rsidRPr="00FE7622">
        <w:rPr>
          <w:color w:val="auto"/>
        </w:rPr>
        <w:t> </w:t>
      </w:r>
      <w:r w:rsidRPr="00FE7622">
        <w:rPr>
          <w:color w:val="auto"/>
        </w:rPr>
        <w:t>kg/m</w:t>
      </w:r>
      <w:r w:rsidR="00E038BF" w:rsidRPr="00FE7622">
        <w:rPr>
          <w:color w:val="auto"/>
          <w:vertAlign w:val="superscript"/>
        </w:rPr>
        <w:t>2</w:t>
      </w:r>
      <w:r w:rsidRPr="00FE7622">
        <w:rPr>
          <w:color w:val="auto"/>
        </w:rPr>
        <w:t xml:space="preserve"> for men </w:t>
      </w:r>
      <w:r w:rsidR="002633A7" w:rsidRPr="00FE7622">
        <w:rPr>
          <w:color w:val="auto"/>
        </w:rPr>
        <w:t>and</w:t>
      </w:r>
      <w:r w:rsidRPr="00FE7622">
        <w:rPr>
          <w:color w:val="auto"/>
        </w:rPr>
        <w:t xml:space="preserve"> &lt; 5.45</w:t>
      </w:r>
      <w:r w:rsidR="002633A7" w:rsidRPr="00FE7622">
        <w:rPr>
          <w:color w:val="auto"/>
        </w:rPr>
        <w:t> </w:t>
      </w:r>
      <w:r w:rsidRPr="00FE7622">
        <w:rPr>
          <w:color w:val="auto"/>
        </w:rPr>
        <w:t>kg/m</w:t>
      </w:r>
      <w:r w:rsidR="00E038BF" w:rsidRPr="00FE7622">
        <w:rPr>
          <w:color w:val="auto"/>
          <w:vertAlign w:val="superscript"/>
        </w:rPr>
        <w:t>2</w:t>
      </w:r>
      <w:r w:rsidRPr="00FE7622">
        <w:rPr>
          <w:color w:val="auto"/>
        </w:rPr>
        <w:t xml:space="preserve"> for women). A further challenge is that mean muscle mass differs between populations, and</w:t>
      </w:r>
      <w:r w:rsidR="005A04D3" w:rsidRPr="00FE7622">
        <w:rPr>
          <w:color w:val="auto"/>
        </w:rPr>
        <w:t>,</w:t>
      </w:r>
      <w:r w:rsidRPr="00FE7622">
        <w:rPr>
          <w:color w:val="auto"/>
        </w:rPr>
        <w:t xml:space="preserve"> thus</w:t>
      </w:r>
      <w:r w:rsidR="005A04D3" w:rsidRPr="00FE7622">
        <w:rPr>
          <w:color w:val="auto"/>
        </w:rPr>
        <w:t>,</w:t>
      </w:r>
      <w:r w:rsidRPr="00FE7622">
        <w:rPr>
          <w:color w:val="auto"/>
        </w:rPr>
        <w:t xml:space="preserve"> cut</w:t>
      </w:r>
      <w:r w:rsidR="002633A7" w:rsidRPr="00FE7622">
        <w:rPr>
          <w:color w:val="auto"/>
        </w:rPr>
        <w:t>-</w:t>
      </w:r>
      <w:r w:rsidRPr="00FE7622">
        <w:rPr>
          <w:color w:val="auto"/>
        </w:rPr>
        <w:t>off</w:t>
      </w:r>
      <w:r w:rsidR="002633A7" w:rsidRPr="00FE7622">
        <w:rPr>
          <w:color w:val="auto"/>
        </w:rPr>
        <w:t xml:space="preserve"> values</w:t>
      </w:r>
      <w:r w:rsidRPr="00FE7622">
        <w:rPr>
          <w:color w:val="auto"/>
        </w:rPr>
        <w:t xml:space="preserve"> should ideally be population specific.</w:t>
      </w:r>
    </w:p>
    <w:p w14:paraId="7C3CACCD" w14:textId="512D762E" w:rsidR="00F026E8" w:rsidRPr="00FE7622" w:rsidRDefault="00F026E8" w:rsidP="007E4ECA">
      <w:pPr>
        <w:pStyle w:val="602TextfoTextstylesTextstyles"/>
        <w:rPr>
          <w:color w:val="auto"/>
        </w:rPr>
      </w:pPr>
      <w:r w:rsidRPr="00FE7622">
        <w:rPr>
          <w:color w:val="auto"/>
        </w:rPr>
        <w:t xml:space="preserve">New </w:t>
      </w:r>
      <w:r w:rsidRPr="00842651">
        <w:rPr>
          <w:color w:val="auto"/>
        </w:rPr>
        <w:t>EWGSOP</w:t>
      </w:r>
      <w:r w:rsidRPr="00FE7622">
        <w:rPr>
          <w:color w:val="auto"/>
        </w:rPr>
        <w:t xml:space="preserve"> definitions were issued in 2018, which form the current standard of diagnosis.</w:t>
      </w:r>
      <w:r w:rsidR="00E038BF" w:rsidRPr="00FE7622">
        <w:rPr>
          <w:color w:val="auto"/>
          <w:vertAlign w:val="superscript"/>
        </w:rPr>
        <w:t>79</w:t>
      </w:r>
      <w:r w:rsidRPr="00FE7622">
        <w:rPr>
          <w:color w:val="auto"/>
        </w:rPr>
        <w:t xml:space="preserve"> Probable sarcopenia (a definition designed for widespread use in clinical practice) requires a handgrip strength of &lt; 27 kg for men </w:t>
      </w:r>
      <w:r w:rsidR="004A6809" w:rsidRPr="00FE7622">
        <w:rPr>
          <w:color w:val="auto"/>
        </w:rPr>
        <w:t>and</w:t>
      </w:r>
      <w:r w:rsidRPr="00FE7622">
        <w:rPr>
          <w:color w:val="auto"/>
        </w:rPr>
        <w:t xml:space="preserve"> &lt; 16 kg for women. Walk speed does not form part of the new definition for sarcopenia, but a walk speed of &lt; 0.8 m/s</w:t>
      </w:r>
      <w:r w:rsidR="004A6809" w:rsidRPr="00FE7622">
        <w:rPr>
          <w:color w:val="auto"/>
        </w:rPr>
        <w:t>econd</w:t>
      </w:r>
      <w:r w:rsidRPr="00FE7622">
        <w:rPr>
          <w:color w:val="auto"/>
        </w:rPr>
        <w:t xml:space="preserve"> denotes severe sarcopenia. A definite diagnosis of sarcopenia requires a low grip strength together with a low muscle mass (now defined as </w:t>
      </w:r>
      <w:r w:rsidRPr="00842651">
        <w:rPr>
          <w:color w:val="auto"/>
        </w:rPr>
        <w:t>ASMM</w:t>
      </w:r>
      <w:r w:rsidRPr="00FE7622">
        <w:rPr>
          <w:color w:val="auto"/>
        </w:rPr>
        <w:t xml:space="preserve"> index </w:t>
      </w:r>
      <w:r w:rsidR="0030592F" w:rsidRPr="00FE7622">
        <w:rPr>
          <w:color w:val="auto"/>
        </w:rPr>
        <w:t xml:space="preserve">of </w:t>
      </w:r>
      <w:r w:rsidRPr="00FE7622">
        <w:rPr>
          <w:color w:val="auto"/>
        </w:rPr>
        <w:t>&lt; 7.0</w:t>
      </w:r>
      <w:r w:rsidR="004A6809" w:rsidRPr="00FE7622">
        <w:rPr>
          <w:color w:val="auto"/>
        </w:rPr>
        <w:t> </w:t>
      </w:r>
      <w:r w:rsidRPr="00FE7622">
        <w:rPr>
          <w:color w:val="auto"/>
        </w:rPr>
        <w:t>kg/m</w:t>
      </w:r>
      <w:r w:rsidR="00E038BF" w:rsidRPr="00FE7622">
        <w:rPr>
          <w:color w:val="auto"/>
          <w:vertAlign w:val="superscript"/>
        </w:rPr>
        <w:t>2</w:t>
      </w:r>
      <w:r w:rsidRPr="00FE7622">
        <w:rPr>
          <w:color w:val="auto"/>
        </w:rPr>
        <w:t xml:space="preserve"> for men </w:t>
      </w:r>
      <w:r w:rsidR="004A6809" w:rsidRPr="00FE7622">
        <w:rPr>
          <w:color w:val="auto"/>
        </w:rPr>
        <w:t>and</w:t>
      </w:r>
      <w:r w:rsidRPr="00FE7622">
        <w:rPr>
          <w:color w:val="auto"/>
        </w:rPr>
        <w:t xml:space="preserve"> &lt; 5.5</w:t>
      </w:r>
      <w:r w:rsidR="004A6809" w:rsidRPr="00FE7622">
        <w:rPr>
          <w:color w:val="auto"/>
        </w:rPr>
        <w:t> </w:t>
      </w:r>
      <w:r w:rsidRPr="00FE7622">
        <w:rPr>
          <w:color w:val="auto"/>
        </w:rPr>
        <w:t>kg/m</w:t>
      </w:r>
      <w:r w:rsidR="00E038BF" w:rsidRPr="00FE7622">
        <w:rPr>
          <w:color w:val="auto"/>
          <w:vertAlign w:val="superscript"/>
        </w:rPr>
        <w:t>2</w:t>
      </w:r>
      <w:r w:rsidRPr="00FE7622">
        <w:rPr>
          <w:color w:val="auto"/>
        </w:rPr>
        <w:t xml:space="preserve"> for women).</w:t>
      </w:r>
    </w:p>
    <w:p w14:paraId="3EBE1E59" w14:textId="35B665E1" w:rsidR="00F026E8" w:rsidRPr="00FE7622" w:rsidRDefault="00F026E8" w:rsidP="007E4ECA">
      <w:pPr>
        <w:pStyle w:val="602TextfoTextstylesTextstyles"/>
        <w:rPr>
          <w:color w:val="auto"/>
        </w:rPr>
      </w:pPr>
      <w:r w:rsidRPr="00FE7622">
        <w:rPr>
          <w:color w:val="auto"/>
        </w:rPr>
        <w:t>A competing definition was proposed by the US-based Foundation for the National Institutes of Health (</w:t>
      </w:r>
      <w:r w:rsidRPr="00842651">
        <w:rPr>
          <w:color w:val="auto"/>
        </w:rPr>
        <w:t>FNIH</w:t>
      </w:r>
      <w:r w:rsidRPr="00FE7622">
        <w:rPr>
          <w:color w:val="auto"/>
        </w:rPr>
        <w:t>) group in 2014.</w:t>
      </w:r>
      <w:r w:rsidR="00E038BF" w:rsidRPr="00FE7622">
        <w:rPr>
          <w:color w:val="auto"/>
          <w:vertAlign w:val="superscript"/>
        </w:rPr>
        <w:t>73</w:t>
      </w:r>
      <w:r w:rsidRPr="00FE7622">
        <w:rPr>
          <w:color w:val="auto"/>
        </w:rPr>
        <w:t xml:space="preserve"> This </w:t>
      </w:r>
      <w:r w:rsidRPr="00842651">
        <w:rPr>
          <w:color w:val="auto"/>
        </w:rPr>
        <w:t>FNIH</w:t>
      </w:r>
      <w:r w:rsidRPr="00FE7622">
        <w:rPr>
          <w:color w:val="auto"/>
        </w:rPr>
        <w:t xml:space="preserve"> definition again required low grip strength (&lt; 26 kg for men</w:t>
      </w:r>
      <w:r w:rsidR="00444F64" w:rsidRPr="00FE7622">
        <w:rPr>
          <w:color w:val="auto"/>
        </w:rPr>
        <w:t xml:space="preserve"> and</w:t>
      </w:r>
      <w:r w:rsidRPr="00FE7622">
        <w:rPr>
          <w:color w:val="auto"/>
        </w:rPr>
        <w:t xml:space="preserve"> &lt; 16 kg for women) and low muscle mass, but</w:t>
      </w:r>
      <w:r w:rsidR="00CA08EB" w:rsidRPr="00FE7622">
        <w:rPr>
          <w:color w:val="auto"/>
        </w:rPr>
        <w:t>,</w:t>
      </w:r>
      <w:r w:rsidRPr="00FE7622">
        <w:rPr>
          <w:color w:val="auto"/>
        </w:rPr>
        <w:t xml:space="preserve"> </w:t>
      </w:r>
      <w:r w:rsidR="00CA08EB" w:rsidRPr="00FE7622">
        <w:rPr>
          <w:color w:val="auto"/>
        </w:rPr>
        <w:t>using</w:t>
      </w:r>
      <w:r w:rsidRPr="00FE7622">
        <w:rPr>
          <w:color w:val="auto"/>
        </w:rPr>
        <w:t xml:space="preserve"> this definition, muscle mass was adjusted for </w:t>
      </w:r>
      <w:r w:rsidR="00525C8B" w:rsidRPr="00842651">
        <w:rPr>
          <w:color w:val="auto"/>
        </w:rPr>
        <w:t>BMI</w:t>
      </w:r>
      <w:r w:rsidRPr="00FE7622">
        <w:rPr>
          <w:color w:val="auto"/>
        </w:rPr>
        <w:t xml:space="preserve"> on the grounds that larger bodies require greater muscle mass to enable function. Appendicular lean mass (in kg) divided by </w:t>
      </w:r>
      <w:r w:rsidRPr="00842651">
        <w:rPr>
          <w:color w:val="auto"/>
        </w:rPr>
        <w:t>BMI</w:t>
      </w:r>
      <w:r w:rsidRPr="00FE7622">
        <w:rPr>
          <w:color w:val="auto"/>
        </w:rPr>
        <w:t xml:space="preserve"> (in kg/m</w:t>
      </w:r>
      <w:r w:rsidR="00E038BF" w:rsidRPr="00FE7622">
        <w:rPr>
          <w:color w:val="auto"/>
          <w:vertAlign w:val="superscript"/>
        </w:rPr>
        <w:t>2</w:t>
      </w:r>
      <w:r w:rsidRPr="00FE7622">
        <w:rPr>
          <w:color w:val="auto"/>
        </w:rPr>
        <w:t xml:space="preserve">) is required to be &lt; 0.789 for men </w:t>
      </w:r>
      <w:r w:rsidR="0058481C" w:rsidRPr="00FE7622">
        <w:rPr>
          <w:color w:val="auto"/>
        </w:rPr>
        <w:t>and</w:t>
      </w:r>
      <w:r w:rsidRPr="00FE7622">
        <w:rPr>
          <w:color w:val="auto"/>
        </w:rPr>
        <w:t xml:space="preserve"> &lt; 0.512 for women.</w:t>
      </w:r>
    </w:p>
    <w:p w14:paraId="1E9F0923" w14:textId="201F36CB" w:rsidR="00F026E8" w:rsidRPr="00FE7622" w:rsidRDefault="00E038BF" w:rsidP="007E4ECA">
      <w:pPr>
        <w:pStyle w:val="602TextfoTextstylesTextstyles"/>
        <w:rPr>
          <w:color w:val="auto"/>
        </w:rPr>
      </w:pPr>
      <w:r w:rsidRPr="00FE7622">
        <w:rPr>
          <w:i/>
          <w:color w:val="FF0000"/>
        </w:rPr>
        <w:t>Table 4</w:t>
      </w:r>
      <w:r w:rsidR="00F026E8" w:rsidRPr="00FE7622">
        <w:rPr>
          <w:color w:val="auto"/>
        </w:rPr>
        <w:t xml:space="preserve"> shows the percentage of randomised participants in the </w:t>
      </w:r>
      <w:r w:rsidR="00F026E8" w:rsidRPr="00842651">
        <w:rPr>
          <w:color w:val="auto"/>
        </w:rPr>
        <w:t>LACE</w:t>
      </w:r>
      <w:r w:rsidR="00F026E8" w:rsidRPr="00FE7622">
        <w:rPr>
          <w:color w:val="auto"/>
        </w:rPr>
        <w:t xml:space="preserve"> trial with </w:t>
      </w:r>
      <w:r w:rsidR="00F026E8" w:rsidRPr="00842651">
        <w:rPr>
          <w:color w:val="auto"/>
        </w:rPr>
        <w:t>DXA</w:t>
      </w:r>
      <w:r w:rsidR="00F026E8" w:rsidRPr="00FE7622">
        <w:rPr>
          <w:color w:val="auto"/>
        </w:rPr>
        <w:t xml:space="preserve">-measured baseline muscle mass </w:t>
      </w:r>
      <w:r w:rsidR="00624FF3" w:rsidRPr="00FE7622">
        <w:rPr>
          <w:color w:val="auto"/>
        </w:rPr>
        <w:t>who</w:t>
      </w:r>
      <w:r w:rsidR="00F026E8" w:rsidRPr="00FE7622">
        <w:rPr>
          <w:color w:val="auto"/>
        </w:rPr>
        <w:t xml:space="preserve"> met these different definitions of sarcopenia.</w:t>
      </w:r>
    </w:p>
    <w:p w14:paraId="562E3E28" w14:textId="526DC6AE" w:rsidR="00F026E8" w:rsidRPr="00FE7622" w:rsidRDefault="00E038BF" w:rsidP="00F026E8">
      <w:pPr>
        <w:pStyle w:val="70TablelegendTablesTableFigureBoxstyles"/>
        <w:rPr>
          <w:lang w:val="en-GB"/>
        </w:rPr>
      </w:pPr>
      <w:r w:rsidRPr="00FE7622">
        <w:rPr>
          <w:b/>
        </w:rPr>
        <w:t>TABLE 4</w:t>
      </w:r>
      <w:r w:rsidRPr="00FE7622">
        <w:rPr>
          <w:b/>
        </w:rPr>
        <w:t> </w:t>
      </w:r>
      <w:r w:rsidR="00F026E8" w:rsidRPr="00FE7622">
        <w:rPr>
          <w:lang w:val="en-GB"/>
        </w:rPr>
        <w:t xml:space="preserve">Proportion of randomised participants in </w:t>
      </w:r>
      <w:r w:rsidR="00F026E8" w:rsidRPr="00842651">
        <w:rPr>
          <w:lang w:val="en-GB"/>
        </w:rPr>
        <w:t>LACE</w:t>
      </w:r>
      <w:r w:rsidR="00F026E8" w:rsidRPr="00FE7622">
        <w:rPr>
          <w:lang w:val="en-GB"/>
        </w:rPr>
        <w:t xml:space="preserve"> meeting </w:t>
      </w:r>
      <w:r w:rsidR="00231C84" w:rsidRPr="00FE7622">
        <w:rPr>
          <w:lang w:val="en-GB"/>
        </w:rPr>
        <w:t xml:space="preserve">the </w:t>
      </w:r>
      <w:r w:rsidR="00F026E8" w:rsidRPr="00FE7622">
        <w:rPr>
          <w:lang w:val="en-GB"/>
        </w:rPr>
        <w:t xml:space="preserve">criteria for diagnosis of sarcopenia </w:t>
      </w:r>
      <w:r w:rsidR="00FB19D9" w:rsidRPr="00FE7622">
        <w:rPr>
          <w:lang w:val="en-GB"/>
        </w:rPr>
        <w:t>using</w:t>
      </w:r>
      <w:r w:rsidR="00F026E8" w:rsidRPr="00FE7622">
        <w:rPr>
          <w:lang w:val="en-GB"/>
        </w:rPr>
        <w:t xml:space="preserve"> different definitions/thresholds</w:t>
      </w:r>
    </w:p>
    <w:tbl>
      <w:tblPr>
        <w:tblW w:w="0" w:type="auto"/>
        <w:tblCellMar>
          <w:top w:w="40" w:type="dxa"/>
          <w:left w:w="60" w:type="dxa"/>
          <w:bottom w:w="40" w:type="dxa"/>
          <w:right w:w="60" w:type="dxa"/>
        </w:tblCellMar>
        <w:tblLook w:val="04A0" w:firstRow="1" w:lastRow="0" w:firstColumn="1" w:lastColumn="0" w:noHBand="0" w:noVBand="1"/>
      </w:tblPr>
      <w:tblGrid>
        <w:gridCol w:w="1116"/>
        <w:gridCol w:w="1454"/>
        <w:gridCol w:w="2637"/>
        <w:gridCol w:w="2697"/>
        <w:gridCol w:w="1122"/>
      </w:tblGrid>
      <w:tr w:rsidR="00F026E8" w:rsidRPr="00FE7622" w14:paraId="122D0A66" w14:textId="77777777" w:rsidTr="00AF19CC">
        <w:trPr>
          <w:cantSplit/>
        </w:trPr>
        <w:tc>
          <w:tcPr>
            <w:tcW w:w="0" w:type="auto"/>
            <w:shd w:val="clear" w:color="auto" w:fill="auto"/>
          </w:tcPr>
          <w:p w14:paraId="47137872" w14:textId="77777777" w:rsidR="00F026E8" w:rsidRPr="00FE7622" w:rsidRDefault="00F026E8" w:rsidP="00AF19CC">
            <w:pPr>
              <w:pStyle w:val="710TableheadTablesTableFigureBoxstyles"/>
            </w:pPr>
          </w:p>
        </w:tc>
        <w:tc>
          <w:tcPr>
            <w:tcW w:w="0" w:type="auto"/>
            <w:shd w:val="clear" w:color="auto" w:fill="auto"/>
          </w:tcPr>
          <w:p w14:paraId="5100872D" w14:textId="316F3A7C" w:rsidR="00F026E8" w:rsidRPr="00FE7622" w:rsidRDefault="00E038BF" w:rsidP="00AF19CC">
            <w:pPr>
              <w:pStyle w:val="710TableheadTablesTableFigureBoxstyles"/>
            </w:pPr>
            <w:r w:rsidRPr="00842651">
              <w:t>EWGSOP</w:t>
            </w:r>
            <w:r w:rsidRPr="00FE7622">
              <w:t xml:space="preserve"> 2010</w:t>
            </w:r>
            <w:r w:rsidRPr="00FE7622">
              <w:rPr>
                <w:vertAlign w:val="superscript"/>
              </w:rPr>
              <w:t>a</w:t>
            </w:r>
          </w:p>
        </w:tc>
        <w:tc>
          <w:tcPr>
            <w:tcW w:w="0" w:type="auto"/>
            <w:shd w:val="clear" w:color="auto" w:fill="auto"/>
          </w:tcPr>
          <w:p w14:paraId="1C4EBA6B" w14:textId="13238768" w:rsidR="00F026E8" w:rsidRPr="00FE7622" w:rsidRDefault="00E038BF" w:rsidP="00AF19CC">
            <w:pPr>
              <w:pStyle w:val="710TableheadTablesTableFigureBoxstyles"/>
            </w:pPr>
            <w:r w:rsidRPr="00842651">
              <w:t>EWGSOP</w:t>
            </w:r>
            <w:r w:rsidRPr="00FE7622">
              <w:t xml:space="preserve"> 2019 probable sarcopenia</w:t>
            </w:r>
            <w:r w:rsidRPr="00FE7622">
              <w:rPr>
                <w:vertAlign w:val="superscript"/>
              </w:rPr>
              <w:t>b</w:t>
            </w:r>
          </w:p>
        </w:tc>
        <w:tc>
          <w:tcPr>
            <w:tcW w:w="0" w:type="auto"/>
            <w:shd w:val="clear" w:color="auto" w:fill="auto"/>
          </w:tcPr>
          <w:p w14:paraId="13525205" w14:textId="550E6AE2" w:rsidR="00F026E8" w:rsidRPr="00FE7622" w:rsidRDefault="00E038BF" w:rsidP="00AF19CC">
            <w:pPr>
              <w:pStyle w:val="710TableheadTablesTableFigureBoxstyles"/>
            </w:pPr>
            <w:r w:rsidRPr="00842651">
              <w:t>EWGSOP</w:t>
            </w:r>
            <w:r w:rsidRPr="00FE7622">
              <w:t xml:space="preserve"> 2019 confirmed sarcopenia</w:t>
            </w:r>
            <w:r w:rsidRPr="00FE7622">
              <w:rPr>
                <w:vertAlign w:val="superscript"/>
              </w:rPr>
              <w:t>c</w:t>
            </w:r>
          </w:p>
        </w:tc>
        <w:tc>
          <w:tcPr>
            <w:tcW w:w="0" w:type="auto"/>
            <w:shd w:val="clear" w:color="auto" w:fill="auto"/>
          </w:tcPr>
          <w:p w14:paraId="582157AA" w14:textId="25275298" w:rsidR="00F026E8" w:rsidRPr="00FE7622" w:rsidRDefault="00E038BF" w:rsidP="00AF19CC">
            <w:pPr>
              <w:pStyle w:val="710TableheadTablesTableFigureBoxstyles"/>
            </w:pPr>
            <w:r w:rsidRPr="00FE7622">
              <w:t>FNIH</w:t>
            </w:r>
            <w:r w:rsidRPr="00FE7622">
              <w:rPr>
                <w:vertAlign w:val="superscript"/>
              </w:rPr>
              <w:t>d</w:t>
            </w:r>
          </w:p>
        </w:tc>
      </w:tr>
      <w:tr w:rsidR="00F026E8" w:rsidRPr="00FE7622" w14:paraId="34A21E7E" w14:textId="77777777" w:rsidTr="00AF19CC">
        <w:trPr>
          <w:cantSplit/>
        </w:trPr>
        <w:tc>
          <w:tcPr>
            <w:tcW w:w="0" w:type="auto"/>
            <w:shd w:val="clear" w:color="auto" w:fill="auto"/>
          </w:tcPr>
          <w:p w14:paraId="64F4A546" w14:textId="77777777" w:rsidR="00F026E8" w:rsidRPr="00FE7622" w:rsidRDefault="00F026E8" w:rsidP="00AF19CC">
            <w:pPr>
              <w:pStyle w:val="72TabletextTablesTableFigureBoxstyles"/>
            </w:pPr>
            <w:r w:rsidRPr="00FE7622">
              <w:rPr>
                <w:color w:val="auto"/>
              </w:rPr>
              <w:t>Men (%)</w:t>
            </w:r>
          </w:p>
        </w:tc>
        <w:tc>
          <w:tcPr>
            <w:tcW w:w="0" w:type="auto"/>
            <w:shd w:val="clear" w:color="auto" w:fill="auto"/>
          </w:tcPr>
          <w:p w14:paraId="18754D71" w14:textId="77777777" w:rsidR="00F026E8" w:rsidRPr="00FE7622" w:rsidRDefault="00F026E8" w:rsidP="00AF19CC">
            <w:pPr>
              <w:pStyle w:val="72TabletextTablesTableFigureBoxstyles"/>
            </w:pPr>
            <w:r w:rsidRPr="00FE7622">
              <w:rPr>
                <w:color w:val="auto"/>
              </w:rPr>
              <w:t>30/66 (45)</w:t>
            </w:r>
          </w:p>
        </w:tc>
        <w:tc>
          <w:tcPr>
            <w:tcW w:w="0" w:type="auto"/>
            <w:shd w:val="clear" w:color="auto" w:fill="auto"/>
          </w:tcPr>
          <w:p w14:paraId="6728A7D0" w14:textId="77777777" w:rsidR="00F026E8" w:rsidRPr="00FE7622" w:rsidRDefault="00F026E8" w:rsidP="00AF19CC">
            <w:pPr>
              <w:pStyle w:val="72TabletextTablesTableFigureBoxstyles"/>
            </w:pPr>
            <w:r w:rsidRPr="00FE7622">
              <w:rPr>
                <w:color w:val="auto"/>
              </w:rPr>
              <w:t>64/66 (97)</w:t>
            </w:r>
          </w:p>
        </w:tc>
        <w:tc>
          <w:tcPr>
            <w:tcW w:w="0" w:type="auto"/>
            <w:shd w:val="clear" w:color="auto" w:fill="auto"/>
          </w:tcPr>
          <w:p w14:paraId="1DBAC682" w14:textId="77777777" w:rsidR="00F026E8" w:rsidRPr="00FE7622" w:rsidRDefault="00F026E8" w:rsidP="00AF19CC">
            <w:pPr>
              <w:pStyle w:val="72TabletextTablesTableFigureBoxstyles"/>
            </w:pPr>
            <w:r w:rsidRPr="00FE7622">
              <w:rPr>
                <w:color w:val="auto"/>
              </w:rPr>
              <w:t>19/66 (29)</w:t>
            </w:r>
          </w:p>
        </w:tc>
        <w:tc>
          <w:tcPr>
            <w:tcW w:w="0" w:type="auto"/>
            <w:shd w:val="clear" w:color="auto" w:fill="auto"/>
          </w:tcPr>
          <w:p w14:paraId="215E2AF1" w14:textId="77777777" w:rsidR="00F026E8" w:rsidRPr="00FE7622" w:rsidRDefault="00F026E8" w:rsidP="00AF19CC">
            <w:pPr>
              <w:pStyle w:val="72TabletextTablesTableFigureBoxstyles"/>
              <w:rPr>
                <w:color w:val="auto"/>
              </w:rPr>
            </w:pPr>
            <w:r w:rsidRPr="00FE7622">
              <w:rPr>
                <w:color w:val="auto"/>
              </w:rPr>
              <w:t>27/66 (41)</w:t>
            </w:r>
          </w:p>
        </w:tc>
      </w:tr>
      <w:tr w:rsidR="00F026E8" w:rsidRPr="00FE7622" w14:paraId="05266B91" w14:textId="77777777" w:rsidTr="00AF19CC">
        <w:trPr>
          <w:cantSplit/>
        </w:trPr>
        <w:tc>
          <w:tcPr>
            <w:tcW w:w="0" w:type="auto"/>
            <w:shd w:val="clear" w:color="auto" w:fill="auto"/>
          </w:tcPr>
          <w:p w14:paraId="4A78916D" w14:textId="77777777" w:rsidR="00F026E8" w:rsidRPr="00FE7622" w:rsidRDefault="00F026E8" w:rsidP="00AF19CC">
            <w:pPr>
              <w:pStyle w:val="72TabletextTablesTableFigureBoxstyles"/>
            </w:pPr>
            <w:r w:rsidRPr="00FE7622">
              <w:rPr>
                <w:color w:val="auto"/>
              </w:rPr>
              <w:t>Women (%)</w:t>
            </w:r>
          </w:p>
        </w:tc>
        <w:tc>
          <w:tcPr>
            <w:tcW w:w="0" w:type="auto"/>
            <w:shd w:val="clear" w:color="auto" w:fill="auto"/>
          </w:tcPr>
          <w:p w14:paraId="0E6FF1A5" w14:textId="77777777" w:rsidR="00F026E8" w:rsidRPr="00FE7622" w:rsidRDefault="00F026E8" w:rsidP="00AF19CC">
            <w:pPr>
              <w:pStyle w:val="72TabletextTablesTableFigureBoxstyles"/>
            </w:pPr>
            <w:r w:rsidRPr="00FE7622">
              <w:rPr>
                <w:color w:val="auto"/>
              </w:rPr>
              <w:t>29/78 (37)</w:t>
            </w:r>
          </w:p>
        </w:tc>
        <w:tc>
          <w:tcPr>
            <w:tcW w:w="0" w:type="auto"/>
            <w:shd w:val="clear" w:color="auto" w:fill="auto"/>
          </w:tcPr>
          <w:p w14:paraId="779601C2" w14:textId="77777777" w:rsidR="00F026E8" w:rsidRPr="00FE7622" w:rsidRDefault="00F026E8" w:rsidP="00AF19CC">
            <w:pPr>
              <w:pStyle w:val="72TabletextTablesTableFigureBoxstyles"/>
            </w:pPr>
            <w:r w:rsidRPr="00FE7622">
              <w:rPr>
                <w:color w:val="auto"/>
              </w:rPr>
              <w:t>74/78 (95)</w:t>
            </w:r>
          </w:p>
        </w:tc>
        <w:tc>
          <w:tcPr>
            <w:tcW w:w="0" w:type="auto"/>
            <w:shd w:val="clear" w:color="auto" w:fill="auto"/>
          </w:tcPr>
          <w:p w14:paraId="50CE5FDE" w14:textId="77777777" w:rsidR="00F026E8" w:rsidRPr="00FE7622" w:rsidRDefault="00F026E8" w:rsidP="00AF19CC">
            <w:pPr>
              <w:pStyle w:val="72TabletextTablesTableFigureBoxstyles"/>
            </w:pPr>
            <w:r w:rsidRPr="00FE7622">
              <w:rPr>
                <w:color w:val="auto"/>
              </w:rPr>
              <w:t>25/78 (32)</w:t>
            </w:r>
          </w:p>
        </w:tc>
        <w:tc>
          <w:tcPr>
            <w:tcW w:w="0" w:type="auto"/>
            <w:shd w:val="clear" w:color="auto" w:fill="auto"/>
          </w:tcPr>
          <w:p w14:paraId="1840B32C" w14:textId="77777777" w:rsidR="00F026E8" w:rsidRPr="00FE7622" w:rsidRDefault="00F026E8" w:rsidP="00AF19CC">
            <w:pPr>
              <w:pStyle w:val="72TabletextTablesTableFigureBoxstyles"/>
              <w:rPr>
                <w:color w:val="auto"/>
              </w:rPr>
            </w:pPr>
            <w:r w:rsidRPr="00FE7622">
              <w:rPr>
                <w:color w:val="auto"/>
              </w:rPr>
              <w:t>22/78 (28)</w:t>
            </w:r>
          </w:p>
        </w:tc>
      </w:tr>
      <w:tr w:rsidR="00F026E8" w:rsidRPr="00FE7622" w14:paraId="3F066983" w14:textId="77777777" w:rsidTr="00AF19CC">
        <w:trPr>
          <w:cantSplit/>
        </w:trPr>
        <w:tc>
          <w:tcPr>
            <w:tcW w:w="0" w:type="auto"/>
            <w:shd w:val="clear" w:color="auto" w:fill="auto"/>
          </w:tcPr>
          <w:p w14:paraId="2DF93F37" w14:textId="77777777" w:rsidR="00F026E8" w:rsidRPr="00FE7622" w:rsidRDefault="00F026E8" w:rsidP="00AF19CC">
            <w:pPr>
              <w:pStyle w:val="72TabletextTablesTableFigureBoxstyles"/>
            </w:pPr>
            <w:r w:rsidRPr="00FE7622">
              <w:rPr>
                <w:color w:val="auto"/>
              </w:rPr>
              <w:t>All (%)</w:t>
            </w:r>
          </w:p>
        </w:tc>
        <w:tc>
          <w:tcPr>
            <w:tcW w:w="0" w:type="auto"/>
            <w:shd w:val="clear" w:color="auto" w:fill="auto"/>
          </w:tcPr>
          <w:p w14:paraId="4DFAFAE5" w14:textId="77777777" w:rsidR="00F026E8" w:rsidRPr="00FE7622" w:rsidRDefault="00F026E8" w:rsidP="00AF19CC">
            <w:pPr>
              <w:pStyle w:val="72TabletextTablesTableFigureBoxstyles"/>
            </w:pPr>
            <w:r w:rsidRPr="00FE7622">
              <w:rPr>
                <w:color w:val="auto"/>
              </w:rPr>
              <w:t>59/144 (41)</w:t>
            </w:r>
          </w:p>
        </w:tc>
        <w:tc>
          <w:tcPr>
            <w:tcW w:w="0" w:type="auto"/>
            <w:shd w:val="clear" w:color="auto" w:fill="auto"/>
          </w:tcPr>
          <w:p w14:paraId="3077FBD5" w14:textId="77777777" w:rsidR="00F026E8" w:rsidRPr="00FE7622" w:rsidRDefault="00F026E8" w:rsidP="00AF19CC">
            <w:pPr>
              <w:pStyle w:val="72TabletextTablesTableFigureBoxstyles"/>
            </w:pPr>
            <w:r w:rsidRPr="00FE7622">
              <w:rPr>
                <w:color w:val="auto"/>
              </w:rPr>
              <w:t>138/144 (96)</w:t>
            </w:r>
          </w:p>
        </w:tc>
        <w:tc>
          <w:tcPr>
            <w:tcW w:w="0" w:type="auto"/>
            <w:shd w:val="clear" w:color="auto" w:fill="auto"/>
          </w:tcPr>
          <w:p w14:paraId="0604EFA7" w14:textId="77777777" w:rsidR="00F026E8" w:rsidRPr="00FE7622" w:rsidRDefault="00F026E8" w:rsidP="00AF19CC">
            <w:pPr>
              <w:pStyle w:val="72TabletextTablesTableFigureBoxstyles"/>
            </w:pPr>
            <w:r w:rsidRPr="00FE7622">
              <w:rPr>
                <w:color w:val="auto"/>
              </w:rPr>
              <w:t>44/144 (31)</w:t>
            </w:r>
          </w:p>
        </w:tc>
        <w:tc>
          <w:tcPr>
            <w:tcW w:w="0" w:type="auto"/>
            <w:shd w:val="clear" w:color="auto" w:fill="auto"/>
          </w:tcPr>
          <w:p w14:paraId="066A81E9" w14:textId="77777777" w:rsidR="00F026E8" w:rsidRPr="00FE7622" w:rsidRDefault="00F026E8" w:rsidP="00AF19CC">
            <w:pPr>
              <w:pStyle w:val="72TabletextTablesTableFigureBoxstyles"/>
              <w:rPr>
                <w:color w:val="auto"/>
              </w:rPr>
            </w:pPr>
            <w:r w:rsidRPr="00FE7622">
              <w:rPr>
                <w:color w:val="auto"/>
              </w:rPr>
              <w:t>49/144 (34)</w:t>
            </w:r>
          </w:p>
        </w:tc>
      </w:tr>
      <w:tr w:rsidR="00F026E8" w:rsidRPr="00FE7622" w14:paraId="4D257A75" w14:textId="77777777" w:rsidTr="00AF19CC">
        <w:trPr>
          <w:cantSplit/>
        </w:trPr>
        <w:tc>
          <w:tcPr>
            <w:tcW w:w="0" w:type="auto"/>
            <w:gridSpan w:val="5"/>
            <w:shd w:val="clear" w:color="auto" w:fill="auto"/>
          </w:tcPr>
          <w:p w14:paraId="39A76408" w14:textId="567E0995" w:rsidR="00823F0D" w:rsidRPr="00FE7622" w:rsidRDefault="00823F0D" w:rsidP="00AF19CC">
            <w:pPr>
              <w:pStyle w:val="75TablenotesTablesTableFigureBoxstyles"/>
              <w:rPr>
                <w:lang w:val="en-GB"/>
              </w:rPr>
            </w:pPr>
            <w:r w:rsidRPr="00842651">
              <w:rPr>
                <w:lang w:val="en-GB"/>
              </w:rPr>
              <w:t>EWGSOP</w:t>
            </w:r>
            <w:r w:rsidR="00D10191" w:rsidRPr="00FE7622">
              <w:rPr>
                <w:lang w:val="en-GB"/>
              </w:rPr>
              <w:t>,</w:t>
            </w:r>
            <w:r w:rsidRPr="00FE7622">
              <w:rPr>
                <w:lang w:val="en-GB"/>
              </w:rPr>
              <w:t xml:space="preserve"> European Working Group on Sarcopenia</w:t>
            </w:r>
            <w:r w:rsidR="007300CD" w:rsidRPr="00FE7622">
              <w:rPr>
                <w:lang w:val="en-GB"/>
              </w:rPr>
              <w:t>.</w:t>
            </w:r>
          </w:p>
          <w:p w14:paraId="740AA453" w14:textId="1FB50E21" w:rsidR="00F026E8" w:rsidRPr="00FE7622" w:rsidRDefault="00F026E8" w:rsidP="00AF19CC">
            <w:pPr>
              <w:pStyle w:val="75TablenotesTablesTableFigureBoxstyles"/>
              <w:rPr>
                <w:lang w:val="en-GB"/>
              </w:rPr>
            </w:pPr>
            <w:r w:rsidRPr="00FE7622">
              <w:rPr>
                <w:lang w:val="en-GB"/>
              </w:rPr>
              <w:t>a</w:t>
            </w:r>
            <w:bookmarkStart w:id="79" w:name="_Hlk38976053"/>
            <w:r w:rsidR="00B033DB" w:rsidRPr="00FE7622">
              <w:rPr>
                <w:lang w:val="en-GB"/>
              </w:rPr>
              <w:tab/>
            </w:r>
            <w:r w:rsidRPr="00FE7622">
              <w:rPr>
                <w:lang w:val="en-GB"/>
              </w:rPr>
              <w:t xml:space="preserve">Low grip strength (&lt; 30 kg </w:t>
            </w:r>
            <w:r w:rsidR="00823F0D" w:rsidRPr="00FE7622">
              <w:rPr>
                <w:lang w:val="en-GB"/>
              </w:rPr>
              <w:t xml:space="preserve">for </w:t>
            </w:r>
            <w:r w:rsidRPr="00FE7622">
              <w:rPr>
                <w:lang w:val="en-GB"/>
              </w:rPr>
              <w:t xml:space="preserve">men </w:t>
            </w:r>
            <w:r w:rsidR="00D10191" w:rsidRPr="00FE7622">
              <w:rPr>
                <w:lang w:val="en-GB"/>
              </w:rPr>
              <w:t>and</w:t>
            </w:r>
            <w:r w:rsidRPr="00FE7622">
              <w:rPr>
                <w:lang w:val="en-GB"/>
              </w:rPr>
              <w:t xml:space="preserve"> &lt; 20 kg</w:t>
            </w:r>
            <w:r w:rsidR="00823F0D" w:rsidRPr="00FE7622">
              <w:rPr>
                <w:lang w:val="en-GB"/>
              </w:rPr>
              <w:t xml:space="preserve"> for</w:t>
            </w:r>
            <w:r w:rsidRPr="00FE7622">
              <w:rPr>
                <w:lang w:val="en-GB"/>
              </w:rPr>
              <w:t xml:space="preserve"> women) OR gait speed </w:t>
            </w:r>
            <w:r w:rsidR="00823F0D" w:rsidRPr="00FE7622">
              <w:rPr>
                <w:lang w:val="en-GB"/>
              </w:rPr>
              <w:t>≤ </w:t>
            </w:r>
            <w:r w:rsidRPr="00FE7622">
              <w:rPr>
                <w:lang w:val="en-GB"/>
              </w:rPr>
              <w:t>0.8 m/s</w:t>
            </w:r>
            <w:r w:rsidR="00823F0D" w:rsidRPr="00FE7622">
              <w:rPr>
                <w:lang w:val="en-GB"/>
              </w:rPr>
              <w:t>econd</w:t>
            </w:r>
            <w:r w:rsidRPr="00FE7622">
              <w:rPr>
                <w:lang w:val="en-GB"/>
              </w:rPr>
              <w:t xml:space="preserve"> AND low appendicular muscle mass index (&lt; 7.26</w:t>
            </w:r>
            <w:r w:rsidR="00823F0D" w:rsidRPr="00FE7622">
              <w:rPr>
                <w:lang w:val="en-GB"/>
              </w:rPr>
              <w:t> </w:t>
            </w:r>
            <w:r w:rsidRPr="00FE7622">
              <w:rPr>
                <w:lang w:val="en-GB"/>
              </w:rPr>
              <w:t>kg/m</w:t>
            </w:r>
            <w:r w:rsidR="00E038BF" w:rsidRPr="00FE7622">
              <w:rPr>
                <w:vertAlign w:val="superscript"/>
                <w:lang w:val="en-GB"/>
              </w:rPr>
              <w:t>2</w:t>
            </w:r>
            <w:r w:rsidRPr="00FE7622">
              <w:rPr>
                <w:lang w:val="en-GB"/>
              </w:rPr>
              <w:t xml:space="preserve"> </w:t>
            </w:r>
            <w:r w:rsidR="00823F0D" w:rsidRPr="00FE7622">
              <w:rPr>
                <w:lang w:val="en-GB"/>
              </w:rPr>
              <w:t xml:space="preserve">for </w:t>
            </w:r>
            <w:r w:rsidRPr="00FE7622">
              <w:rPr>
                <w:lang w:val="en-GB"/>
              </w:rPr>
              <w:t xml:space="preserve">men </w:t>
            </w:r>
            <w:r w:rsidR="00D10191" w:rsidRPr="00FE7622">
              <w:rPr>
                <w:lang w:val="en-GB"/>
              </w:rPr>
              <w:t>and</w:t>
            </w:r>
            <w:r w:rsidRPr="00FE7622">
              <w:rPr>
                <w:lang w:val="en-GB"/>
              </w:rPr>
              <w:t xml:space="preserve"> &lt; 5.5</w:t>
            </w:r>
            <w:r w:rsidR="00823F0D" w:rsidRPr="00FE7622">
              <w:rPr>
                <w:lang w:val="en-GB"/>
              </w:rPr>
              <w:t> </w:t>
            </w:r>
            <w:r w:rsidRPr="00FE7622">
              <w:rPr>
                <w:lang w:val="en-GB"/>
              </w:rPr>
              <w:t>kg/m</w:t>
            </w:r>
            <w:r w:rsidR="00E038BF" w:rsidRPr="00FE7622">
              <w:rPr>
                <w:vertAlign w:val="superscript"/>
                <w:lang w:val="en-GB"/>
              </w:rPr>
              <w:t>2</w:t>
            </w:r>
            <w:r w:rsidRPr="00FE7622">
              <w:rPr>
                <w:lang w:val="en-GB"/>
              </w:rPr>
              <w:t xml:space="preserve"> </w:t>
            </w:r>
            <w:r w:rsidR="00823F0D" w:rsidRPr="00FE7622">
              <w:rPr>
                <w:lang w:val="en-GB"/>
              </w:rPr>
              <w:t xml:space="preserve">for </w:t>
            </w:r>
            <w:r w:rsidRPr="00FE7622">
              <w:rPr>
                <w:lang w:val="en-GB"/>
              </w:rPr>
              <w:t>women)</w:t>
            </w:r>
            <w:r w:rsidR="00823F0D" w:rsidRPr="00FE7622">
              <w:rPr>
                <w:lang w:val="en-GB"/>
              </w:rPr>
              <w:t>.</w:t>
            </w:r>
          </w:p>
          <w:bookmarkEnd w:id="79"/>
          <w:p w14:paraId="574EE6E8" w14:textId="6315EA06" w:rsidR="00F026E8" w:rsidRPr="00FE7622" w:rsidRDefault="00F026E8" w:rsidP="00AF19CC">
            <w:pPr>
              <w:pStyle w:val="75TablenotesTablesTableFigureBoxstyles"/>
              <w:rPr>
                <w:lang w:val="en-GB"/>
              </w:rPr>
            </w:pPr>
            <w:r w:rsidRPr="00FE7622">
              <w:rPr>
                <w:lang w:val="en-GB"/>
              </w:rPr>
              <w:t>b</w:t>
            </w:r>
            <w:r w:rsidR="00B033DB" w:rsidRPr="00FE7622">
              <w:rPr>
                <w:lang w:val="en-GB"/>
              </w:rPr>
              <w:tab/>
            </w:r>
            <w:r w:rsidRPr="00FE7622">
              <w:rPr>
                <w:lang w:val="en-GB"/>
              </w:rPr>
              <w:t xml:space="preserve">Low grip strength (&lt; 27 kg </w:t>
            </w:r>
            <w:r w:rsidR="00823F0D" w:rsidRPr="00FE7622">
              <w:rPr>
                <w:lang w:val="en-GB"/>
              </w:rPr>
              <w:t xml:space="preserve">for </w:t>
            </w:r>
            <w:r w:rsidRPr="00FE7622">
              <w:rPr>
                <w:lang w:val="en-GB"/>
              </w:rPr>
              <w:t xml:space="preserve">men </w:t>
            </w:r>
            <w:r w:rsidR="00D10191" w:rsidRPr="00FE7622">
              <w:rPr>
                <w:lang w:val="en-GB"/>
              </w:rPr>
              <w:t>and</w:t>
            </w:r>
            <w:r w:rsidRPr="00FE7622">
              <w:rPr>
                <w:lang w:val="en-GB"/>
              </w:rPr>
              <w:t xml:space="preserve"> &lt; 16 kg </w:t>
            </w:r>
            <w:r w:rsidR="00823F0D" w:rsidRPr="00FE7622">
              <w:rPr>
                <w:lang w:val="en-GB"/>
              </w:rPr>
              <w:t xml:space="preserve">for </w:t>
            </w:r>
            <w:r w:rsidRPr="00FE7622">
              <w:rPr>
                <w:lang w:val="en-GB"/>
              </w:rPr>
              <w:t>women) OR five times sit to stand test &gt; 15</w:t>
            </w:r>
            <w:r w:rsidR="00823F0D" w:rsidRPr="00FE7622">
              <w:rPr>
                <w:lang w:val="en-GB"/>
              </w:rPr>
              <w:t xml:space="preserve"> </w:t>
            </w:r>
            <w:r w:rsidRPr="00FE7622">
              <w:rPr>
                <w:lang w:val="en-GB"/>
              </w:rPr>
              <w:t>s</w:t>
            </w:r>
            <w:r w:rsidR="00823F0D" w:rsidRPr="00FE7622">
              <w:rPr>
                <w:lang w:val="en-GB"/>
              </w:rPr>
              <w:t>econds</w:t>
            </w:r>
            <w:r w:rsidRPr="00FE7622">
              <w:rPr>
                <w:lang w:val="en-GB"/>
              </w:rPr>
              <w:t>/unable to perform</w:t>
            </w:r>
            <w:r w:rsidR="00823F0D" w:rsidRPr="00FE7622">
              <w:rPr>
                <w:lang w:val="en-GB"/>
              </w:rPr>
              <w:t>.</w:t>
            </w:r>
          </w:p>
          <w:p w14:paraId="08FD3BB6" w14:textId="1F2B06B2" w:rsidR="00F026E8" w:rsidRPr="00FE7622" w:rsidRDefault="00F026E8" w:rsidP="00AF19CC">
            <w:pPr>
              <w:pStyle w:val="75TablenotesTablesTableFigureBoxstyles"/>
              <w:rPr>
                <w:lang w:val="en-GB"/>
              </w:rPr>
            </w:pPr>
            <w:r w:rsidRPr="00FE7622">
              <w:rPr>
                <w:lang w:val="en-GB"/>
              </w:rPr>
              <w:t>c</w:t>
            </w:r>
            <w:r w:rsidR="00B033DB" w:rsidRPr="00FE7622">
              <w:rPr>
                <w:lang w:val="en-GB"/>
              </w:rPr>
              <w:tab/>
            </w:r>
            <w:r w:rsidRPr="00FE7622">
              <w:rPr>
                <w:lang w:val="en-GB"/>
              </w:rPr>
              <w:t>As for (b) AND low appendicular muscle mass index (&lt; 7.0</w:t>
            </w:r>
            <w:r w:rsidR="00823F0D" w:rsidRPr="00FE7622">
              <w:rPr>
                <w:lang w:val="en-GB"/>
              </w:rPr>
              <w:t> </w:t>
            </w:r>
            <w:r w:rsidRPr="00FE7622">
              <w:rPr>
                <w:lang w:val="en-GB"/>
              </w:rPr>
              <w:t>kg/m</w:t>
            </w:r>
            <w:r w:rsidR="00E038BF" w:rsidRPr="00FE7622">
              <w:rPr>
                <w:vertAlign w:val="superscript"/>
                <w:lang w:val="en-GB"/>
              </w:rPr>
              <w:t>2</w:t>
            </w:r>
            <w:r w:rsidRPr="00FE7622">
              <w:rPr>
                <w:lang w:val="en-GB"/>
              </w:rPr>
              <w:t xml:space="preserve"> </w:t>
            </w:r>
            <w:r w:rsidR="00823F0D" w:rsidRPr="00FE7622">
              <w:rPr>
                <w:lang w:val="en-GB"/>
              </w:rPr>
              <w:t xml:space="preserve">for </w:t>
            </w:r>
            <w:r w:rsidRPr="00FE7622">
              <w:rPr>
                <w:lang w:val="en-GB"/>
              </w:rPr>
              <w:t xml:space="preserve">men </w:t>
            </w:r>
            <w:r w:rsidR="00D10191" w:rsidRPr="00FE7622">
              <w:rPr>
                <w:lang w:val="en-GB"/>
              </w:rPr>
              <w:t>and</w:t>
            </w:r>
            <w:r w:rsidRPr="00FE7622">
              <w:rPr>
                <w:lang w:val="en-GB"/>
              </w:rPr>
              <w:t xml:space="preserve"> &lt; 5.5</w:t>
            </w:r>
            <w:r w:rsidR="00823F0D" w:rsidRPr="00FE7622">
              <w:rPr>
                <w:lang w:val="en-GB"/>
              </w:rPr>
              <w:t> </w:t>
            </w:r>
            <w:r w:rsidRPr="00FE7622">
              <w:rPr>
                <w:lang w:val="en-GB"/>
              </w:rPr>
              <w:t>kg/m</w:t>
            </w:r>
            <w:r w:rsidR="00E038BF" w:rsidRPr="00FE7622">
              <w:rPr>
                <w:vertAlign w:val="superscript"/>
                <w:lang w:val="en-GB"/>
              </w:rPr>
              <w:t>2</w:t>
            </w:r>
            <w:r w:rsidRPr="00FE7622">
              <w:rPr>
                <w:lang w:val="en-GB"/>
              </w:rPr>
              <w:t xml:space="preserve"> </w:t>
            </w:r>
            <w:r w:rsidR="00823F0D" w:rsidRPr="00FE7622">
              <w:rPr>
                <w:lang w:val="en-GB"/>
              </w:rPr>
              <w:t xml:space="preserve">for </w:t>
            </w:r>
            <w:r w:rsidRPr="00FE7622">
              <w:rPr>
                <w:lang w:val="en-GB"/>
              </w:rPr>
              <w:t>women)</w:t>
            </w:r>
            <w:r w:rsidR="00823F0D" w:rsidRPr="00FE7622">
              <w:rPr>
                <w:lang w:val="en-GB"/>
              </w:rPr>
              <w:t>.</w:t>
            </w:r>
          </w:p>
          <w:p w14:paraId="6D861D78" w14:textId="50ACAECF" w:rsidR="00F026E8" w:rsidRPr="00FE7622" w:rsidRDefault="00F026E8" w:rsidP="00AF19CC">
            <w:pPr>
              <w:pStyle w:val="75TablenotesTablesTableFigureBoxstyles"/>
              <w:rPr>
                <w:lang w:val="en-GB"/>
              </w:rPr>
            </w:pPr>
            <w:r w:rsidRPr="00FE7622">
              <w:rPr>
                <w:lang w:val="en-GB"/>
              </w:rPr>
              <w:t>d</w:t>
            </w:r>
            <w:r w:rsidR="00B033DB" w:rsidRPr="00FE7622">
              <w:rPr>
                <w:lang w:val="en-GB"/>
              </w:rPr>
              <w:tab/>
            </w:r>
            <w:r w:rsidRPr="00FE7622">
              <w:rPr>
                <w:lang w:val="en-GB"/>
              </w:rPr>
              <w:t xml:space="preserve">Low grip strength (&lt; 26 kg </w:t>
            </w:r>
            <w:r w:rsidR="00823F0D" w:rsidRPr="00FE7622">
              <w:rPr>
                <w:lang w:val="en-GB"/>
              </w:rPr>
              <w:t xml:space="preserve">for </w:t>
            </w:r>
            <w:r w:rsidRPr="00FE7622">
              <w:rPr>
                <w:lang w:val="en-GB"/>
              </w:rPr>
              <w:t xml:space="preserve">men </w:t>
            </w:r>
            <w:r w:rsidR="00D10191" w:rsidRPr="00FE7622">
              <w:rPr>
                <w:lang w:val="en-GB"/>
              </w:rPr>
              <w:t>and</w:t>
            </w:r>
            <w:r w:rsidRPr="00FE7622">
              <w:rPr>
                <w:lang w:val="en-GB"/>
              </w:rPr>
              <w:t xml:space="preserve"> &lt; 16 kg </w:t>
            </w:r>
            <w:r w:rsidR="00823F0D" w:rsidRPr="00FE7622">
              <w:rPr>
                <w:lang w:val="en-GB"/>
              </w:rPr>
              <w:t xml:space="preserve">for </w:t>
            </w:r>
            <w:r w:rsidRPr="00FE7622">
              <w:rPr>
                <w:lang w:val="en-GB"/>
              </w:rPr>
              <w:t xml:space="preserve">women) AND low appendicular lean mass (lean mass in kg divided by </w:t>
            </w:r>
            <w:r w:rsidRPr="00842651">
              <w:rPr>
                <w:lang w:val="en-GB"/>
              </w:rPr>
              <w:t>BMI</w:t>
            </w:r>
            <w:r w:rsidRPr="00FE7622">
              <w:rPr>
                <w:lang w:val="en-GB"/>
              </w:rPr>
              <w:t xml:space="preserve"> in kg/m</w:t>
            </w:r>
            <w:r w:rsidR="00E038BF" w:rsidRPr="00FE7622">
              <w:rPr>
                <w:vertAlign w:val="superscript"/>
                <w:lang w:val="en-GB"/>
              </w:rPr>
              <w:t>2</w:t>
            </w:r>
            <w:r w:rsidRPr="00FE7622">
              <w:rPr>
                <w:lang w:val="en-GB"/>
              </w:rPr>
              <w:t xml:space="preserve"> </w:t>
            </w:r>
            <w:r w:rsidR="00903121" w:rsidRPr="00FE7622">
              <w:rPr>
                <w:lang w:val="en-GB"/>
              </w:rPr>
              <w:t xml:space="preserve">of </w:t>
            </w:r>
            <w:r w:rsidRPr="00FE7622">
              <w:rPr>
                <w:lang w:val="en-GB"/>
              </w:rPr>
              <w:t xml:space="preserve">&lt; 0.789 for men </w:t>
            </w:r>
            <w:r w:rsidR="00D10191" w:rsidRPr="00FE7622">
              <w:rPr>
                <w:lang w:val="en-GB"/>
              </w:rPr>
              <w:t>and</w:t>
            </w:r>
            <w:r w:rsidRPr="00FE7622">
              <w:rPr>
                <w:lang w:val="en-GB"/>
              </w:rPr>
              <w:t xml:space="preserve"> &lt; 0.512 for women)</w:t>
            </w:r>
            <w:r w:rsidR="00823F0D" w:rsidRPr="00FE7622">
              <w:rPr>
                <w:lang w:val="en-GB"/>
              </w:rPr>
              <w:t>.</w:t>
            </w:r>
          </w:p>
        </w:tc>
      </w:tr>
    </w:tbl>
    <w:p w14:paraId="6CDA62CC" w14:textId="6597D5A9" w:rsidR="00E038BF" w:rsidRPr="00FE7622" w:rsidRDefault="00E038BF" w:rsidP="00CC5417">
      <w:pPr>
        <w:pStyle w:val="52AheadHeadingsHeadingstyles"/>
      </w:pPr>
      <w:bookmarkStart w:id="80" w:name="_Toc79684523"/>
      <w:r w:rsidRPr="00FE7622">
        <w:t>Summary of results</w:t>
      </w:r>
      <w:bookmarkEnd w:id="80"/>
    </w:p>
    <w:p w14:paraId="52EF617E" w14:textId="3CE42F71" w:rsidR="00F026E8" w:rsidRPr="00FE7622" w:rsidRDefault="00384991" w:rsidP="00CC5417">
      <w:pPr>
        <w:pStyle w:val="602TextfoTextstylesTextstyles"/>
        <w:rPr>
          <w:color w:val="auto"/>
        </w:rPr>
      </w:pPr>
      <w:r w:rsidRPr="00FE7622">
        <w:rPr>
          <w:color w:val="auto"/>
        </w:rPr>
        <w:t>The a</w:t>
      </w:r>
      <w:r w:rsidR="00F026E8" w:rsidRPr="00FE7622">
        <w:rPr>
          <w:color w:val="auto"/>
        </w:rPr>
        <w:t xml:space="preserve">nalysis of the recruitment pathway from </w:t>
      </w:r>
      <w:r w:rsidRPr="00FE7622">
        <w:rPr>
          <w:color w:val="auto"/>
        </w:rPr>
        <w:t xml:space="preserve">the </w:t>
      </w:r>
      <w:r w:rsidR="00F026E8" w:rsidRPr="00842651">
        <w:rPr>
          <w:color w:val="auto"/>
        </w:rPr>
        <w:t>LACE</w:t>
      </w:r>
      <w:r w:rsidR="00F026E8" w:rsidRPr="00FE7622">
        <w:rPr>
          <w:color w:val="auto"/>
        </w:rPr>
        <w:t xml:space="preserve"> </w:t>
      </w:r>
      <w:r w:rsidRPr="00FE7622">
        <w:rPr>
          <w:color w:val="auto"/>
        </w:rPr>
        <w:t xml:space="preserve">trial </w:t>
      </w:r>
      <w:r w:rsidR="00F026E8" w:rsidRPr="00FE7622">
        <w:rPr>
          <w:color w:val="auto"/>
        </w:rPr>
        <w:t xml:space="preserve">yielded important insights that will improve the efficiency and effectiveness of recruitment to future sarcopenia trials. Recruitment through </w:t>
      </w:r>
      <w:r w:rsidR="00CB0916" w:rsidRPr="00FE7622">
        <w:rPr>
          <w:color w:val="auto"/>
        </w:rPr>
        <w:t>general</w:t>
      </w:r>
      <w:r w:rsidR="00F026E8" w:rsidRPr="00FE7622">
        <w:rPr>
          <w:color w:val="auto"/>
        </w:rPr>
        <w:t xml:space="preserve"> practices delivered many more participants with sarcopenia than </w:t>
      </w:r>
      <w:r w:rsidRPr="00FE7622">
        <w:rPr>
          <w:color w:val="auto"/>
        </w:rPr>
        <w:t xml:space="preserve">did </w:t>
      </w:r>
      <w:r w:rsidR="00F026E8" w:rsidRPr="00FE7622">
        <w:rPr>
          <w:color w:val="auto"/>
        </w:rPr>
        <w:t xml:space="preserve">recruitment through hospital inpatient or outpatient routes. This was </w:t>
      </w:r>
      <w:r w:rsidR="009F528E" w:rsidRPr="00FE7622">
        <w:rPr>
          <w:color w:val="auto"/>
        </w:rPr>
        <w:t>because of</w:t>
      </w:r>
      <w:r w:rsidR="00F026E8" w:rsidRPr="00FE7622">
        <w:rPr>
          <w:color w:val="auto"/>
        </w:rPr>
        <w:t xml:space="preserve"> the much </w:t>
      </w:r>
      <w:r w:rsidRPr="00FE7622">
        <w:rPr>
          <w:color w:val="auto"/>
        </w:rPr>
        <w:t>larger number</w:t>
      </w:r>
      <w:r w:rsidR="00F026E8" w:rsidRPr="00FE7622">
        <w:rPr>
          <w:color w:val="auto"/>
        </w:rPr>
        <w:t xml:space="preserve"> of potential participants </w:t>
      </w:r>
      <w:r w:rsidR="009F528E" w:rsidRPr="00FE7622">
        <w:rPr>
          <w:color w:val="auto"/>
        </w:rPr>
        <w:t>who</w:t>
      </w:r>
      <w:r w:rsidR="00F026E8" w:rsidRPr="00FE7622">
        <w:rPr>
          <w:color w:val="auto"/>
        </w:rPr>
        <w:t xml:space="preserve"> could be reached, rather than </w:t>
      </w:r>
      <w:r w:rsidRPr="00FE7622">
        <w:rPr>
          <w:color w:val="auto"/>
        </w:rPr>
        <w:t xml:space="preserve">because of </w:t>
      </w:r>
      <w:r w:rsidR="00F026E8" w:rsidRPr="00FE7622">
        <w:rPr>
          <w:color w:val="auto"/>
        </w:rPr>
        <w:t>a large difference in the proportion of those screened who were eligible to participate. Conducting prescreening telephone calls using a central team rather than the local site teams performing telephone prescreening did not lead to a higher rate of conversion to in-person screening visits.</w:t>
      </w:r>
    </w:p>
    <w:p w14:paraId="447C0487" w14:textId="0B02661B" w:rsidR="00F026E8" w:rsidRPr="00FE7622" w:rsidRDefault="00F026E8" w:rsidP="00CC5417">
      <w:pPr>
        <w:pStyle w:val="602TextfoTextstylesTextstyles"/>
        <w:rPr>
          <w:color w:val="auto"/>
        </w:rPr>
      </w:pPr>
      <w:r w:rsidRPr="00FE7622">
        <w:rPr>
          <w:color w:val="auto"/>
        </w:rPr>
        <w:t xml:space="preserve">We found that the </w:t>
      </w:r>
      <w:r w:rsidRPr="00842651">
        <w:rPr>
          <w:color w:val="auto"/>
        </w:rPr>
        <w:t>SARC-F</w:t>
      </w:r>
      <w:r w:rsidRPr="00FE7622">
        <w:rPr>
          <w:color w:val="auto"/>
        </w:rPr>
        <w:t xml:space="preserve"> tool had limited utility in differentiating those at pre</w:t>
      </w:r>
      <w:r w:rsidR="000C18A9" w:rsidRPr="00FE7622">
        <w:rPr>
          <w:color w:val="auto"/>
        </w:rPr>
        <w:t>s</w:t>
      </w:r>
      <w:r w:rsidRPr="00FE7622">
        <w:rPr>
          <w:color w:val="auto"/>
        </w:rPr>
        <w:t xml:space="preserve">creening who would progress to randomisation. We also found that screening for low muscle mass using </w:t>
      </w:r>
      <w:r w:rsidRPr="00842651">
        <w:rPr>
          <w:color w:val="auto"/>
        </w:rPr>
        <w:t>BIA</w:t>
      </w:r>
      <w:r w:rsidRPr="00FE7622">
        <w:rPr>
          <w:color w:val="auto"/>
        </w:rPr>
        <w:t xml:space="preserve"> and the Sergi equation underestimated muscle mass in those with low muscle mass. This is likely to lead to</w:t>
      </w:r>
      <w:r w:rsidR="008A244E" w:rsidRPr="00FE7622">
        <w:rPr>
          <w:color w:val="auto"/>
        </w:rPr>
        <w:t xml:space="preserve"> the</w:t>
      </w:r>
      <w:r w:rsidRPr="00FE7622">
        <w:rPr>
          <w:color w:val="auto"/>
        </w:rPr>
        <w:t xml:space="preserve"> inclusion of participants who do not fulfil the muscle mass criteria for sarcopenia </w:t>
      </w:r>
      <w:r w:rsidR="00F72F33" w:rsidRPr="00FE7622">
        <w:rPr>
          <w:color w:val="auto"/>
        </w:rPr>
        <w:t>using</w:t>
      </w:r>
      <w:r w:rsidRPr="00FE7622">
        <w:rPr>
          <w:color w:val="auto"/>
        </w:rPr>
        <w:t xml:space="preserve"> the more accurate measure of appendicular muscle mass measured by </w:t>
      </w:r>
      <w:r w:rsidRPr="00842651">
        <w:rPr>
          <w:color w:val="auto"/>
        </w:rPr>
        <w:t>DXA</w:t>
      </w:r>
      <w:r w:rsidRPr="00FE7622">
        <w:rPr>
          <w:color w:val="auto"/>
        </w:rPr>
        <w:t xml:space="preserve"> scanning. We derived an alternative equation that more accurately predicted </w:t>
      </w:r>
      <w:r w:rsidRPr="00842651">
        <w:rPr>
          <w:color w:val="auto"/>
        </w:rPr>
        <w:t>DXA</w:t>
      </w:r>
      <w:r w:rsidRPr="00FE7622">
        <w:rPr>
          <w:color w:val="auto"/>
        </w:rPr>
        <w:t xml:space="preserve"> muscle mass from </w:t>
      </w:r>
      <w:r w:rsidRPr="00842651">
        <w:rPr>
          <w:color w:val="auto"/>
        </w:rPr>
        <w:t>BIA</w:t>
      </w:r>
      <w:r w:rsidRPr="00FE7622">
        <w:rPr>
          <w:color w:val="auto"/>
        </w:rPr>
        <w:t xml:space="preserve"> readings in this population; this equation requires validation in other populations of older people in the UK at risk of sarcopenia before it can be used as part of a recruitment pathway.</w:t>
      </w:r>
    </w:p>
    <w:p w14:paraId="3FA05AB1" w14:textId="4695CBB8" w:rsidR="00E038BF" w:rsidRPr="00FE7622" w:rsidRDefault="00E038BF" w:rsidP="00CC5417">
      <w:pPr>
        <w:pStyle w:val="43ChaptertitleHeadingsHeadingstyles"/>
      </w:pPr>
      <w:bookmarkStart w:id="81" w:name="_Toc79684524"/>
      <w:r w:rsidRPr="00FE7622">
        <w:t>Chapter 5</w:t>
      </w:r>
      <w:r w:rsidRPr="00FE7622">
        <w:t> </w:t>
      </w:r>
      <w:r w:rsidRPr="00FE7622">
        <w:t>Main trial results: perindopril versus placebo</w:t>
      </w:r>
      <w:bookmarkEnd w:id="81"/>
    </w:p>
    <w:p w14:paraId="2D956DC3" w14:textId="18FCE2C9" w:rsidR="00F026E8" w:rsidRPr="00FE7622" w:rsidRDefault="00F026E8" w:rsidP="00CC5417">
      <w:pPr>
        <w:pStyle w:val="601TextdropcapTextstylesTextstyles"/>
        <w:rPr>
          <w:color w:val="auto"/>
        </w:rPr>
      </w:pPr>
      <w:r w:rsidRPr="00FE7622">
        <w:rPr>
          <w:color w:val="auto"/>
        </w:rPr>
        <w:t xml:space="preserve">As described in the protocol paper and the </w:t>
      </w:r>
      <w:r w:rsidR="00F242C7" w:rsidRPr="00FE7622">
        <w:rPr>
          <w:color w:val="auto"/>
        </w:rPr>
        <w:t>statistical analysis plan</w:t>
      </w:r>
      <w:r w:rsidRPr="00FE7622">
        <w:rPr>
          <w:color w:val="auto"/>
        </w:rPr>
        <w:t xml:space="preserve">, an initial test for interaction between the two interventions on the primary outcome was performed. No evidence </w:t>
      </w:r>
      <w:r w:rsidR="00F242C7" w:rsidRPr="00FE7622">
        <w:rPr>
          <w:color w:val="auto"/>
        </w:rPr>
        <w:t>of</w:t>
      </w:r>
      <w:r w:rsidRPr="00FE7622">
        <w:rPr>
          <w:color w:val="auto"/>
        </w:rPr>
        <w:t xml:space="preserve"> an interaction effect was seen, and so </w:t>
      </w:r>
      <w:r w:rsidR="00AA0C18" w:rsidRPr="00FE7622">
        <w:rPr>
          <w:color w:val="auto"/>
        </w:rPr>
        <w:t xml:space="preserve">an </w:t>
      </w:r>
      <w:r w:rsidRPr="00FE7622">
        <w:rPr>
          <w:color w:val="auto"/>
        </w:rPr>
        <w:t>analysis of each trial (perindopril vs</w:t>
      </w:r>
      <w:r w:rsidR="00F242C7" w:rsidRPr="00FE7622">
        <w:rPr>
          <w:color w:val="auto"/>
        </w:rPr>
        <w:t>.</w:t>
      </w:r>
      <w:r w:rsidRPr="00FE7622">
        <w:rPr>
          <w:color w:val="auto"/>
        </w:rPr>
        <w:t xml:space="preserve"> placebo, and leucine vs</w:t>
      </w:r>
      <w:r w:rsidR="00F242C7" w:rsidRPr="00FE7622">
        <w:rPr>
          <w:color w:val="auto"/>
        </w:rPr>
        <w:t>.</w:t>
      </w:r>
      <w:r w:rsidRPr="00FE7622">
        <w:rPr>
          <w:color w:val="auto"/>
        </w:rPr>
        <w:t xml:space="preserve"> placebo) was conducted separately using all available data from randomised participants.</w:t>
      </w:r>
      <w:bookmarkStart w:id="82" w:name="_Hlk64637530"/>
      <w:r w:rsidRPr="00FE7622">
        <w:rPr>
          <w:color w:val="auto"/>
        </w:rPr>
        <w:t xml:space="preserve"> </w:t>
      </w:r>
      <w:r w:rsidR="00E038BF" w:rsidRPr="00FE7622">
        <w:rPr>
          <w:i/>
          <w:color w:val="FF0000"/>
        </w:rPr>
        <w:t>Figure 7</w:t>
      </w:r>
      <w:r w:rsidRPr="00FE7622">
        <w:rPr>
          <w:color w:val="auto"/>
        </w:rPr>
        <w:t xml:space="preserve"> shows the </w:t>
      </w:r>
      <w:r w:rsidRPr="00842651">
        <w:rPr>
          <w:color w:val="auto"/>
        </w:rPr>
        <w:t>CONSORT</w:t>
      </w:r>
      <w:r w:rsidRPr="00FE7622">
        <w:rPr>
          <w:color w:val="auto"/>
        </w:rPr>
        <w:t xml:space="preserve"> </w:t>
      </w:r>
      <w:r w:rsidR="00654138" w:rsidRPr="00FE7622">
        <w:rPr>
          <w:color w:val="auto"/>
        </w:rPr>
        <w:t xml:space="preserve">(Consolidated Standards of Reporting Trials) </w:t>
      </w:r>
      <w:r w:rsidRPr="00FE7622">
        <w:rPr>
          <w:color w:val="auto"/>
        </w:rPr>
        <w:t xml:space="preserve">flow diagram for the </w:t>
      </w:r>
      <w:r w:rsidR="00046FEA" w:rsidRPr="00FE7622">
        <w:rPr>
          <w:color w:val="auto"/>
        </w:rPr>
        <w:t xml:space="preserve">analysis of </w:t>
      </w:r>
      <w:r w:rsidRPr="00FE7622">
        <w:rPr>
          <w:color w:val="auto"/>
        </w:rPr>
        <w:t xml:space="preserve">perindopril </w:t>
      </w:r>
      <w:r w:rsidR="00046FEA" w:rsidRPr="00FE7622">
        <w:rPr>
          <w:color w:val="auto"/>
        </w:rPr>
        <w:t>compared with</w:t>
      </w:r>
      <w:r w:rsidRPr="00FE7622">
        <w:rPr>
          <w:color w:val="auto"/>
        </w:rPr>
        <w:t xml:space="preserve"> placebo. Dropout was higher in the perindopril arm than in the placebo arm, particularly in the first </w:t>
      </w:r>
      <w:r w:rsidR="009F7F21" w:rsidRPr="00FE7622">
        <w:rPr>
          <w:color w:val="auto"/>
        </w:rPr>
        <w:t>6</w:t>
      </w:r>
      <w:r w:rsidRPr="00FE7622">
        <w:rPr>
          <w:color w:val="auto"/>
        </w:rPr>
        <w:t xml:space="preserve"> months of the trial. Both </w:t>
      </w:r>
      <w:r w:rsidR="00046FEA" w:rsidRPr="00FE7622">
        <w:rPr>
          <w:color w:val="auto"/>
        </w:rPr>
        <w:t>arms</w:t>
      </w:r>
      <w:r w:rsidRPr="00FE7622">
        <w:rPr>
          <w:color w:val="auto"/>
        </w:rPr>
        <w:t xml:space="preserve"> were well matched at baseline; details are given in </w:t>
      </w:r>
      <w:r w:rsidR="00E038BF" w:rsidRPr="00FE7622">
        <w:rPr>
          <w:i/>
          <w:color w:val="FF0000"/>
        </w:rPr>
        <w:t>Table 5</w:t>
      </w:r>
      <w:r w:rsidRPr="00FE7622">
        <w:rPr>
          <w:color w:val="auto"/>
        </w:rPr>
        <w:t>.</w:t>
      </w:r>
      <w:bookmarkEnd w:id="82"/>
    </w:p>
    <w:p w14:paraId="58A08EE8" w14:textId="471E94D5" w:rsidR="00F026E8" w:rsidRPr="00FE7622" w:rsidRDefault="00E038BF" w:rsidP="00F026E8">
      <w:pPr>
        <w:pStyle w:val="81FigurelegendTableFigureBoxstyles"/>
        <w:rPr>
          <w:lang w:val="en-GB"/>
        </w:rPr>
      </w:pPr>
      <w:r w:rsidRPr="00FE7622">
        <w:rPr>
          <w:b/>
        </w:rPr>
        <w:t>FIGURE 7</w:t>
      </w:r>
      <w:r w:rsidRPr="00FE7622">
        <w:rPr>
          <w:b/>
        </w:rPr>
        <w:t> </w:t>
      </w:r>
      <w:r w:rsidR="005E4602" w:rsidRPr="00FE7622">
        <w:rPr>
          <w:bCs/>
        </w:rPr>
        <w:t>The</w:t>
      </w:r>
      <w:r w:rsidRPr="00FE7622">
        <w:rPr>
          <w:b/>
        </w:rPr>
        <w:t xml:space="preserve"> </w:t>
      </w:r>
      <w:r w:rsidR="00F026E8" w:rsidRPr="00842651">
        <w:t>CONSORT</w:t>
      </w:r>
      <w:r w:rsidR="00F026E8" w:rsidRPr="00FE7622">
        <w:t xml:space="preserve"> diagram for </w:t>
      </w:r>
      <w:r w:rsidR="00A353D3" w:rsidRPr="00FE7622">
        <w:t>p</w:t>
      </w:r>
      <w:r w:rsidR="00F026E8" w:rsidRPr="00FE7622">
        <w:t>erindopril vs</w:t>
      </w:r>
      <w:r w:rsidR="00A353D3" w:rsidRPr="00FE7622">
        <w:t>.</w:t>
      </w:r>
      <w:r w:rsidR="00F026E8" w:rsidRPr="00FE7622">
        <w:t xml:space="preserve"> placebo analysis. </w:t>
      </w:r>
      <w:r w:rsidR="00F026E8" w:rsidRPr="00FE7622">
        <w:rPr>
          <w:lang w:val="en-GB"/>
        </w:rPr>
        <w:t>HCP</w:t>
      </w:r>
      <w:r w:rsidR="00A353D3" w:rsidRPr="00FE7622">
        <w:rPr>
          <w:lang w:val="en-GB"/>
        </w:rPr>
        <w:t>,</w:t>
      </w:r>
      <w:r w:rsidR="00F026E8" w:rsidRPr="00FE7622">
        <w:rPr>
          <w:lang w:val="en-GB"/>
        </w:rPr>
        <w:t xml:space="preserve"> </w:t>
      </w:r>
      <w:r w:rsidR="00A353D3" w:rsidRPr="00FE7622">
        <w:rPr>
          <w:lang w:val="en-GB"/>
        </w:rPr>
        <w:t>health-care professional;</w:t>
      </w:r>
      <w:r w:rsidR="00F026E8" w:rsidRPr="00FE7622">
        <w:rPr>
          <w:lang w:val="en-GB"/>
        </w:rPr>
        <w:t xml:space="preserve"> OH</w:t>
      </w:r>
      <w:r w:rsidR="00A353D3" w:rsidRPr="00FE7622">
        <w:rPr>
          <w:lang w:val="en-GB"/>
        </w:rPr>
        <w:t>,</w:t>
      </w:r>
      <w:r w:rsidR="00F026E8" w:rsidRPr="00FE7622">
        <w:rPr>
          <w:lang w:val="en-GB"/>
        </w:rPr>
        <w:t xml:space="preserve"> </w:t>
      </w:r>
      <w:r w:rsidR="00A353D3" w:rsidRPr="00FE7622">
        <w:rPr>
          <w:lang w:val="en-GB"/>
        </w:rPr>
        <w:t>o</w:t>
      </w:r>
      <w:r w:rsidR="00F026E8" w:rsidRPr="00FE7622">
        <w:rPr>
          <w:lang w:val="en-GB"/>
        </w:rPr>
        <w:t xml:space="preserve">rthostatic hypotension. </w:t>
      </w:r>
      <w:r w:rsidR="00C30EDD" w:rsidRPr="00FE7622">
        <w:rPr>
          <w:lang w:val="en-GB"/>
        </w:rPr>
        <w:t xml:space="preserve">a, </w:t>
      </w:r>
      <w:r w:rsidR="00F026E8" w:rsidRPr="00FE7622">
        <w:rPr>
          <w:lang w:val="en-GB"/>
        </w:rPr>
        <w:t xml:space="preserve">More than one reason for </w:t>
      </w:r>
      <w:r w:rsidR="00877E49" w:rsidRPr="00FE7622">
        <w:rPr>
          <w:lang w:val="en-GB"/>
        </w:rPr>
        <w:t xml:space="preserve">failing the </w:t>
      </w:r>
      <w:r w:rsidR="00F026E8" w:rsidRPr="00FE7622">
        <w:rPr>
          <w:lang w:val="en-GB"/>
        </w:rPr>
        <w:t>screen</w:t>
      </w:r>
      <w:r w:rsidR="00877E49" w:rsidRPr="00FE7622">
        <w:rPr>
          <w:lang w:val="en-GB"/>
        </w:rPr>
        <w:t>ing</w:t>
      </w:r>
      <w:r w:rsidR="00F026E8" w:rsidRPr="00FE7622">
        <w:rPr>
          <w:lang w:val="en-GB"/>
        </w:rPr>
        <w:t xml:space="preserve"> </w:t>
      </w:r>
      <w:r w:rsidR="00BA3A0B" w:rsidRPr="00FE7622">
        <w:rPr>
          <w:lang w:val="en-GB"/>
        </w:rPr>
        <w:t xml:space="preserve">was </w:t>
      </w:r>
      <w:r w:rsidR="00F026E8" w:rsidRPr="00FE7622">
        <w:rPr>
          <w:lang w:val="en-GB"/>
        </w:rPr>
        <w:t>recorded for some participants</w:t>
      </w:r>
      <w:r w:rsidR="009F7F21" w:rsidRPr="00FE7622">
        <w:rPr>
          <w:lang w:val="en-GB"/>
        </w:rPr>
        <w:t>.</w:t>
      </w:r>
    </w:p>
    <w:p w14:paraId="2297358C" w14:textId="7389F5C9" w:rsidR="00F026E8" w:rsidRPr="00FE7622" w:rsidRDefault="00E038BF" w:rsidP="00F026E8">
      <w:pPr>
        <w:pStyle w:val="70TablelegendTablesTableFigureBoxstyles"/>
        <w:rPr>
          <w:lang w:val="en-GB"/>
        </w:rPr>
      </w:pPr>
      <w:r w:rsidRPr="00FE7622">
        <w:rPr>
          <w:b/>
        </w:rPr>
        <w:t>TABLE 5</w:t>
      </w:r>
      <w:r w:rsidRPr="00FE7622">
        <w:rPr>
          <w:b/>
        </w:rPr>
        <w:t> </w:t>
      </w:r>
      <w:r w:rsidRPr="00E038BF">
        <w:rPr>
          <w:b/>
          <w:color w:val="FF00FF"/>
          <w:sz w:val="24"/>
        </w:rPr>
        <w:t>[14]</w:t>
      </w:r>
      <w:commentRangeStart w:id="83"/>
      <w:r w:rsidR="00F026E8" w:rsidRPr="00FE7622">
        <w:rPr>
          <w:lang w:val="en-GB"/>
        </w:rPr>
        <w:t>Baseline details for perindopril vs</w:t>
      </w:r>
      <w:r w:rsidR="0010700A" w:rsidRPr="00FE7622">
        <w:rPr>
          <w:lang w:val="en-GB"/>
        </w:rPr>
        <w:t>.</w:t>
      </w:r>
      <w:r w:rsidR="00F026E8" w:rsidRPr="00FE7622">
        <w:rPr>
          <w:lang w:val="en-GB"/>
        </w:rPr>
        <w:t xml:space="preserve"> placebo analysis</w:t>
      </w:r>
      <w:commentRangeEnd w:id="83"/>
      <w:r w:rsidR="00C829F7" w:rsidRPr="00FE7622">
        <w:rPr>
          <w:rStyle w:val="CommentReference"/>
          <w:rFonts w:ascii="Times New Roman" w:hAnsi="Times New Roman" w:cs="Times New Roman"/>
          <w:color w:val="auto"/>
        </w:rPr>
        <w:commentReference w:id="83"/>
      </w:r>
    </w:p>
    <w:tbl>
      <w:tblPr>
        <w:tblW w:w="0" w:type="auto"/>
        <w:tblCellMar>
          <w:top w:w="40" w:type="dxa"/>
          <w:left w:w="60" w:type="dxa"/>
          <w:bottom w:w="40" w:type="dxa"/>
          <w:right w:w="60" w:type="dxa"/>
        </w:tblCellMar>
        <w:tblLook w:val="04A0" w:firstRow="1" w:lastRow="0" w:firstColumn="1" w:lastColumn="0" w:noHBand="0" w:noVBand="1"/>
      </w:tblPr>
      <w:tblGrid>
        <w:gridCol w:w="5254"/>
        <w:gridCol w:w="2062"/>
        <w:gridCol w:w="1710"/>
      </w:tblGrid>
      <w:tr w:rsidR="00EF0C39" w:rsidRPr="00FE7622" w14:paraId="51959235" w14:textId="77777777" w:rsidTr="00AF19CC">
        <w:trPr>
          <w:cantSplit/>
        </w:trPr>
        <w:tc>
          <w:tcPr>
            <w:tcW w:w="0" w:type="auto"/>
            <w:shd w:val="clear" w:color="auto" w:fill="auto"/>
          </w:tcPr>
          <w:p w14:paraId="1DEDF87B" w14:textId="0EA7028E" w:rsidR="00F026E8" w:rsidRPr="00FE7622" w:rsidRDefault="00E038BF" w:rsidP="00AF19CC">
            <w:pPr>
              <w:pStyle w:val="705TableheadgroupTablesTableFigureBoxstyles"/>
              <w:rPr>
                <w:rFonts w:eastAsia="Calibri"/>
              </w:rPr>
            </w:pPr>
            <w:r w:rsidRPr="00FE7622">
              <w:rPr>
                <w:rFonts w:eastAsia="Calibri"/>
              </w:rPr>
              <w:t>Detail</w:t>
            </w:r>
          </w:p>
        </w:tc>
        <w:tc>
          <w:tcPr>
            <w:tcW w:w="0" w:type="auto"/>
            <w:shd w:val="clear" w:color="auto" w:fill="auto"/>
          </w:tcPr>
          <w:p w14:paraId="4C106C0F" w14:textId="3819AFAB" w:rsidR="00F026E8" w:rsidRPr="00FE7622" w:rsidRDefault="00E038BF" w:rsidP="00AF19CC">
            <w:pPr>
              <w:pStyle w:val="710TableheadTablesTableFigureBoxstyles"/>
              <w:rPr>
                <w:rFonts w:eastAsia="Calibri"/>
              </w:rPr>
            </w:pPr>
            <w:r w:rsidRPr="00FE7622">
              <w:rPr>
                <w:rFonts w:eastAsia="Calibri"/>
              </w:rPr>
              <w:t>Perindopril (</w:t>
            </w:r>
            <w:r w:rsidRPr="00FE7622">
              <w:rPr>
                <w:rFonts w:eastAsia="Calibri"/>
                <w:i/>
              </w:rPr>
              <w:t>N</w:t>
            </w:r>
            <w:r w:rsidRPr="00FE7622">
              <w:rPr>
                <w:rFonts w:eastAsia="Calibri"/>
              </w:rPr>
              <w:t> = 73)</w:t>
            </w:r>
          </w:p>
        </w:tc>
        <w:tc>
          <w:tcPr>
            <w:tcW w:w="0" w:type="auto"/>
            <w:shd w:val="clear" w:color="auto" w:fill="auto"/>
          </w:tcPr>
          <w:p w14:paraId="1946F0EE" w14:textId="4C7501CC" w:rsidR="00F026E8" w:rsidRPr="00FE7622" w:rsidRDefault="00E038BF" w:rsidP="00AF19CC">
            <w:pPr>
              <w:pStyle w:val="710TableheadTablesTableFigureBoxstyles"/>
              <w:rPr>
                <w:rFonts w:eastAsia="Calibri"/>
              </w:rPr>
            </w:pPr>
            <w:r w:rsidRPr="00FE7622">
              <w:rPr>
                <w:rFonts w:eastAsia="Calibri"/>
              </w:rPr>
              <w:t>Placebo (</w:t>
            </w:r>
            <w:r w:rsidRPr="00FE7622">
              <w:rPr>
                <w:rFonts w:eastAsia="Calibri"/>
                <w:i/>
              </w:rPr>
              <w:t>N</w:t>
            </w:r>
            <w:r w:rsidRPr="00FE7622">
              <w:rPr>
                <w:rFonts w:eastAsia="Calibri"/>
              </w:rPr>
              <w:t> = 72)</w:t>
            </w:r>
          </w:p>
        </w:tc>
      </w:tr>
      <w:tr w:rsidR="00EF0C39" w:rsidRPr="00FE7622" w14:paraId="175E737D" w14:textId="77777777" w:rsidTr="00AF19CC">
        <w:trPr>
          <w:cantSplit/>
        </w:trPr>
        <w:tc>
          <w:tcPr>
            <w:tcW w:w="0" w:type="auto"/>
            <w:shd w:val="clear" w:color="auto" w:fill="auto"/>
          </w:tcPr>
          <w:p w14:paraId="7216DA7C" w14:textId="77777777" w:rsidR="00F026E8" w:rsidRPr="00FE7622" w:rsidRDefault="00F026E8" w:rsidP="00AF19CC">
            <w:pPr>
              <w:pStyle w:val="72TabletextTablesTableFigureBoxstyles"/>
              <w:rPr>
                <w:rFonts w:eastAsia="Calibri"/>
              </w:rPr>
            </w:pPr>
            <w:r w:rsidRPr="00FE7622">
              <w:rPr>
                <w:rFonts w:eastAsia="Calibri"/>
                <w:color w:val="auto"/>
              </w:rPr>
              <w:t>Mean age (years) (</w:t>
            </w:r>
            <w:r w:rsidRPr="00842651">
              <w:rPr>
                <w:rFonts w:eastAsia="Calibri"/>
                <w:color w:val="auto"/>
              </w:rPr>
              <w:t>SD</w:t>
            </w:r>
            <w:r w:rsidRPr="00FE7622">
              <w:rPr>
                <w:rFonts w:eastAsia="Calibri"/>
                <w:color w:val="auto"/>
              </w:rPr>
              <w:t>)</w:t>
            </w:r>
          </w:p>
        </w:tc>
        <w:tc>
          <w:tcPr>
            <w:tcW w:w="0" w:type="auto"/>
            <w:shd w:val="clear" w:color="auto" w:fill="auto"/>
          </w:tcPr>
          <w:p w14:paraId="71C8C214" w14:textId="77777777" w:rsidR="00F026E8" w:rsidRPr="00FE7622" w:rsidRDefault="00F026E8" w:rsidP="00AF19CC">
            <w:pPr>
              <w:pStyle w:val="72TabletextTablesTableFigureBoxstyles"/>
              <w:rPr>
                <w:rFonts w:eastAsia="Calibri"/>
              </w:rPr>
            </w:pPr>
            <w:r w:rsidRPr="00FE7622">
              <w:rPr>
                <w:rFonts w:eastAsia="Calibri"/>
                <w:color w:val="auto"/>
              </w:rPr>
              <w:t>78.7 (6.0)</w:t>
            </w:r>
          </w:p>
        </w:tc>
        <w:tc>
          <w:tcPr>
            <w:tcW w:w="0" w:type="auto"/>
            <w:shd w:val="clear" w:color="auto" w:fill="auto"/>
          </w:tcPr>
          <w:p w14:paraId="3DCA5CFF" w14:textId="77777777" w:rsidR="00F026E8" w:rsidRPr="00FE7622" w:rsidRDefault="00F026E8" w:rsidP="00AF19CC">
            <w:pPr>
              <w:pStyle w:val="72TabletextTablesTableFigureBoxstyles"/>
              <w:rPr>
                <w:rFonts w:eastAsia="Calibri"/>
                <w:color w:val="auto"/>
              </w:rPr>
            </w:pPr>
            <w:r w:rsidRPr="00FE7622">
              <w:rPr>
                <w:rFonts w:eastAsia="Calibri"/>
                <w:color w:val="auto"/>
              </w:rPr>
              <w:t>78.8 (6.1)</w:t>
            </w:r>
          </w:p>
        </w:tc>
      </w:tr>
      <w:tr w:rsidR="00EF0C39" w:rsidRPr="00FE7622" w14:paraId="59681005" w14:textId="77777777" w:rsidTr="00AF19CC">
        <w:trPr>
          <w:cantSplit/>
        </w:trPr>
        <w:tc>
          <w:tcPr>
            <w:tcW w:w="0" w:type="auto"/>
            <w:shd w:val="clear" w:color="auto" w:fill="auto"/>
          </w:tcPr>
          <w:p w14:paraId="1D813584" w14:textId="76B94FE8" w:rsidR="00F026E8" w:rsidRPr="00FE7622" w:rsidRDefault="00F026E8" w:rsidP="00AF19CC">
            <w:pPr>
              <w:pStyle w:val="72TabletextTablesTableFigureBoxstyles"/>
              <w:rPr>
                <w:rFonts w:eastAsia="Calibri"/>
              </w:rPr>
            </w:pPr>
            <w:r w:rsidRPr="00FE7622">
              <w:rPr>
                <w:rFonts w:eastAsia="Calibri"/>
                <w:color w:val="auto"/>
              </w:rPr>
              <w:t>Female sex</w:t>
            </w:r>
            <w:r w:rsidR="0010700A"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p>
        </w:tc>
        <w:tc>
          <w:tcPr>
            <w:tcW w:w="0" w:type="auto"/>
            <w:shd w:val="clear" w:color="auto" w:fill="auto"/>
          </w:tcPr>
          <w:p w14:paraId="00EEB7CA" w14:textId="77777777" w:rsidR="00F026E8" w:rsidRPr="00FE7622" w:rsidRDefault="00F026E8" w:rsidP="00AF19CC">
            <w:pPr>
              <w:pStyle w:val="72TabletextTablesTableFigureBoxstyles"/>
              <w:rPr>
                <w:rFonts w:eastAsia="Calibri"/>
              </w:rPr>
            </w:pPr>
            <w:r w:rsidRPr="00FE7622">
              <w:rPr>
                <w:rFonts w:eastAsia="Calibri"/>
                <w:color w:val="auto"/>
              </w:rPr>
              <w:t>39 (53)</w:t>
            </w:r>
          </w:p>
        </w:tc>
        <w:tc>
          <w:tcPr>
            <w:tcW w:w="0" w:type="auto"/>
            <w:shd w:val="clear" w:color="auto" w:fill="auto"/>
          </w:tcPr>
          <w:p w14:paraId="610D61A6" w14:textId="77777777" w:rsidR="00F026E8" w:rsidRPr="00FE7622" w:rsidRDefault="00F026E8" w:rsidP="00AF19CC">
            <w:pPr>
              <w:pStyle w:val="72TabletextTablesTableFigureBoxstyles"/>
              <w:rPr>
                <w:rFonts w:eastAsia="Calibri"/>
                <w:color w:val="auto"/>
              </w:rPr>
            </w:pPr>
            <w:r w:rsidRPr="00FE7622">
              <w:rPr>
                <w:rFonts w:eastAsia="Calibri"/>
                <w:color w:val="auto"/>
              </w:rPr>
              <w:t>39 (54)</w:t>
            </w:r>
          </w:p>
        </w:tc>
      </w:tr>
      <w:tr w:rsidR="00EF0C39" w:rsidRPr="00FE7622" w14:paraId="72F83482" w14:textId="77777777" w:rsidTr="00AF19CC">
        <w:trPr>
          <w:cantSplit/>
        </w:trPr>
        <w:tc>
          <w:tcPr>
            <w:tcW w:w="0" w:type="auto"/>
            <w:shd w:val="clear" w:color="auto" w:fill="auto"/>
          </w:tcPr>
          <w:p w14:paraId="083B78A5" w14:textId="516F245A" w:rsidR="00F026E8" w:rsidRPr="00FE7622" w:rsidRDefault="00F026E8" w:rsidP="00AF19CC">
            <w:pPr>
              <w:pStyle w:val="72TabletextTablesTableFigureBoxstyles"/>
              <w:rPr>
                <w:rFonts w:eastAsia="Calibri"/>
              </w:rPr>
            </w:pPr>
            <w:r w:rsidRPr="00FE7622">
              <w:rPr>
                <w:rFonts w:eastAsia="Calibri"/>
                <w:color w:val="auto"/>
              </w:rPr>
              <w:t xml:space="preserve">Mean Charlson </w:t>
            </w:r>
            <w:r w:rsidR="0010700A" w:rsidRPr="00FE7622">
              <w:rPr>
                <w:rFonts w:eastAsia="Calibri"/>
                <w:color w:val="auto"/>
              </w:rPr>
              <w:t>C</w:t>
            </w:r>
            <w:r w:rsidRPr="00FE7622">
              <w:rPr>
                <w:rFonts w:eastAsia="Calibri"/>
                <w:color w:val="auto"/>
              </w:rPr>
              <w:t xml:space="preserve">omorbidity </w:t>
            </w:r>
            <w:r w:rsidR="0010700A" w:rsidRPr="00FE7622">
              <w:rPr>
                <w:rFonts w:eastAsia="Calibri"/>
                <w:color w:val="auto"/>
              </w:rPr>
              <w:t xml:space="preserve">Index </w:t>
            </w:r>
            <w:r w:rsidRPr="00FE7622">
              <w:rPr>
                <w:rFonts w:eastAsia="Calibri"/>
                <w:color w:val="auto"/>
              </w:rPr>
              <w:t>score (</w:t>
            </w:r>
            <w:r w:rsidRPr="00842651">
              <w:rPr>
                <w:rFonts w:eastAsia="Calibri"/>
                <w:color w:val="auto"/>
              </w:rPr>
              <w:t>SD</w:t>
            </w:r>
            <w:r w:rsidRPr="00FE7622">
              <w:rPr>
                <w:rFonts w:eastAsia="Calibri"/>
                <w:color w:val="auto"/>
              </w:rPr>
              <w:t>)</w:t>
            </w:r>
          </w:p>
        </w:tc>
        <w:tc>
          <w:tcPr>
            <w:tcW w:w="0" w:type="auto"/>
            <w:shd w:val="clear" w:color="auto" w:fill="auto"/>
          </w:tcPr>
          <w:p w14:paraId="6C9009D6" w14:textId="77777777" w:rsidR="00F026E8" w:rsidRPr="00FE7622" w:rsidRDefault="00F026E8" w:rsidP="00AF19CC">
            <w:pPr>
              <w:pStyle w:val="72TabletextTablesTableFigureBoxstyles"/>
              <w:rPr>
                <w:rFonts w:eastAsia="Calibri"/>
              </w:rPr>
            </w:pPr>
            <w:r w:rsidRPr="00FE7622">
              <w:rPr>
                <w:rFonts w:eastAsia="Calibri"/>
                <w:color w:val="auto"/>
              </w:rPr>
              <w:t>0.7 (1.1)</w:t>
            </w:r>
          </w:p>
        </w:tc>
        <w:tc>
          <w:tcPr>
            <w:tcW w:w="0" w:type="auto"/>
            <w:shd w:val="clear" w:color="auto" w:fill="auto"/>
          </w:tcPr>
          <w:p w14:paraId="6CD643E9" w14:textId="77777777" w:rsidR="00F026E8" w:rsidRPr="00FE7622" w:rsidRDefault="00F026E8" w:rsidP="00AF19CC">
            <w:pPr>
              <w:pStyle w:val="72TabletextTablesTableFigureBoxstyles"/>
              <w:rPr>
                <w:rFonts w:eastAsia="Calibri"/>
                <w:color w:val="auto"/>
              </w:rPr>
            </w:pPr>
            <w:r w:rsidRPr="00FE7622">
              <w:rPr>
                <w:rFonts w:eastAsia="Calibri"/>
                <w:color w:val="auto"/>
              </w:rPr>
              <w:t>0.7 (0.9)</w:t>
            </w:r>
          </w:p>
        </w:tc>
      </w:tr>
      <w:tr w:rsidR="00EF0C39" w:rsidRPr="00FE7622" w14:paraId="34DD5A45" w14:textId="77777777" w:rsidTr="00AF19CC">
        <w:trPr>
          <w:cantSplit/>
        </w:trPr>
        <w:tc>
          <w:tcPr>
            <w:tcW w:w="0" w:type="auto"/>
            <w:shd w:val="clear" w:color="auto" w:fill="auto"/>
          </w:tcPr>
          <w:p w14:paraId="37034A9A" w14:textId="77777777"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SARC-F</w:t>
            </w:r>
            <w:r w:rsidRPr="00FE7622">
              <w:rPr>
                <w:rFonts w:eastAsia="Calibri"/>
                <w:color w:val="auto"/>
              </w:rPr>
              <w:t xml:space="preserve"> score (</w:t>
            </w:r>
            <w:r w:rsidRPr="00842651">
              <w:rPr>
                <w:rFonts w:eastAsia="Calibri"/>
                <w:color w:val="auto"/>
              </w:rPr>
              <w:t>SD</w:t>
            </w:r>
            <w:r w:rsidRPr="00FE7622">
              <w:rPr>
                <w:rFonts w:eastAsia="Calibri"/>
                <w:color w:val="auto"/>
              </w:rPr>
              <w:t>)</w:t>
            </w:r>
          </w:p>
        </w:tc>
        <w:tc>
          <w:tcPr>
            <w:tcW w:w="0" w:type="auto"/>
            <w:shd w:val="clear" w:color="auto" w:fill="auto"/>
          </w:tcPr>
          <w:p w14:paraId="1451B4AA" w14:textId="77777777" w:rsidR="00F026E8" w:rsidRPr="00FE7622" w:rsidRDefault="00F026E8" w:rsidP="00AF19CC">
            <w:pPr>
              <w:pStyle w:val="72TabletextTablesTableFigureBoxstyles"/>
              <w:rPr>
                <w:rFonts w:eastAsia="Calibri"/>
              </w:rPr>
            </w:pPr>
            <w:r w:rsidRPr="00FE7622">
              <w:rPr>
                <w:rFonts w:eastAsia="Calibri"/>
                <w:color w:val="auto"/>
              </w:rPr>
              <w:t>4.07 (1.29)</w:t>
            </w:r>
          </w:p>
        </w:tc>
        <w:tc>
          <w:tcPr>
            <w:tcW w:w="0" w:type="auto"/>
            <w:shd w:val="clear" w:color="auto" w:fill="auto"/>
          </w:tcPr>
          <w:p w14:paraId="1D8C9282" w14:textId="77777777" w:rsidR="00F026E8" w:rsidRPr="00FE7622" w:rsidRDefault="00F026E8" w:rsidP="00AF19CC">
            <w:pPr>
              <w:pStyle w:val="72TabletextTablesTableFigureBoxstyles"/>
              <w:rPr>
                <w:rFonts w:eastAsia="Calibri"/>
                <w:color w:val="auto"/>
              </w:rPr>
            </w:pPr>
            <w:r w:rsidRPr="00FE7622">
              <w:rPr>
                <w:rFonts w:eastAsia="Calibri"/>
                <w:color w:val="auto"/>
              </w:rPr>
              <w:t>4.38 (1.54)</w:t>
            </w:r>
          </w:p>
        </w:tc>
      </w:tr>
      <w:tr w:rsidR="00AA0C18" w:rsidRPr="00FE7622" w14:paraId="7A29730D" w14:textId="77777777" w:rsidTr="00AF19CC">
        <w:trPr>
          <w:cantSplit/>
        </w:trPr>
        <w:tc>
          <w:tcPr>
            <w:tcW w:w="0" w:type="auto"/>
            <w:gridSpan w:val="3"/>
            <w:shd w:val="clear" w:color="auto" w:fill="auto"/>
          </w:tcPr>
          <w:p w14:paraId="7E03FDB8" w14:textId="3E3B74C9" w:rsidR="00AA0C18" w:rsidRPr="00FE7622" w:rsidRDefault="00AA0C18" w:rsidP="00AF19CC">
            <w:pPr>
              <w:pStyle w:val="72TabletextTablesTableFigureBoxstyles"/>
              <w:rPr>
                <w:rFonts w:eastAsia="Calibri"/>
                <w:color w:val="auto"/>
              </w:rPr>
            </w:pPr>
            <w:r w:rsidRPr="00FE7622">
              <w:rPr>
                <w:rFonts w:eastAsia="Calibri"/>
                <w:color w:val="auto"/>
              </w:rPr>
              <w:t>Comorbid disease</w:t>
            </w:r>
            <w:r w:rsidR="0010700A" w:rsidRPr="00FE7622">
              <w:rPr>
                <w:rFonts w:eastAsia="Calibri"/>
                <w:color w:val="auto"/>
              </w:rPr>
              <w:t xml:space="preserve">, </w:t>
            </w:r>
            <w:r w:rsidR="00E038BF" w:rsidRPr="00FE7622">
              <w:rPr>
                <w:rFonts w:eastAsia="Calibri"/>
                <w:i/>
                <w:iCs/>
                <w:color w:val="auto"/>
              </w:rPr>
              <w:t>n</w:t>
            </w:r>
            <w:r w:rsidR="0010700A" w:rsidRPr="00FE7622">
              <w:rPr>
                <w:rFonts w:eastAsia="Calibri"/>
                <w:color w:val="auto"/>
              </w:rPr>
              <w:t xml:space="preserve"> (%)</w:t>
            </w:r>
          </w:p>
        </w:tc>
      </w:tr>
      <w:tr w:rsidR="00EF0C39" w:rsidRPr="00FE7622" w14:paraId="0AC92E76" w14:textId="77777777" w:rsidTr="00AF19CC">
        <w:trPr>
          <w:cantSplit/>
        </w:trPr>
        <w:tc>
          <w:tcPr>
            <w:tcW w:w="0" w:type="auto"/>
            <w:shd w:val="clear" w:color="auto" w:fill="auto"/>
          </w:tcPr>
          <w:p w14:paraId="232FB9A1" w14:textId="53A26304"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Hypertension</w:t>
            </w:r>
          </w:p>
        </w:tc>
        <w:tc>
          <w:tcPr>
            <w:tcW w:w="0" w:type="auto"/>
            <w:shd w:val="clear" w:color="auto" w:fill="auto"/>
          </w:tcPr>
          <w:p w14:paraId="78F10B5C" w14:textId="3DC8A837" w:rsidR="00F026E8" w:rsidRPr="00FE7622" w:rsidRDefault="00F026E8" w:rsidP="00AF19CC">
            <w:pPr>
              <w:pStyle w:val="72TabletextTablesTableFigureBoxstyles"/>
              <w:rPr>
                <w:rFonts w:eastAsia="Calibri"/>
              </w:rPr>
            </w:pPr>
            <w:r w:rsidRPr="00FE7622">
              <w:rPr>
                <w:rFonts w:eastAsia="Calibri"/>
                <w:color w:val="auto"/>
              </w:rPr>
              <w:t>23 (32)</w:t>
            </w:r>
          </w:p>
        </w:tc>
        <w:tc>
          <w:tcPr>
            <w:tcW w:w="0" w:type="auto"/>
            <w:shd w:val="clear" w:color="auto" w:fill="auto"/>
          </w:tcPr>
          <w:p w14:paraId="524DB943" w14:textId="77777777" w:rsidR="00F026E8" w:rsidRPr="00FE7622" w:rsidRDefault="00F026E8" w:rsidP="00AF19CC">
            <w:pPr>
              <w:pStyle w:val="72TabletextTablesTableFigureBoxstyles"/>
              <w:rPr>
                <w:rFonts w:eastAsia="Calibri"/>
                <w:color w:val="auto"/>
              </w:rPr>
            </w:pPr>
            <w:r w:rsidRPr="00FE7622">
              <w:rPr>
                <w:rFonts w:eastAsia="Calibri"/>
                <w:color w:val="auto"/>
              </w:rPr>
              <w:t>20 (28)</w:t>
            </w:r>
          </w:p>
        </w:tc>
      </w:tr>
      <w:tr w:rsidR="00EF0C39" w:rsidRPr="00FE7622" w14:paraId="3ED24C0C" w14:textId="77777777" w:rsidTr="00AF19CC">
        <w:trPr>
          <w:cantSplit/>
        </w:trPr>
        <w:tc>
          <w:tcPr>
            <w:tcW w:w="0" w:type="auto"/>
            <w:shd w:val="clear" w:color="auto" w:fill="auto"/>
          </w:tcPr>
          <w:p w14:paraId="630826A7" w14:textId="17BD7469"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Ischaemic heart disease</w:t>
            </w:r>
          </w:p>
        </w:tc>
        <w:tc>
          <w:tcPr>
            <w:tcW w:w="0" w:type="auto"/>
            <w:shd w:val="clear" w:color="auto" w:fill="auto"/>
          </w:tcPr>
          <w:p w14:paraId="4ABFC0F0" w14:textId="77777777" w:rsidR="00F026E8" w:rsidRPr="00FE7622" w:rsidRDefault="00F026E8" w:rsidP="00AF19CC">
            <w:pPr>
              <w:pStyle w:val="72TabletextTablesTableFigureBoxstyles"/>
              <w:rPr>
                <w:rFonts w:eastAsia="Calibri"/>
              </w:rPr>
            </w:pPr>
            <w:r w:rsidRPr="00FE7622">
              <w:rPr>
                <w:rFonts w:eastAsia="Calibri"/>
                <w:color w:val="auto"/>
              </w:rPr>
              <w:t>9 (12)</w:t>
            </w:r>
          </w:p>
        </w:tc>
        <w:tc>
          <w:tcPr>
            <w:tcW w:w="0" w:type="auto"/>
            <w:shd w:val="clear" w:color="auto" w:fill="auto"/>
          </w:tcPr>
          <w:p w14:paraId="3959A316" w14:textId="77777777" w:rsidR="00F026E8" w:rsidRPr="00FE7622" w:rsidRDefault="00F026E8" w:rsidP="00AF19CC">
            <w:pPr>
              <w:pStyle w:val="72TabletextTablesTableFigureBoxstyles"/>
              <w:rPr>
                <w:rFonts w:eastAsia="Calibri"/>
                <w:color w:val="auto"/>
              </w:rPr>
            </w:pPr>
            <w:r w:rsidRPr="00FE7622">
              <w:rPr>
                <w:rFonts w:eastAsia="Calibri"/>
                <w:color w:val="auto"/>
              </w:rPr>
              <w:t>5 (7)</w:t>
            </w:r>
          </w:p>
        </w:tc>
      </w:tr>
      <w:tr w:rsidR="00EF0C39" w:rsidRPr="00FE7622" w14:paraId="3DCF58F0" w14:textId="77777777" w:rsidTr="00AF19CC">
        <w:trPr>
          <w:cantSplit/>
        </w:trPr>
        <w:tc>
          <w:tcPr>
            <w:tcW w:w="0" w:type="auto"/>
            <w:shd w:val="clear" w:color="auto" w:fill="auto"/>
          </w:tcPr>
          <w:p w14:paraId="24BC4606" w14:textId="5A279F75"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Osteoarthritis</w:t>
            </w:r>
          </w:p>
        </w:tc>
        <w:tc>
          <w:tcPr>
            <w:tcW w:w="0" w:type="auto"/>
            <w:shd w:val="clear" w:color="auto" w:fill="auto"/>
          </w:tcPr>
          <w:p w14:paraId="65D7099A" w14:textId="77777777" w:rsidR="00F026E8" w:rsidRPr="00FE7622" w:rsidRDefault="00F026E8" w:rsidP="00AF19CC">
            <w:pPr>
              <w:pStyle w:val="72TabletextTablesTableFigureBoxstyles"/>
              <w:rPr>
                <w:rFonts w:eastAsia="Calibri"/>
              </w:rPr>
            </w:pPr>
            <w:r w:rsidRPr="00FE7622">
              <w:rPr>
                <w:rFonts w:eastAsia="Calibri"/>
                <w:color w:val="auto"/>
              </w:rPr>
              <w:t>39 (53)</w:t>
            </w:r>
          </w:p>
        </w:tc>
        <w:tc>
          <w:tcPr>
            <w:tcW w:w="0" w:type="auto"/>
            <w:shd w:val="clear" w:color="auto" w:fill="auto"/>
          </w:tcPr>
          <w:p w14:paraId="05984658" w14:textId="77777777" w:rsidR="00F026E8" w:rsidRPr="00FE7622" w:rsidRDefault="00F026E8" w:rsidP="00AF19CC">
            <w:pPr>
              <w:pStyle w:val="72TabletextTablesTableFigureBoxstyles"/>
              <w:rPr>
                <w:rFonts w:eastAsia="Calibri"/>
                <w:color w:val="auto"/>
              </w:rPr>
            </w:pPr>
            <w:r w:rsidRPr="00FE7622">
              <w:rPr>
                <w:rFonts w:eastAsia="Calibri"/>
                <w:color w:val="auto"/>
              </w:rPr>
              <w:t>38 (53)</w:t>
            </w:r>
          </w:p>
        </w:tc>
      </w:tr>
      <w:tr w:rsidR="00EF0C39" w:rsidRPr="00FE7622" w14:paraId="2E6ECBAB" w14:textId="77777777" w:rsidTr="00AF19CC">
        <w:trPr>
          <w:cantSplit/>
        </w:trPr>
        <w:tc>
          <w:tcPr>
            <w:tcW w:w="0" w:type="auto"/>
            <w:shd w:val="clear" w:color="auto" w:fill="auto"/>
          </w:tcPr>
          <w:p w14:paraId="5693C727" w14:textId="3D1D3800"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Rheumatoid arthritis</w:t>
            </w:r>
          </w:p>
        </w:tc>
        <w:tc>
          <w:tcPr>
            <w:tcW w:w="0" w:type="auto"/>
            <w:shd w:val="clear" w:color="auto" w:fill="auto"/>
          </w:tcPr>
          <w:p w14:paraId="7E4C0672" w14:textId="77777777" w:rsidR="00F026E8" w:rsidRPr="00FE7622" w:rsidRDefault="00F026E8" w:rsidP="00AF19CC">
            <w:pPr>
              <w:pStyle w:val="72TabletextTablesTableFigureBoxstyles"/>
              <w:rPr>
                <w:rFonts w:eastAsia="Calibri"/>
              </w:rPr>
            </w:pPr>
            <w:r w:rsidRPr="00FE7622">
              <w:rPr>
                <w:rFonts w:eastAsia="Calibri"/>
                <w:color w:val="auto"/>
              </w:rPr>
              <w:t>3 (4)</w:t>
            </w:r>
          </w:p>
        </w:tc>
        <w:tc>
          <w:tcPr>
            <w:tcW w:w="0" w:type="auto"/>
            <w:shd w:val="clear" w:color="auto" w:fill="auto"/>
          </w:tcPr>
          <w:p w14:paraId="45A0371A" w14:textId="77777777" w:rsidR="00F026E8" w:rsidRPr="00FE7622" w:rsidRDefault="00F026E8" w:rsidP="00AF19CC">
            <w:pPr>
              <w:pStyle w:val="72TabletextTablesTableFigureBoxstyles"/>
              <w:rPr>
                <w:rFonts w:eastAsia="Calibri"/>
                <w:color w:val="auto"/>
              </w:rPr>
            </w:pPr>
            <w:r w:rsidRPr="00FE7622">
              <w:rPr>
                <w:rFonts w:eastAsia="Calibri"/>
                <w:color w:val="auto"/>
              </w:rPr>
              <w:t>7 (10)</w:t>
            </w:r>
          </w:p>
        </w:tc>
      </w:tr>
      <w:tr w:rsidR="00EF0C39" w:rsidRPr="00FE7622" w14:paraId="5D13D0C6" w14:textId="77777777" w:rsidTr="00AF19CC">
        <w:trPr>
          <w:cantSplit/>
        </w:trPr>
        <w:tc>
          <w:tcPr>
            <w:tcW w:w="0" w:type="auto"/>
            <w:shd w:val="clear" w:color="auto" w:fill="auto"/>
          </w:tcPr>
          <w:p w14:paraId="6B88362F" w14:textId="24FA3271"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Cataract</w:t>
            </w:r>
          </w:p>
        </w:tc>
        <w:tc>
          <w:tcPr>
            <w:tcW w:w="0" w:type="auto"/>
            <w:shd w:val="clear" w:color="auto" w:fill="auto"/>
          </w:tcPr>
          <w:p w14:paraId="6393ABD2" w14:textId="77777777" w:rsidR="00F026E8" w:rsidRPr="00FE7622" w:rsidRDefault="00F026E8" w:rsidP="00AF19CC">
            <w:pPr>
              <w:pStyle w:val="72TabletextTablesTableFigureBoxstyles"/>
              <w:rPr>
                <w:rFonts w:eastAsia="Calibri"/>
              </w:rPr>
            </w:pPr>
            <w:r w:rsidRPr="00FE7622">
              <w:rPr>
                <w:rFonts w:eastAsia="Calibri"/>
                <w:color w:val="auto"/>
              </w:rPr>
              <w:t>34 (47)</w:t>
            </w:r>
          </w:p>
        </w:tc>
        <w:tc>
          <w:tcPr>
            <w:tcW w:w="0" w:type="auto"/>
            <w:shd w:val="clear" w:color="auto" w:fill="auto"/>
          </w:tcPr>
          <w:p w14:paraId="33339625" w14:textId="77777777" w:rsidR="00F026E8" w:rsidRPr="00FE7622" w:rsidRDefault="00F026E8" w:rsidP="00AF19CC">
            <w:pPr>
              <w:pStyle w:val="72TabletextTablesTableFigureBoxstyles"/>
              <w:rPr>
                <w:rFonts w:eastAsia="Calibri"/>
                <w:color w:val="auto"/>
              </w:rPr>
            </w:pPr>
            <w:r w:rsidRPr="00FE7622">
              <w:rPr>
                <w:rFonts w:eastAsia="Calibri"/>
                <w:color w:val="auto"/>
              </w:rPr>
              <w:t>28 (39)</w:t>
            </w:r>
          </w:p>
        </w:tc>
      </w:tr>
      <w:tr w:rsidR="00EF0C39" w:rsidRPr="00FE7622" w14:paraId="05D30857" w14:textId="77777777" w:rsidTr="00AF19CC">
        <w:trPr>
          <w:cantSplit/>
        </w:trPr>
        <w:tc>
          <w:tcPr>
            <w:tcW w:w="0" w:type="auto"/>
            <w:shd w:val="clear" w:color="auto" w:fill="auto"/>
          </w:tcPr>
          <w:p w14:paraId="5C3D12C5" w14:textId="2D6DD5BF"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Retinopathy</w:t>
            </w:r>
          </w:p>
        </w:tc>
        <w:tc>
          <w:tcPr>
            <w:tcW w:w="0" w:type="auto"/>
            <w:shd w:val="clear" w:color="auto" w:fill="auto"/>
          </w:tcPr>
          <w:p w14:paraId="2E05FD6A" w14:textId="77777777" w:rsidR="00F026E8" w:rsidRPr="00FE7622" w:rsidRDefault="00F026E8" w:rsidP="00AF19CC">
            <w:pPr>
              <w:pStyle w:val="72TabletextTablesTableFigureBoxstyles"/>
              <w:rPr>
                <w:rFonts w:eastAsia="Calibri"/>
              </w:rPr>
            </w:pPr>
            <w:r w:rsidRPr="00FE7622">
              <w:rPr>
                <w:rFonts w:eastAsia="Calibri"/>
                <w:color w:val="auto"/>
              </w:rPr>
              <w:t>3 (4)</w:t>
            </w:r>
          </w:p>
        </w:tc>
        <w:tc>
          <w:tcPr>
            <w:tcW w:w="0" w:type="auto"/>
            <w:shd w:val="clear" w:color="auto" w:fill="auto"/>
          </w:tcPr>
          <w:p w14:paraId="36D789ED" w14:textId="77777777" w:rsidR="00F026E8" w:rsidRPr="00FE7622" w:rsidRDefault="00F026E8" w:rsidP="00AF19CC">
            <w:pPr>
              <w:pStyle w:val="72TabletextTablesTableFigureBoxstyles"/>
              <w:rPr>
                <w:rFonts w:eastAsia="Calibri"/>
                <w:color w:val="auto"/>
              </w:rPr>
            </w:pPr>
            <w:r w:rsidRPr="00FE7622">
              <w:rPr>
                <w:rFonts w:eastAsia="Calibri"/>
                <w:color w:val="auto"/>
              </w:rPr>
              <w:t>2 (3)</w:t>
            </w:r>
          </w:p>
        </w:tc>
      </w:tr>
      <w:tr w:rsidR="00EF0C39" w:rsidRPr="00FE7622" w14:paraId="79B7BCA3" w14:textId="77777777" w:rsidTr="00AF19CC">
        <w:trPr>
          <w:cantSplit/>
        </w:trPr>
        <w:tc>
          <w:tcPr>
            <w:tcW w:w="0" w:type="auto"/>
            <w:shd w:val="clear" w:color="auto" w:fill="auto"/>
          </w:tcPr>
          <w:p w14:paraId="0BF3B0C6" w14:textId="69ADB8CE"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Registered blind</w:t>
            </w:r>
          </w:p>
        </w:tc>
        <w:tc>
          <w:tcPr>
            <w:tcW w:w="0" w:type="auto"/>
            <w:shd w:val="clear" w:color="auto" w:fill="auto"/>
          </w:tcPr>
          <w:p w14:paraId="1ED15421" w14:textId="77777777" w:rsidR="00F026E8" w:rsidRPr="00FE7622" w:rsidRDefault="00F026E8" w:rsidP="00AF19CC">
            <w:pPr>
              <w:pStyle w:val="72TabletextTablesTableFigureBoxstyles"/>
              <w:rPr>
                <w:rFonts w:eastAsia="Calibri"/>
              </w:rPr>
            </w:pPr>
            <w:r w:rsidRPr="00FE7622">
              <w:rPr>
                <w:rFonts w:eastAsia="Calibri"/>
                <w:color w:val="auto"/>
              </w:rPr>
              <w:t>2 (3)</w:t>
            </w:r>
          </w:p>
        </w:tc>
        <w:tc>
          <w:tcPr>
            <w:tcW w:w="0" w:type="auto"/>
            <w:shd w:val="clear" w:color="auto" w:fill="auto"/>
          </w:tcPr>
          <w:p w14:paraId="5F95324E" w14:textId="77777777" w:rsidR="00F026E8" w:rsidRPr="00FE7622" w:rsidRDefault="00F026E8" w:rsidP="00AF19CC">
            <w:pPr>
              <w:pStyle w:val="72TabletextTablesTableFigureBoxstyles"/>
              <w:rPr>
                <w:rFonts w:eastAsia="Calibri"/>
                <w:color w:val="auto"/>
              </w:rPr>
            </w:pPr>
            <w:r w:rsidRPr="00FE7622">
              <w:rPr>
                <w:rFonts w:eastAsia="Calibri"/>
                <w:color w:val="auto"/>
              </w:rPr>
              <w:t>0 (0)</w:t>
            </w:r>
          </w:p>
        </w:tc>
      </w:tr>
      <w:tr w:rsidR="00EF0C39" w:rsidRPr="00FE7622" w14:paraId="1831FD07" w14:textId="77777777" w:rsidTr="00AF19CC">
        <w:trPr>
          <w:cantSplit/>
        </w:trPr>
        <w:tc>
          <w:tcPr>
            <w:tcW w:w="0" w:type="auto"/>
            <w:shd w:val="clear" w:color="auto" w:fill="auto"/>
          </w:tcPr>
          <w:p w14:paraId="18CCC569" w14:textId="4897AE6C"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Anaemia</w:t>
            </w:r>
          </w:p>
        </w:tc>
        <w:tc>
          <w:tcPr>
            <w:tcW w:w="0" w:type="auto"/>
            <w:shd w:val="clear" w:color="auto" w:fill="auto"/>
          </w:tcPr>
          <w:p w14:paraId="02BDFAEE" w14:textId="77777777" w:rsidR="00F026E8" w:rsidRPr="00FE7622" w:rsidRDefault="00F026E8" w:rsidP="00AF19CC">
            <w:pPr>
              <w:pStyle w:val="72TabletextTablesTableFigureBoxstyles"/>
              <w:rPr>
                <w:rFonts w:eastAsia="Calibri"/>
              </w:rPr>
            </w:pPr>
            <w:r w:rsidRPr="00FE7622">
              <w:rPr>
                <w:rFonts w:eastAsia="Calibri"/>
                <w:color w:val="auto"/>
              </w:rPr>
              <w:t>15 (21)</w:t>
            </w:r>
          </w:p>
        </w:tc>
        <w:tc>
          <w:tcPr>
            <w:tcW w:w="0" w:type="auto"/>
            <w:shd w:val="clear" w:color="auto" w:fill="auto"/>
          </w:tcPr>
          <w:p w14:paraId="4D502F43" w14:textId="77777777" w:rsidR="00F026E8" w:rsidRPr="00FE7622" w:rsidRDefault="00F026E8" w:rsidP="00AF19CC">
            <w:pPr>
              <w:pStyle w:val="72TabletextTablesTableFigureBoxstyles"/>
              <w:rPr>
                <w:rFonts w:eastAsia="Calibri"/>
                <w:color w:val="auto"/>
              </w:rPr>
            </w:pPr>
            <w:r w:rsidRPr="00FE7622">
              <w:rPr>
                <w:rFonts w:eastAsia="Calibri"/>
                <w:color w:val="auto"/>
              </w:rPr>
              <w:t>8 (11)</w:t>
            </w:r>
          </w:p>
        </w:tc>
      </w:tr>
      <w:tr w:rsidR="00EF0C39" w:rsidRPr="00FE7622" w14:paraId="41D86A49" w14:textId="77777777" w:rsidTr="00AF19CC">
        <w:trPr>
          <w:cantSplit/>
        </w:trPr>
        <w:tc>
          <w:tcPr>
            <w:tcW w:w="0" w:type="auto"/>
            <w:shd w:val="clear" w:color="auto" w:fill="auto"/>
          </w:tcPr>
          <w:p w14:paraId="50C4BE4C" w14:textId="7E0B3B2C"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Peripheral neuropathy</w:t>
            </w:r>
          </w:p>
        </w:tc>
        <w:tc>
          <w:tcPr>
            <w:tcW w:w="0" w:type="auto"/>
            <w:shd w:val="clear" w:color="auto" w:fill="auto"/>
          </w:tcPr>
          <w:p w14:paraId="26C551C3" w14:textId="77777777" w:rsidR="00F026E8" w:rsidRPr="00FE7622" w:rsidRDefault="00F026E8" w:rsidP="00AF19CC">
            <w:pPr>
              <w:pStyle w:val="72TabletextTablesTableFigureBoxstyles"/>
              <w:rPr>
                <w:rFonts w:eastAsia="Calibri"/>
              </w:rPr>
            </w:pPr>
            <w:r w:rsidRPr="00FE7622">
              <w:rPr>
                <w:rFonts w:eastAsia="Calibri"/>
                <w:color w:val="auto"/>
              </w:rPr>
              <w:t>7 (10)</w:t>
            </w:r>
          </w:p>
        </w:tc>
        <w:tc>
          <w:tcPr>
            <w:tcW w:w="0" w:type="auto"/>
            <w:shd w:val="clear" w:color="auto" w:fill="auto"/>
          </w:tcPr>
          <w:p w14:paraId="7ADE6BBF" w14:textId="77777777" w:rsidR="00F026E8" w:rsidRPr="00FE7622" w:rsidRDefault="00F026E8" w:rsidP="00AF19CC">
            <w:pPr>
              <w:pStyle w:val="72TabletextTablesTableFigureBoxstyles"/>
              <w:rPr>
                <w:rFonts w:eastAsia="Calibri"/>
                <w:color w:val="auto"/>
              </w:rPr>
            </w:pPr>
            <w:r w:rsidRPr="00FE7622">
              <w:rPr>
                <w:rFonts w:eastAsia="Calibri"/>
                <w:color w:val="auto"/>
              </w:rPr>
              <w:t>5 (7)</w:t>
            </w:r>
          </w:p>
        </w:tc>
      </w:tr>
      <w:tr w:rsidR="00EF0C39" w:rsidRPr="00FE7622" w14:paraId="3F1E6BFA" w14:textId="77777777" w:rsidTr="00AF19CC">
        <w:trPr>
          <w:cantSplit/>
        </w:trPr>
        <w:tc>
          <w:tcPr>
            <w:tcW w:w="0" w:type="auto"/>
            <w:shd w:val="clear" w:color="auto" w:fill="auto"/>
          </w:tcPr>
          <w:p w14:paraId="26723B94" w14:textId="0FEA144D" w:rsidR="00F026E8" w:rsidRPr="00FE7622" w:rsidRDefault="00E106F5" w:rsidP="00AF19CC">
            <w:pPr>
              <w:pStyle w:val="72TabletextTablesTableFigureBoxstyles"/>
              <w:rPr>
                <w:rFonts w:eastAsia="Calibri"/>
              </w:rPr>
            </w:pPr>
            <w:r w:rsidRPr="00FE7622">
              <w:rPr>
                <w:rFonts w:eastAsia="Calibri"/>
                <w:color w:val="auto"/>
              </w:rPr>
              <w:tab/>
            </w:r>
            <w:r w:rsidR="00F026E8" w:rsidRPr="00FE7622">
              <w:rPr>
                <w:rFonts w:eastAsia="Calibri"/>
                <w:color w:val="auto"/>
              </w:rPr>
              <w:t>Fragility fracture</w:t>
            </w:r>
          </w:p>
        </w:tc>
        <w:tc>
          <w:tcPr>
            <w:tcW w:w="0" w:type="auto"/>
            <w:shd w:val="clear" w:color="auto" w:fill="auto"/>
          </w:tcPr>
          <w:p w14:paraId="07645411" w14:textId="73AEA860" w:rsidR="00F026E8" w:rsidRPr="00FE7622" w:rsidRDefault="00F026E8" w:rsidP="00AF19CC">
            <w:pPr>
              <w:pStyle w:val="72TabletextTablesTableFigureBoxstyles"/>
              <w:rPr>
                <w:rFonts w:eastAsia="Calibri"/>
              </w:rPr>
            </w:pPr>
            <w:r w:rsidRPr="00FE7622">
              <w:rPr>
                <w:rFonts w:eastAsia="Calibri"/>
                <w:color w:val="auto"/>
              </w:rPr>
              <w:t>23 (32)</w:t>
            </w:r>
          </w:p>
        </w:tc>
        <w:tc>
          <w:tcPr>
            <w:tcW w:w="0" w:type="auto"/>
            <w:shd w:val="clear" w:color="auto" w:fill="auto"/>
          </w:tcPr>
          <w:p w14:paraId="2EF9C59A" w14:textId="77777777" w:rsidR="00F026E8" w:rsidRPr="00FE7622" w:rsidRDefault="00F026E8" w:rsidP="00AF19CC">
            <w:pPr>
              <w:pStyle w:val="72TabletextTablesTableFigureBoxstyles"/>
              <w:rPr>
                <w:rFonts w:eastAsia="Calibri"/>
                <w:color w:val="auto"/>
              </w:rPr>
            </w:pPr>
            <w:r w:rsidRPr="00FE7622">
              <w:rPr>
                <w:rFonts w:eastAsia="Calibri"/>
                <w:color w:val="auto"/>
              </w:rPr>
              <w:t>18 (25)</w:t>
            </w:r>
          </w:p>
        </w:tc>
      </w:tr>
      <w:tr w:rsidR="00EF0C39" w:rsidRPr="00FE7622" w14:paraId="667321D2" w14:textId="77777777" w:rsidTr="00AF19CC">
        <w:trPr>
          <w:cantSplit/>
        </w:trPr>
        <w:tc>
          <w:tcPr>
            <w:tcW w:w="0" w:type="auto"/>
            <w:shd w:val="clear" w:color="auto" w:fill="auto"/>
          </w:tcPr>
          <w:p w14:paraId="6B0D5791" w14:textId="52BE9032" w:rsidR="00F026E8" w:rsidRPr="00FE7622" w:rsidRDefault="00F026E8" w:rsidP="00AF19CC">
            <w:pPr>
              <w:pStyle w:val="72TabletextTablesTableFigureBoxstyles"/>
              <w:rPr>
                <w:rFonts w:eastAsia="Calibri"/>
              </w:rPr>
            </w:pPr>
            <w:bookmarkStart w:id="84" w:name="_Hlk61303873"/>
            <w:r w:rsidRPr="00FE7622">
              <w:rPr>
                <w:rFonts w:eastAsia="Calibri"/>
                <w:color w:val="auto"/>
              </w:rPr>
              <w:t xml:space="preserve">Median number of medications </w:t>
            </w:r>
            <w:r w:rsidR="0010700A" w:rsidRPr="00FE7622">
              <w:rPr>
                <w:rFonts w:eastAsia="Calibri"/>
                <w:color w:val="auto"/>
              </w:rPr>
              <w:t>(</w:t>
            </w:r>
            <w:r w:rsidRPr="00842651">
              <w:rPr>
                <w:rFonts w:eastAsia="Calibri"/>
                <w:color w:val="auto"/>
              </w:rPr>
              <w:t>IQR</w:t>
            </w:r>
            <w:r w:rsidR="0010700A" w:rsidRPr="00FE7622">
              <w:rPr>
                <w:rFonts w:eastAsia="Calibri"/>
                <w:color w:val="auto"/>
              </w:rPr>
              <w:t>)</w:t>
            </w:r>
          </w:p>
        </w:tc>
        <w:tc>
          <w:tcPr>
            <w:tcW w:w="0" w:type="auto"/>
            <w:shd w:val="clear" w:color="auto" w:fill="auto"/>
          </w:tcPr>
          <w:p w14:paraId="79E5531B" w14:textId="62EFD87C" w:rsidR="00F026E8" w:rsidRPr="00FE7622" w:rsidRDefault="00F026E8" w:rsidP="00AF19CC">
            <w:pPr>
              <w:pStyle w:val="72TabletextTablesTableFigureBoxstyles"/>
              <w:rPr>
                <w:rFonts w:eastAsia="Calibri"/>
              </w:rPr>
            </w:pPr>
            <w:r w:rsidRPr="00FE7622">
              <w:rPr>
                <w:rFonts w:eastAsia="Calibri"/>
                <w:color w:val="auto"/>
              </w:rPr>
              <w:t xml:space="preserve">5 </w:t>
            </w:r>
            <w:r w:rsidR="0010700A" w:rsidRPr="00FE7622">
              <w:rPr>
                <w:rFonts w:eastAsia="Calibri"/>
                <w:color w:val="auto"/>
              </w:rPr>
              <w:t>(</w:t>
            </w:r>
            <w:r w:rsidRPr="00FE7622">
              <w:rPr>
                <w:rFonts w:eastAsia="Calibri"/>
                <w:color w:val="auto"/>
              </w:rPr>
              <w:t>3</w:t>
            </w:r>
            <w:r w:rsidR="0010700A" w:rsidRPr="00FE7622">
              <w:rPr>
                <w:rFonts w:eastAsia="Calibri"/>
                <w:color w:val="auto"/>
              </w:rPr>
              <w:t>–</w:t>
            </w:r>
            <w:r w:rsidRPr="00FE7622">
              <w:rPr>
                <w:rFonts w:eastAsia="Calibri"/>
                <w:color w:val="auto"/>
              </w:rPr>
              <w:t>7</w:t>
            </w:r>
            <w:r w:rsidR="0010700A" w:rsidRPr="00FE7622">
              <w:rPr>
                <w:rFonts w:eastAsia="Calibri"/>
                <w:color w:val="auto"/>
              </w:rPr>
              <w:t>)</w:t>
            </w:r>
          </w:p>
        </w:tc>
        <w:tc>
          <w:tcPr>
            <w:tcW w:w="0" w:type="auto"/>
            <w:shd w:val="clear" w:color="auto" w:fill="auto"/>
          </w:tcPr>
          <w:p w14:paraId="6DB22645" w14:textId="0F1854E8" w:rsidR="00F026E8" w:rsidRPr="00FE7622" w:rsidRDefault="00F026E8" w:rsidP="00AF19CC">
            <w:pPr>
              <w:pStyle w:val="72TabletextTablesTableFigureBoxstyles"/>
              <w:rPr>
                <w:rFonts w:eastAsia="Calibri"/>
                <w:color w:val="auto"/>
              </w:rPr>
            </w:pPr>
            <w:r w:rsidRPr="00FE7622">
              <w:rPr>
                <w:rFonts w:eastAsia="Calibri"/>
                <w:color w:val="auto"/>
              </w:rPr>
              <w:t xml:space="preserve">5 </w:t>
            </w:r>
            <w:r w:rsidR="0010700A" w:rsidRPr="00FE7622">
              <w:rPr>
                <w:rFonts w:eastAsia="Calibri"/>
                <w:color w:val="auto"/>
              </w:rPr>
              <w:t>(</w:t>
            </w:r>
            <w:r w:rsidRPr="00FE7622">
              <w:rPr>
                <w:rFonts w:eastAsia="Calibri"/>
                <w:color w:val="auto"/>
              </w:rPr>
              <w:t>3</w:t>
            </w:r>
            <w:r w:rsidR="0010700A" w:rsidRPr="00FE7622">
              <w:rPr>
                <w:rFonts w:eastAsia="Calibri"/>
                <w:color w:val="auto"/>
              </w:rPr>
              <w:t>–</w:t>
            </w:r>
            <w:r w:rsidRPr="00FE7622">
              <w:rPr>
                <w:rFonts w:eastAsia="Calibri"/>
                <w:color w:val="auto"/>
              </w:rPr>
              <w:t>7</w:t>
            </w:r>
            <w:r w:rsidR="0010700A" w:rsidRPr="00FE7622">
              <w:rPr>
                <w:rFonts w:eastAsia="Calibri"/>
                <w:color w:val="auto"/>
              </w:rPr>
              <w:t>)</w:t>
            </w:r>
          </w:p>
        </w:tc>
      </w:tr>
      <w:tr w:rsidR="00F63825" w:rsidRPr="00FE7622" w14:paraId="48A5DA05" w14:textId="77777777" w:rsidTr="00AF19CC">
        <w:trPr>
          <w:cantSplit/>
        </w:trPr>
        <w:tc>
          <w:tcPr>
            <w:tcW w:w="0" w:type="auto"/>
            <w:gridSpan w:val="3"/>
            <w:shd w:val="clear" w:color="auto" w:fill="auto"/>
          </w:tcPr>
          <w:p w14:paraId="00293A15" w14:textId="4D08BFF0" w:rsidR="00F63825" w:rsidRPr="00FE7622" w:rsidRDefault="00F63825" w:rsidP="00AF19CC">
            <w:pPr>
              <w:pStyle w:val="72TabletextTablesTableFigureBoxstyles"/>
              <w:rPr>
                <w:rFonts w:eastAsia="Calibri"/>
                <w:color w:val="auto"/>
              </w:rPr>
            </w:pPr>
            <w:r w:rsidRPr="00FE7622">
              <w:rPr>
                <w:rFonts w:eastAsia="Calibri"/>
                <w:color w:val="auto"/>
              </w:rPr>
              <w:t>Mean weight (kg) (</w:t>
            </w:r>
            <w:r w:rsidRPr="00842651">
              <w:rPr>
                <w:rFonts w:eastAsia="Calibri"/>
                <w:color w:val="auto"/>
              </w:rPr>
              <w:t>SD</w:t>
            </w:r>
            <w:r w:rsidRPr="00FE7622">
              <w:rPr>
                <w:rFonts w:eastAsia="Calibri"/>
                <w:color w:val="auto"/>
              </w:rPr>
              <w:t>)</w:t>
            </w:r>
          </w:p>
        </w:tc>
      </w:tr>
      <w:tr w:rsidR="00EF0C39" w:rsidRPr="00FE7622" w14:paraId="237AF38F" w14:textId="77777777" w:rsidTr="00AF19CC">
        <w:trPr>
          <w:cantSplit/>
        </w:trPr>
        <w:tc>
          <w:tcPr>
            <w:tcW w:w="0" w:type="auto"/>
            <w:shd w:val="clear" w:color="auto" w:fill="auto"/>
          </w:tcPr>
          <w:p w14:paraId="1F9799F4" w14:textId="70F7B605" w:rsidR="00F63825" w:rsidRPr="00FE7622" w:rsidRDefault="00E106F5" w:rsidP="00AF19CC">
            <w:pPr>
              <w:pStyle w:val="72TabletextTablesTableFigureBoxstyles"/>
              <w:rPr>
                <w:rFonts w:eastAsia="Calibri"/>
              </w:rPr>
            </w:pPr>
            <w:r w:rsidRPr="00FE7622">
              <w:rPr>
                <w:rFonts w:eastAsia="Calibri"/>
                <w:color w:val="auto"/>
              </w:rPr>
              <w:tab/>
            </w:r>
            <w:r w:rsidR="00F63825" w:rsidRPr="00FE7622">
              <w:rPr>
                <w:rFonts w:eastAsia="Calibri"/>
                <w:color w:val="auto"/>
              </w:rPr>
              <w:t>Men</w:t>
            </w:r>
          </w:p>
        </w:tc>
        <w:tc>
          <w:tcPr>
            <w:tcW w:w="0" w:type="auto"/>
            <w:shd w:val="clear" w:color="auto" w:fill="auto"/>
          </w:tcPr>
          <w:p w14:paraId="15F9DE84" w14:textId="42B54A86" w:rsidR="00F63825" w:rsidRPr="00FE7622" w:rsidRDefault="00F63825" w:rsidP="00AF19CC">
            <w:pPr>
              <w:pStyle w:val="72TabletextTablesTableFigureBoxstyles"/>
              <w:rPr>
                <w:rFonts w:eastAsia="Calibri"/>
              </w:rPr>
            </w:pPr>
            <w:r w:rsidRPr="00FE7622">
              <w:rPr>
                <w:rFonts w:eastAsia="Calibri"/>
                <w:color w:val="auto"/>
              </w:rPr>
              <w:t>106.5 (151.5)</w:t>
            </w:r>
          </w:p>
        </w:tc>
        <w:tc>
          <w:tcPr>
            <w:tcW w:w="0" w:type="auto"/>
            <w:shd w:val="clear" w:color="auto" w:fill="auto"/>
          </w:tcPr>
          <w:p w14:paraId="2DDA1C43" w14:textId="77777777" w:rsidR="00F63825" w:rsidRPr="00FE7622" w:rsidRDefault="00F63825" w:rsidP="00AF19CC">
            <w:pPr>
              <w:pStyle w:val="72TabletextTablesTableFigureBoxstyles"/>
              <w:rPr>
                <w:rFonts w:eastAsia="Calibri"/>
                <w:color w:val="auto"/>
              </w:rPr>
            </w:pPr>
            <w:r w:rsidRPr="00FE7622">
              <w:rPr>
                <w:rFonts w:eastAsia="Calibri"/>
                <w:color w:val="auto"/>
              </w:rPr>
              <w:t>80.9 (16.0)</w:t>
            </w:r>
          </w:p>
        </w:tc>
      </w:tr>
      <w:tr w:rsidR="00EF0C39" w:rsidRPr="00FE7622" w14:paraId="3ADDA112" w14:textId="77777777" w:rsidTr="00AF19CC">
        <w:trPr>
          <w:cantSplit/>
        </w:trPr>
        <w:tc>
          <w:tcPr>
            <w:tcW w:w="0" w:type="auto"/>
            <w:shd w:val="clear" w:color="auto" w:fill="auto"/>
          </w:tcPr>
          <w:p w14:paraId="77A634C1" w14:textId="6A0EC4D7" w:rsidR="00F63825" w:rsidRPr="00FE7622" w:rsidRDefault="00E106F5" w:rsidP="00AF19CC">
            <w:pPr>
              <w:pStyle w:val="72TabletextTablesTableFigureBoxstyles"/>
              <w:rPr>
                <w:rFonts w:eastAsia="Calibri"/>
              </w:rPr>
            </w:pPr>
            <w:r w:rsidRPr="00FE7622">
              <w:rPr>
                <w:rFonts w:eastAsia="Calibri"/>
                <w:color w:val="auto"/>
              </w:rPr>
              <w:tab/>
            </w:r>
            <w:r w:rsidR="00F63825" w:rsidRPr="00FE7622">
              <w:rPr>
                <w:rFonts w:eastAsia="Calibri"/>
                <w:color w:val="auto"/>
              </w:rPr>
              <w:t>Women</w:t>
            </w:r>
          </w:p>
        </w:tc>
        <w:tc>
          <w:tcPr>
            <w:tcW w:w="0" w:type="auto"/>
            <w:shd w:val="clear" w:color="auto" w:fill="auto"/>
          </w:tcPr>
          <w:p w14:paraId="3E42CF0B" w14:textId="77777777" w:rsidR="00F63825" w:rsidRPr="00FE7622" w:rsidRDefault="00F63825" w:rsidP="00AF19CC">
            <w:pPr>
              <w:pStyle w:val="72TabletextTablesTableFigureBoxstyles"/>
              <w:rPr>
                <w:rFonts w:eastAsia="Calibri"/>
              </w:rPr>
            </w:pPr>
            <w:r w:rsidRPr="00FE7622">
              <w:rPr>
                <w:rFonts w:eastAsia="Calibri"/>
                <w:color w:val="auto"/>
              </w:rPr>
              <w:t>65.1 (13.1)</w:t>
            </w:r>
          </w:p>
        </w:tc>
        <w:tc>
          <w:tcPr>
            <w:tcW w:w="0" w:type="auto"/>
            <w:shd w:val="clear" w:color="auto" w:fill="auto"/>
          </w:tcPr>
          <w:p w14:paraId="240DA773" w14:textId="77777777" w:rsidR="00F63825" w:rsidRPr="00FE7622" w:rsidRDefault="00F63825" w:rsidP="00AF19CC">
            <w:pPr>
              <w:pStyle w:val="72TabletextTablesTableFigureBoxstyles"/>
              <w:rPr>
                <w:rFonts w:eastAsia="Calibri"/>
                <w:color w:val="auto"/>
              </w:rPr>
            </w:pPr>
            <w:r w:rsidRPr="00FE7622">
              <w:rPr>
                <w:rFonts w:eastAsia="Calibri"/>
                <w:color w:val="auto"/>
              </w:rPr>
              <w:t>64.9 (10.0)</w:t>
            </w:r>
          </w:p>
        </w:tc>
      </w:tr>
      <w:tr w:rsidR="00EF0C39" w:rsidRPr="00FE7622" w14:paraId="341BF358" w14:textId="77777777" w:rsidTr="00AF19CC">
        <w:trPr>
          <w:cantSplit/>
        </w:trPr>
        <w:tc>
          <w:tcPr>
            <w:tcW w:w="0" w:type="auto"/>
            <w:shd w:val="clear" w:color="auto" w:fill="auto"/>
          </w:tcPr>
          <w:p w14:paraId="63791584" w14:textId="0BBB145E" w:rsidR="00F026E8" w:rsidRPr="00FE7622" w:rsidRDefault="00F026E8" w:rsidP="00AF19CC">
            <w:pPr>
              <w:pStyle w:val="72TabletextTablesTableFigureBoxstyles"/>
              <w:rPr>
                <w:rFonts w:eastAsia="Calibri"/>
              </w:rPr>
            </w:pPr>
            <w:r w:rsidRPr="00FE7622">
              <w:rPr>
                <w:rFonts w:eastAsia="Calibri"/>
                <w:color w:val="auto"/>
              </w:rPr>
              <w:t xml:space="preserve">Mean </w:t>
            </w:r>
            <w:r w:rsidR="00525C8B" w:rsidRPr="00842651">
              <w:rPr>
                <w:rFonts w:eastAsia="Calibri"/>
                <w:color w:val="auto"/>
              </w:rPr>
              <w:t>BMI</w:t>
            </w:r>
            <w:r w:rsidRPr="00FE7622">
              <w:rPr>
                <w:rFonts w:eastAsia="Calibri"/>
                <w:color w:val="auto"/>
              </w:rPr>
              <w:t xml:space="preserve"> (kg/m</w:t>
            </w:r>
            <w:r w:rsidR="00E038BF" w:rsidRPr="00FE7622">
              <w:rPr>
                <w:rFonts w:eastAsia="Calibri"/>
                <w:color w:val="auto"/>
                <w:vertAlign w:val="superscript"/>
              </w:rPr>
              <w:t>2</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373B4AF6" w14:textId="77777777" w:rsidR="00F026E8" w:rsidRPr="00FE7622" w:rsidRDefault="00F026E8" w:rsidP="00AF19CC">
            <w:pPr>
              <w:pStyle w:val="72TabletextTablesTableFigureBoxstyles"/>
              <w:rPr>
                <w:rFonts w:eastAsia="Calibri"/>
              </w:rPr>
            </w:pPr>
            <w:r w:rsidRPr="00FE7622">
              <w:rPr>
                <w:rFonts w:eastAsia="Calibri"/>
                <w:color w:val="auto"/>
              </w:rPr>
              <w:t>26.7 (3.7)</w:t>
            </w:r>
          </w:p>
        </w:tc>
        <w:tc>
          <w:tcPr>
            <w:tcW w:w="0" w:type="auto"/>
            <w:shd w:val="clear" w:color="auto" w:fill="auto"/>
          </w:tcPr>
          <w:p w14:paraId="78B78951" w14:textId="77777777" w:rsidR="00F026E8" w:rsidRPr="00FE7622" w:rsidRDefault="00F026E8" w:rsidP="00AF19CC">
            <w:pPr>
              <w:pStyle w:val="72TabletextTablesTableFigureBoxstyles"/>
              <w:rPr>
                <w:rFonts w:eastAsia="Calibri"/>
                <w:color w:val="auto"/>
              </w:rPr>
            </w:pPr>
            <w:r w:rsidRPr="00FE7622">
              <w:rPr>
                <w:rFonts w:eastAsia="Calibri"/>
                <w:color w:val="auto"/>
              </w:rPr>
              <w:t>27.0 (4.3)</w:t>
            </w:r>
          </w:p>
        </w:tc>
      </w:tr>
      <w:tr w:rsidR="00EF0C39" w:rsidRPr="00FE7622" w14:paraId="1CC6EF50" w14:textId="77777777" w:rsidTr="00AF19CC">
        <w:trPr>
          <w:cantSplit/>
        </w:trPr>
        <w:tc>
          <w:tcPr>
            <w:tcW w:w="0" w:type="auto"/>
            <w:shd w:val="clear" w:color="auto" w:fill="auto"/>
          </w:tcPr>
          <w:p w14:paraId="2F5347D1" w14:textId="23091378" w:rsidR="00F026E8" w:rsidRPr="00FE7622" w:rsidRDefault="00F026E8" w:rsidP="00AF19CC">
            <w:pPr>
              <w:pStyle w:val="72TabletextTablesTableFigureBoxstyles"/>
              <w:rPr>
                <w:rFonts w:eastAsia="Calibri"/>
              </w:rPr>
            </w:pPr>
            <w:r w:rsidRPr="00FE7622">
              <w:rPr>
                <w:rFonts w:eastAsia="Calibri"/>
                <w:color w:val="auto"/>
              </w:rPr>
              <w:t>Mean estimated GFR (ml/min</w:t>
            </w:r>
            <w:r w:rsidR="005E7D70" w:rsidRPr="00FE7622">
              <w:rPr>
                <w:rFonts w:eastAsia="Calibri"/>
                <w:color w:val="auto"/>
              </w:rPr>
              <w:t>ute</w:t>
            </w:r>
            <w:r w:rsidRPr="00FE7622">
              <w:rPr>
                <w:rFonts w:eastAsia="Calibri"/>
                <w:color w:val="auto"/>
              </w:rPr>
              <w:t>/1.73</w:t>
            </w:r>
            <w:r w:rsidR="005E7D70" w:rsidRPr="00FE7622">
              <w:rPr>
                <w:rFonts w:eastAsia="Calibri"/>
                <w:color w:val="auto"/>
              </w:rPr>
              <w:t> </w:t>
            </w:r>
            <w:r w:rsidRPr="00FE7622">
              <w:rPr>
                <w:rFonts w:eastAsia="Calibri"/>
                <w:color w:val="auto"/>
              </w:rPr>
              <w:t>m</w:t>
            </w:r>
            <w:r w:rsidR="00E038BF" w:rsidRPr="00FE7622">
              <w:rPr>
                <w:rFonts w:eastAsia="Calibri"/>
                <w:color w:val="auto"/>
                <w:vertAlign w:val="superscript"/>
              </w:rPr>
              <w:t>2</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28F6F664" w14:textId="77777777" w:rsidR="00F026E8" w:rsidRPr="00FE7622" w:rsidRDefault="00F026E8" w:rsidP="00AF19CC">
            <w:pPr>
              <w:pStyle w:val="72TabletextTablesTableFigureBoxstyles"/>
              <w:rPr>
                <w:rFonts w:eastAsia="Calibri"/>
              </w:rPr>
            </w:pPr>
            <w:r w:rsidRPr="00FE7622">
              <w:rPr>
                <w:rFonts w:eastAsia="Calibri"/>
                <w:color w:val="auto"/>
              </w:rPr>
              <w:t>80 (20)</w:t>
            </w:r>
          </w:p>
        </w:tc>
        <w:tc>
          <w:tcPr>
            <w:tcW w:w="0" w:type="auto"/>
            <w:shd w:val="clear" w:color="auto" w:fill="auto"/>
          </w:tcPr>
          <w:p w14:paraId="25572F86" w14:textId="77777777" w:rsidR="00F026E8" w:rsidRPr="00FE7622" w:rsidRDefault="00F026E8" w:rsidP="00AF19CC">
            <w:pPr>
              <w:pStyle w:val="72TabletextTablesTableFigureBoxstyles"/>
              <w:rPr>
                <w:rFonts w:eastAsia="Calibri"/>
                <w:color w:val="auto"/>
              </w:rPr>
            </w:pPr>
            <w:r w:rsidRPr="00FE7622">
              <w:rPr>
                <w:rFonts w:eastAsia="Calibri"/>
                <w:color w:val="auto"/>
              </w:rPr>
              <w:t>81 (21)</w:t>
            </w:r>
          </w:p>
        </w:tc>
      </w:tr>
      <w:tr w:rsidR="00EF0C39" w:rsidRPr="00FE7622" w14:paraId="50DCA09D" w14:textId="77777777" w:rsidTr="00AF19CC">
        <w:trPr>
          <w:cantSplit/>
        </w:trPr>
        <w:tc>
          <w:tcPr>
            <w:tcW w:w="0" w:type="auto"/>
            <w:shd w:val="clear" w:color="auto" w:fill="auto"/>
          </w:tcPr>
          <w:p w14:paraId="16D79C6B" w14:textId="3B831881" w:rsidR="00F026E8" w:rsidRPr="00FE7622" w:rsidRDefault="00F026E8" w:rsidP="00AF19CC">
            <w:pPr>
              <w:pStyle w:val="72TabletextTablesTableFigureBoxstyles"/>
              <w:rPr>
                <w:rFonts w:eastAsia="Calibri"/>
              </w:rPr>
            </w:pPr>
            <w:r w:rsidRPr="00FE7622">
              <w:rPr>
                <w:rFonts w:eastAsia="Calibri"/>
                <w:color w:val="auto"/>
              </w:rPr>
              <w:t>Mean serum albumin (g/</w:t>
            </w:r>
            <w:r w:rsidR="005E7D70" w:rsidRPr="00FE7622">
              <w:rPr>
                <w:rFonts w:eastAsia="Calibri"/>
                <w:color w:val="auto"/>
              </w:rPr>
              <w:t>l</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68986BDE" w14:textId="77777777" w:rsidR="00F026E8" w:rsidRPr="00FE7622" w:rsidRDefault="00F026E8" w:rsidP="00AF19CC">
            <w:pPr>
              <w:pStyle w:val="72TabletextTablesTableFigureBoxstyles"/>
              <w:rPr>
                <w:rFonts w:eastAsia="Calibri"/>
              </w:rPr>
            </w:pPr>
            <w:r w:rsidRPr="00FE7622">
              <w:rPr>
                <w:rFonts w:eastAsia="Calibri"/>
                <w:color w:val="auto"/>
              </w:rPr>
              <w:t>40 (4)</w:t>
            </w:r>
          </w:p>
        </w:tc>
        <w:tc>
          <w:tcPr>
            <w:tcW w:w="0" w:type="auto"/>
            <w:shd w:val="clear" w:color="auto" w:fill="auto"/>
          </w:tcPr>
          <w:p w14:paraId="3A6F09ED" w14:textId="77777777" w:rsidR="00F026E8" w:rsidRPr="00FE7622" w:rsidRDefault="00F026E8" w:rsidP="00AF19CC">
            <w:pPr>
              <w:pStyle w:val="72TabletextTablesTableFigureBoxstyles"/>
              <w:rPr>
                <w:rFonts w:eastAsia="Calibri"/>
                <w:color w:val="auto"/>
              </w:rPr>
            </w:pPr>
            <w:r w:rsidRPr="00FE7622">
              <w:rPr>
                <w:rFonts w:eastAsia="Calibri"/>
                <w:color w:val="auto"/>
              </w:rPr>
              <w:t>40 (4)</w:t>
            </w:r>
          </w:p>
        </w:tc>
      </w:tr>
      <w:tr w:rsidR="00EF0C39" w:rsidRPr="00FE7622" w14:paraId="7289D032" w14:textId="77777777" w:rsidTr="00AF19CC">
        <w:trPr>
          <w:cantSplit/>
        </w:trPr>
        <w:tc>
          <w:tcPr>
            <w:tcW w:w="0" w:type="auto"/>
            <w:shd w:val="clear" w:color="auto" w:fill="auto"/>
          </w:tcPr>
          <w:p w14:paraId="3B0A86DE" w14:textId="77777777" w:rsidR="00F026E8" w:rsidRPr="00FE7622" w:rsidRDefault="00F026E8" w:rsidP="00AF19CC">
            <w:pPr>
              <w:pStyle w:val="72TabletextTablesTableFigureBoxstyles"/>
              <w:rPr>
                <w:rFonts w:eastAsia="Calibri"/>
              </w:rPr>
            </w:pPr>
            <w:r w:rsidRPr="00FE7622">
              <w:rPr>
                <w:rFonts w:eastAsia="Calibri"/>
                <w:color w:val="auto"/>
              </w:rPr>
              <w:t>Mean systolic blood pressure (mmHg) (</w:t>
            </w:r>
            <w:r w:rsidRPr="00842651">
              <w:rPr>
                <w:rFonts w:eastAsia="Calibri"/>
                <w:color w:val="auto"/>
              </w:rPr>
              <w:t>SD</w:t>
            </w:r>
            <w:r w:rsidRPr="00FE7622">
              <w:rPr>
                <w:rFonts w:eastAsia="Calibri"/>
                <w:color w:val="auto"/>
              </w:rPr>
              <w:t>)</w:t>
            </w:r>
          </w:p>
        </w:tc>
        <w:tc>
          <w:tcPr>
            <w:tcW w:w="0" w:type="auto"/>
            <w:shd w:val="clear" w:color="auto" w:fill="auto"/>
          </w:tcPr>
          <w:p w14:paraId="1DE4D8B4" w14:textId="77777777" w:rsidR="00F026E8" w:rsidRPr="00FE7622" w:rsidRDefault="00F026E8" w:rsidP="00AF19CC">
            <w:pPr>
              <w:pStyle w:val="72TabletextTablesTableFigureBoxstyles"/>
              <w:rPr>
                <w:rFonts w:eastAsia="Calibri"/>
              </w:rPr>
            </w:pPr>
            <w:r w:rsidRPr="00FE7622">
              <w:rPr>
                <w:rFonts w:eastAsia="Calibri"/>
                <w:color w:val="auto"/>
              </w:rPr>
              <w:t>145 (20)</w:t>
            </w:r>
          </w:p>
        </w:tc>
        <w:tc>
          <w:tcPr>
            <w:tcW w:w="0" w:type="auto"/>
            <w:shd w:val="clear" w:color="auto" w:fill="auto"/>
          </w:tcPr>
          <w:p w14:paraId="6F5A3400" w14:textId="77777777" w:rsidR="00F026E8" w:rsidRPr="00FE7622" w:rsidRDefault="00F026E8" w:rsidP="00AF19CC">
            <w:pPr>
              <w:pStyle w:val="72TabletextTablesTableFigureBoxstyles"/>
              <w:rPr>
                <w:rFonts w:eastAsia="Calibri"/>
                <w:color w:val="auto"/>
              </w:rPr>
            </w:pPr>
            <w:r w:rsidRPr="00FE7622">
              <w:rPr>
                <w:rFonts w:eastAsia="Calibri"/>
                <w:color w:val="auto"/>
              </w:rPr>
              <w:t>144 (17)</w:t>
            </w:r>
          </w:p>
        </w:tc>
      </w:tr>
      <w:tr w:rsidR="00EF0C39" w:rsidRPr="00FE7622" w14:paraId="22BE5386" w14:textId="77777777" w:rsidTr="00AF19CC">
        <w:trPr>
          <w:cantSplit/>
        </w:trPr>
        <w:tc>
          <w:tcPr>
            <w:tcW w:w="0" w:type="auto"/>
            <w:shd w:val="clear" w:color="auto" w:fill="auto"/>
          </w:tcPr>
          <w:p w14:paraId="2C04F318" w14:textId="77777777" w:rsidR="00F026E8" w:rsidRPr="00FE7622" w:rsidRDefault="00F026E8" w:rsidP="00AF19CC">
            <w:pPr>
              <w:pStyle w:val="72TabletextTablesTableFigureBoxstyles"/>
              <w:rPr>
                <w:rFonts w:eastAsia="Calibri"/>
              </w:rPr>
            </w:pPr>
            <w:r w:rsidRPr="00FE7622">
              <w:rPr>
                <w:rFonts w:eastAsia="Calibri"/>
                <w:color w:val="auto"/>
              </w:rPr>
              <w:t>Mean diastolic blood pressure (mmHg) (</w:t>
            </w:r>
            <w:r w:rsidRPr="00842651">
              <w:rPr>
                <w:rFonts w:eastAsia="Calibri"/>
                <w:color w:val="auto"/>
              </w:rPr>
              <w:t>SD</w:t>
            </w:r>
            <w:r w:rsidRPr="00FE7622">
              <w:rPr>
                <w:rFonts w:eastAsia="Calibri"/>
                <w:color w:val="auto"/>
              </w:rPr>
              <w:t>)</w:t>
            </w:r>
          </w:p>
        </w:tc>
        <w:tc>
          <w:tcPr>
            <w:tcW w:w="0" w:type="auto"/>
            <w:shd w:val="clear" w:color="auto" w:fill="auto"/>
          </w:tcPr>
          <w:p w14:paraId="54EEACF8" w14:textId="77777777" w:rsidR="00F026E8" w:rsidRPr="00FE7622" w:rsidRDefault="00F026E8" w:rsidP="00AF19CC">
            <w:pPr>
              <w:pStyle w:val="72TabletextTablesTableFigureBoxstyles"/>
              <w:rPr>
                <w:rFonts w:eastAsia="Calibri"/>
              </w:rPr>
            </w:pPr>
            <w:r w:rsidRPr="00FE7622">
              <w:rPr>
                <w:rFonts w:eastAsia="Calibri"/>
                <w:color w:val="auto"/>
              </w:rPr>
              <w:t>79 (10)</w:t>
            </w:r>
          </w:p>
        </w:tc>
        <w:tc>
          <w:tcPr>
            <w:tcW w:w="0" w:type="auto"/>
            <w:shd w:val="clear" w:color="auto" w:fill="auto"/>
          </w:tcPr>
          <w:p w14:paraId="636E8A59" w14:textId="77777777" w:rsidR="00F026E8" w:rsidRPr="00FE7622" w:rsidRDefault="00F026E8" w:rsidP="00AF19CC">
            <w:pPr>
              <w:pStyle w:val="72TabletextTablesTableFigureBoxstyles"/>
              <w:rPr>
                <w:rFonts w:eastAsia="Calibri"/>
                <w:color w:val="auto"/>
              </w:rPr>
            </w:pPr>
            <w:r w:rsidRPr="00FE7622">
              <w:rPr>
                <w:rFonts w:eastAsia="Calibri"/>
                <w:color w:val="auto"/>
              </w:rPr>
              <w:t>77 (10)</w:t>
            </w:r>
          </w:p>
        </w:tc>
      </w:tr>
      <w:tr w:rsidR="00EF0C39" w:rsidRPr="00FE7622" w14:paraId="03971D23" w14:textId="77777777" w:rsidTr="00AF19CC">
        <w:trPr>
          <w:cantSplit/>
        </w:trPr>
        <w:tc>
          <w:tcPr>
            <w:tcW w:w="0" w:type="auto"/>
            <w:shd w:val="clear" w:color="auto" w:fill="auto"/>
          </w:tcPr>
          <w:p w14:paraId="7A96F153" w14:textId="77777777" w:rsidR="00F026E8" w:rsidRPr="00FE7622" w:rsidRDefault="00F026E8" w:rsidP="00AF19CC">
            <w:pPr>
              <w:pStyle w:val="72TabletextTablesTableFigureBoxstyles"/>
              <w:rPr>
                <w:rFonts w:eastAsia="Calibri"/>
              </w:rPr>
            </w:pPr>
            <w:r w:rsidRPr="00FE7622">
              <w:rPr>
                <w:rFonts w:eastAsia="Calibri"/>
                <w:color w:val="auto"/>
              </w:rPr>
              <w:t>Mean systolic blood pressure drop (mmHg) (</w:t>
            </w:r>
            <w:r w:rsidRPr="00842651">
              <w:rPr>
                <w:rFonts w:eastAsia="Calibri"/>
                <w:color w:val="auto"/>
              </w:rPr>
              <w:t>SD</w:t>
            </w:r>
            <w:r w:rsidRPr="00FE7622">
              <w:rPr>
                <w:rFonts w:eastAsia="Calibri"/>
                <w:color w:val="auto"/>
              </w:rPr>
              <w:t>)</w:t>
            </w:r>
          </w:p>
        </w:tc>
        <w:tc>
          <w:tcPr>
            <w:tcW w:w="0" w:type="auto"/>
            <w:shd w:val="clear" w:color="auto" w:fill="auto"/>
          </w:tcPr>
          <w:p w14:paraId="0BB4FF75" w14:textId="77777777" w:rsidR="00F026E8" w:rsidRPr="00FE7622" w:rsidRDefault="00F026E8" w:rsidP="00AF19CC">
            <w:pPr>
              <w:pStyle w:val="72TabletextTablesTableFigureBoxstyles"/>
              <w:rPr>
                <w:rFonts w:eastAsia="Calibri"/>
              </w:rPr>
            </w:pPr>
            <w:r w:rsidRPr="00FE7622">
              <w:rPr>
                <w:rFonts w:eastAsia="Calibri"/>
                <w:color w:val="auto"/>
              </w:rPr>
              <w:t>7 (12)</w:t>
            </w:r>
          </w:p>
        </w:tc>
        <w:tc>
          <w:tcPr>
            <w:tcW w:w="0" w:type="auto"/>
            <w:shd w:val="clear" w:color="auto" w:fill="auto"/>
          </w:tcPr>
          <w:p w14:paraId="39B8DA2F" w14:textId="77777777" w:rsidR="00F026E8" w:rsidRPr="00FE7622" w:rsidRDefault="00F026E8" w:rsidP="00AF19CC">
            <w:pPr>
              <w:pStyle w:val="72TabletextTablesTableFigureBoxstyles"/>
              <w:rPr>
                <w:rFonts w:eastAsia="Calibri"/>
                <w:color w:val="auto"/>
              </w:rPr>
            </w:pPr>
            <w:r w:rsidRPr="00FE7622">
              <w:rPr>
                <w:rFonts w:eastAsia="Calibri"/>
                <w:color w:val="auto"/>
              </w:rPr>
              <w:t>10 (12)</w:t>
            </w:r>
          </w:p>
        </w:tc>
      </w:tr>
      <w:tr w:rsidR="00EF0C39" w:rsidRPr="00FE7622" w14:paraId="414BFD5D" w14:textId="77777777" w:rsidTr="00AF19CC">
        <w:trPr>
          <w:cantSplit/>
        </w:trPr>
        <w:tc>
          <w:tcPr>
            <w:tcW w:w="0" w:type="auto"/>
            <w:shd w:val="clear" w:color="auto" w:fill="auto"/>
          </w:tcPr>
          <w:p w14:paraId="574575F2" w14:textId="77777777" w:rsidR="00F026E8" w:rsidRPr="00FE7622" w:rsidRDefault="00F026E8" w:rsidP="00AF19CC">
            <w:pPr>
              <w:pStyle w:val="72TabletextTablesTableFigureBoxstyles"/>
              <w:rPr>
                <w:rFonts w:eastAsia="Calibri"/>
              </w:rPr>
            </w:pPr>
            <w:r w:rsidRPr="00FE7622">
              <w:rPr>
                <w:rFonts w:eastAsia="Calibri"/>
                <w:color w:val="auto"/>
              </w:rPr>
              <w:t>Mean diastolic blood pressure drop (mmHg) (</w:t>
            </w:r>
            <w:r w:rsidRPr="00842651">
              <w:rPr>
                <w:rFonts w:eastAsia="Calibri"/>
                <w:color w:val="auto"/>
              </w:rPr>
              <w:t>SD</w:t>
            </w:r>
            <w:r w:rsidRPr="00FE7622">
              <w:rPr>
                <w:rFonts w:eastAsia="Calibri"/>
                <w:color w:val="auto"/>
              </w:rPr>
              <w:t>)</w:t>
            </w:r>
          </w:p>
        </w:tc>
        <w:tc>
          <w:tcPr>
            <w:tcW w:w="0" w:type="auto"/>
            <w:shd w:val="clear" w:color="auto" w:fill="auto"/>
          </w:tcPr>
          <w:p w14:paraId="1ECAA187" w14:textId="77777777" w:rsidR="00F026E8" w:rsidRPr="00FE7622" w:rsidRDefault="00F026E8" w:rsidP="00AF19CC">
            <w:pPr>
              <w:pStyle w:val="72TabletextTablesTableFigureBoxstyles"/>
              <w:rPr>
                <w:rFonts w:eastAsia="Calibri"/>
              </w:rPr>
            </w:pPr>
            <w:r w:rsidRPr="00FE7622">
              <w:rPr>
                <w:rFonts w:eastAsia="Calibri"/>
                <w:color w:val="auto"/>
              </w:rPr>
              <w:t>0 (7)</w:t>
            </w:r>
          </w:p>
        </w:tc>
        <w:tc>
          <w:tcPr>
            <w:tcW w:w="0" w:type="auto"/>
            <w:shd w:val="clear" w:color="auto" w:fill="auto"/>
          </w:tcPr>
          <w:p w14:paraId="5EA37F00" w14:textId="77777777" w:rsidR="00F026E8" w:rsidRPr="00FE7622" w:rsidRDefault="00F026E8" w:rsidP="00AF19CC">
            <w:pPr>
              <w:pStyle w:val="72TabletextTablesTableFigureBoxstyles"/>
              <w:rPr>
                <w:rFonts w:eastAsia="Calibri"/>
                <w:color w:val="auto"/>
              </w:rPr>
            </w:pPr>
            <w:r w:rsidRPr="00FE7622">
              <w:rPr>
                <w:rFonts w:eastAsia="Calibri"/>
                <w:color w:val="auto"/>
              </w:rPr>
              <w:t>2 (7)</w:t>
            </w:r>
          </w:p>
        </w:tc>
      </w:tr>
      <w:bookmarkEnd w:id="84"/>
      <w:tr w:rsidR="00EF0C39" w:rsidRPr="00FE7622" w14:paraId="3673783A" w14:textId="77777777" w:rsidTr="00AF19CC">
        <w:trPr>
          <w:cantSplit/>
        </w:trPr>
        <w:tc>
          <w:tcPr>
            <w:tcW w:w="0" w:type="auto"/>
            <w:shd w:val="clear" w:color="auto" w:fill="auto"/>
          </w:tcPr>
          <w:p w14:paraId="0A50C065" w14:textId="77777777"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SPPB</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6F1AA52" w14:textId="77777777" w:rsidR="00F026E8" w:rsidRPr="00FE7622" w:rsidRDefault="00F026E8" w:rsidP="00AF19CC">
            <w:pPr>
              <w:pStyle w:val="72TabletextTablesTableFigureBoxstyles"/>
              <w:rPr>
                <w:rFonts w:eastAsia="Calibri"/>
              </w:rPr>
            </w:pPr>
            <w:r w:rsidRPr="00FE7622">
              <w:rPr>
                <w:rFonts w:eastAsia="Calibri"/>
                <w:color w:val="auto"/>
              </w:rPr>
              <w:t>7.1 (2.3)</w:t>
            </w:r>
          </w:p>
        </w:tc>
        <w:tc>
          <w:tcPr>
            <w:tcW w:w="0" w:type="auto"/>
            <w:shd w:val="clear" w:color="auto" w:fill="auto"/>
          </w:tcPr>
          <w:p w14:paraId="101FFE82" w14:textId="77777777" w:rsidR="00F026E8" w:rsidRPr="00FE7622" w:rsidRDefault="00F026E8" w:rsidP="00AF19CC">
            <w:pPr>
              <w:pStyle w:val="72TabletextTablesTableFigureBoxstyles"/>
              <w:rPr>
                <w:rFonts w:eastAsia="Calibri"/>
                <w:color w:val="auto"/>
              </w:rPr>
            </w:pPr>
            <w:r w:rsidRPr="00FE7622">
              <w:rPr>
                <w:rFonts w:eastAsia="Calibri"/>
                <w:color w:val="auto"/>
              </w:rPr>
              <w:t>6.9 (2.4)</w:t>
            </w:r>
          </w:p>
        </w:tc>
      </w:tr>
      <w:tr w:rsidR="00E106F5" w:rsidRPr="00FE7622" w14:paraId="53C0A39A" w14:textId="77777777" w:rsidTr="00AF19CC">
        <w:trPr>
          <w:cantSplit/>
        </w:trPr>
        <w:tc>
          <w:tcPr>
            <w:tcW w:w="0" w:type="auto"/>
            <w:gridSpan w:val="3"/>
            <w:shd w:val="clear" w:color="auto" w:fill="auto"/>
          </w:tcPr>
          <w:p w14:paraId="2F4DB90B" w14:textId="64AD3492" w:rsidR="00E106F5" w:rsidRPr="00FE7622" w:rsidRDefault="00E106F5" w:rsidP="00AF19CC">
            <w:pPr>
              <w:pStyle w:val="72TabletextTablesTableFigureBoxstyles"/>
              <w:rPr>
                <w:rFonts w:eastAsia="Calibri"/>
                <w:color w:val="auto"/>
              </w:rPr>
            </w:pPr>
            <w:r w:rsidRPr="00FE7622">
              <w:rPr>
                <w:rFonts w:eastAsia="Calibri"/>
                <w:color w:val="auto"/>
              </w:rPr>
              <w:t xml:space="preserve">Mean appendicular muscle mass by </w:t>
            </w:r>
            <w:r w:rsidRPr="00842651">
              <w:rPr>
                <w:rFonts w:eastAsia="Calibri"/>
                <w:color w:val="auto"/>
              </w:rPr>
              <w:t>DXA</w:t>
            </w:r>
            <w:r w:rsidRPr="00FE7622">
              <w:rPr>
                <w:rFonts w:eastAsia="Calibri"/>
                <w:color w:val="auto"/>
              </w:rPr>
              <w:t xml:space="preserve"> (kg/m</w:t>
            </w:r>
            <w:r w:rsidR="00E038BF" w:rsidRPr="00FE7622">
              <w:rPr>
                <w:rFonts w:eastAsia="Calibri"/>
                <w:color w:val="auto"/>
                <w:vertAlign w:val="superscript"/>
              </w:rPr>
              <w:t>2</w:t>
            </w:r>
            <w:r w:rsidRPr="00FE7622">
              <w:rPr>
                <w:rFonts w:eastAsia="Calibri"/>
                <w:color w:val="auto"/>
              </w:rPr>
              <w:t>) (</w:t>
            </w:r>
            <w:r w:rsidRPr="00842651">
              <w:rPr>
                <w:rFonts w:eastAsia="Calibri"/>
                <w:color w:val="auto"/>
              </w:rPr>
              <w:t>SD</w:t>
            </w:r>
            <w:r w:rsidRPr="00FE7622">
              <w:rPr>
                <w:rFonts w:eastAsia="Calibri"/>
                <w:color w:val="auto"/>
              </w:rPr>
              <w:t>)</w:t>
            </w:r>
          </w:p>
        </w:tc>
      </w:tr>
      <w:tr w:rsidR="00EF0C39" w:rsidRPr="00FE7622" w14:paraId="6111783F" w14:textId="77777777" w:rsidTr="00AF19CC">
        <w:trPr>
          <w:cantSplit/>
        </w:trPr>
        <w:tc>
          <w:tcPr>
            <w:tcW w:w="0" w:type="auto"/>
            <w:shd w:val="clear" w:color="auto" w:fill="auto"/>
          </w:tcPr>
          <w:p w14:paraId="28DD8311" w14:textId="21FF12A6" w:rsidR="00E106F5" w:rsidRPr="00FE7622" w:rsidRDefault="00F309CE" w:rsidP="00AF19CC">
            <w:pPr>
              <w:pStyle w:val="72TabletextTablesTableFigureBoxstyles"/>
              <w:rPr>
                <w:rFonts w:eastAsia="Calibri"/>
              </w:rPr>
            </w:pPr>
            <w:r w:rsidRPr="00FE7622">
              <w:rPr>
                <w:rFonts w:eastAsia="Calibri"/>
                <w:color w:val="auto"/>
              </w:rPr>
              <w:tab/>
            </w:r>
            <w:r w:rsidR="00E106F5" w:rsidRPr="00FE7622">
              <w:rPr>
                <w:rFonts w:eastAsia="Calibri"/>
                <w:color w:val="auto"/>
              </w:rPr>
              <w:t>Men</w:t>
            </w:r>
          </w:p>
        </w:tc>
        <w:tc>
          <w:tcPr>
            <w:tcW w:w="0" w:type="auto"/>
            <w:shd w:val="clear" w:color="auto" w:fill="auto"/>
          </w:tcPr>
          <w:p w14:paraId="54F9DCA5" w14:textId="77777777" w:rsidR="00E106F5" w:rsidRPr="00FE7622" w:rsidRDefault="00E106F5" w:rsidP="00AF19CC">
            <w:pPr>
              <w:pStyle w:val="72TabletextTablesTableFigureBoxstyles"/>
              <w:rPr>
                <w:rFonts w:eastAsia="Calibri"/>
              </w:rPr>
            </w:pPr>
            <w:r w:rsidRPr="00FE7622">
              <w:rPr>
                <w:rFonts w:eastAsia="Calibri"/>
                <w:color w:val="auto"/>
              </w:rPr>
              <w:t>7.26 (0.75)</w:t>
            </w:r>
          </w:p>
        </w:tc>
        <w:tc>
          <w:tcPr>
            <w:tcW w:w="0" w:type="auto"/>
            <w:shd w:val="clear" w:color="auto" w:fill="auto"/>
          </w:tcPr>
          <w:p w14:paraId="10928BFF" w14:textId="77777777" w:rsidR="00E106F5" w:rsidRPr="00FE7622" w:rsidRDefault="00E106F5" w:rsidP="00AF19CC">
            <w:pPr>
              <w:pStyle w:val="72TabletextTablesTableFigureBoxstyles"/>
              <w:rPr>
                <w:rFonts w:eastAsia="Calibri"/>
                <w:color w:val="auto"/>
              </w:rPr>
            </w:pPr>
            <w:r w:rsidRPr="00FE7622">
              <w:rPr>
                <w:rFonts w:eastAsia="Calibri"/>
                <w:color w:val="auto"/>
              </w:rPr>
              <w:t>7.21 (1.61)</w:t>
            </w:r>
          </w:p>
        </w:tc>
      </w:tr>
      <w:tr w:rsidR="00EF0C39" w:rsidRPr="00FE7622" w14:paraId="6158C5FE" w14:textId="77777777" w:rsidTr="00AF19CC">
        <w:trPr>
          <w:cantSplit/>
        </w:trPr>
        <w:tc>
          <w:tcPr>
            <w:tcW w:w="0" w:type="auto"/>
            <w:shd w:val="clear" w:color="auto" w:fill="auto"/>
          </w:tcPr>
          <w:p w14:paraId="684D0B8E" w14:textId="36979760" w:rsidR="00E106F5" w:rsidRPr="00FE7622" w:rsidRDefault="00E106F5"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6EC13A33" w14:textId="77777777" w:rsidR="00E106F5" w:rsidRPr="00FE7622" w:rsidRDefault="00E106F5" w:rsidP="00AF19CC">
            <w:pPr>
              <w:pStyle w:val="72TabletextTablesTableFigureBoxstyles"/>
              <w:rPr>
                <w:rFonts w:eastAsia="Calibri"/>
              </w:rPr>
            </w:pPr>
            <w:r w:rsidRPr="00FE7622">
              <w:rPr>
                <w:rFonts w:eastAsia="Calibri"/>
                <w:color w:val="auto"/>
              </w:rPr>
              <w:t>5.77 (0.68)</w:t>
            </w:r>
          </w:p>
        </w:tc>
        <w:tc>
          <w:tcPr>
            <w:tcW w:w="0" w:type="auto"/>
            <w:shd w:val="clear" w:color="auto" w:fill="auto"/>
          </w:tcPr>
          <w:p w14:paraId="05E29AC9" w14:textId="77777777" w:rsidR="00E106F5" w:rsidRPr="00FE7622" w:rsidRDefault="00E106F5" w:rsidP="00AF19CC">
            <w:pPr>
              <w:pStyle w:val="72TabletextTablesTableFigureBoxstyles"/>
              <w:rPr>
                <w:rFonts w:eastAsia="Calibri"/>
                <w:color w:val="auto"/>
              </w:rPr>
            </w:pPr>
            <w:r w:rsidRPr="00FE7622">
              <w:rPr>
                <w:rFonts w:eastAsia="Calibri"/>
                <w:color w:val="auto"/>
              </w:rPr>
              <w:t>5.69 (0.66)</w:t>
            </w:r>
          </w:p>
        </w:tc>
      </w:tr>
      <w:tr w:rsidR="00E106F5" w:rsidRPr="00FE7622" w14:paraId="00AB2B9B" w14:textId="77777777" w:rsidTr="00AF19CC">
        <w:trPr>
          <w:cantSplit/>
        </w:trPr>
        <w:tc>
          <w:tcPr>
            <w:tcW w:w="0" w:type="auto"/>
            <w:gridSpan w:val="3"/>
            <w:shd w:val="clear" w:color="auto" w:fill="auto"/>
          </w:tcPr>
          <w:p w14:paraId="0578A6FF" w14:textId="1753788E" w:rsidR="00E106F5" w:rsidRPr="00FE7622" w:rsidRDefault="00E106F5" w:rsidP="00AF19CC">
            <w:pPr>
              <w:pStyle w:val="72TabletextTablesTableFigureBoxstyles"/>
              <w:rPr>
                <w:rFonts w:eastAsia="Calibri"/>
                <w:color w:val="auto"/>
              </w:rPr>
            </w:pPr>
            <w:r w:rsidRPr="00FE7622">
              <w:rPr>
                <w:rFonts w:eastAsia="Calibri"/>
                <w:color w:val="auto"/>
              </w:rPr>
              <w:t>Mean maximal handgrip strength (kg) (</w:t>
            </w:r>
            <w:r w:rsidRPr="00842651">
              <w:rPr>
                <w:rFonts w:eastAsia="Calibri"/>
                <w:color w:val="auto"/>
              </w:rPr>
              <w:t>SD</w:t>
            </w:r>
            <w:r w:rsidRPr="00FE7622">
              <w:rPr>
                <w:rFonts w:eastAsia="Calibri"/>
                <w:color w:val="auto"/>
              </w:rPr>
              <w:t>)</w:t>
            </w:r>
          </w:p>
        </w:tc>
      </w:tr>
      <w:tr w:rsidR="00EF0C39" w:rsidRPr="00FE7622" w14:paraId="2226682D" w14:textId="77777777" w:rsidTr="00AF19CC">
        <w:trPr>
          <w:cantSplit/>
        </w:trPr>
        <w:tc>
          <w:tcPr>
            <w:tcW w:w="0" w:type="auto"/>
            <w:shd w:val="clear" w:color="auto" w:fill="auto"/>
          </w:tcPr>
          <w:p w14:paraId="00D9DD68" w14:textId="7097110B" w:rsidR="00E106F5" w:rsidRPr="00FE7622" w:rsidRDefault="00E106F5" w:rsidP="00AF19CC">
            <w:pPr>
              <w:pStyle w:val="72TabletextTablesTableFigureBoxstyles"/>
              <w:rPr>
                <w:rFonts w:eastAsia="Calibri"/>
              </w:rPr>
            </w:pPr>
            <w:r w:rsidRPr="00FE7622">
              <w:rPr>
                <w:rFonts w:eastAsia="Calibri"/>
                <w:color w:val="auto"/>
              </w:rPr>
              <w:tab/>
              <w:t>Men</w:t>
            </w:r>
          </w:p>
        </w:tc>
        <w:tc>
          <w:tcPr>
            <w:tcW w:w="0" w:type="auto"/>
            <w:shd w:val="clear" w:color="auto" w:fill="auto"/>
          </w:tcPr>
          <w:p w14:paraId="410F8E23" w14:textId="77777777" w:rsidR="00E106F5" w:rsidRPr="00FE7622" w:rsidRDefault="00E106F5" w:rsidP="00AF19CC">
            <w:pPr>
              <w:pStyle w:val="72TabletextTablesTableFigureBoxstyles"/>
              <w:rPr>
                <w:rFonts w:eastAsia="Calibri"/>
              </w:rPr>
            </w:pPr>
            <w:r w:rsidRPr="00FE7622">
              <w:rPr>
                <w:rFonts w:eastAsia="Calibri"/>
                <w:color w:val="auto"/>
              </w:rPr>
              <w:t>23.0 (6.3)</w:t>
            </w:r>
          </w:p>
        </w:tc>
        <w:tc>
          <w:tcPr>
            <w:tcW w:w="0" w:type="auto"/>
            <w:shd w:val="clear" w:color="auto" w:fill="auto"/>
          </w:tcPr>
          <w:p w14:paraId="0CCCA6C4" w14:textId="77777777" w:rsidR="00E106F5" w:rsidRPr="00FE7622" w:rsidRDefault="00E106F5" w:rsidP="00AF19CC">
            <w:pPr>
              <w:pStyle w:val="72TabletextTablesTableFigureBoxstyles"/>
              <w:rPr>
                <w:rFonts w:eastAsia="Calibri"/>
                <w:color w:val="auto"/>
              </w:rPr>
            </w:pPr>
            <w:r w:rsidRPr="00FE7622">
              <w:rPr>
                <w:rFonts w:eastAsia="Calibri"/>
                <w:color w:val="auto"/>
              </w:rPr>
              <w:t>23.2 (5.6)</w:t>
            </w:r>
          </w:p>
        </w:tc>
      </w:tr>
      <w:tr w:rsidR="00EF0C39" w:rsidRPr="00FE7622" w14:paraId="561960BC" w14:textId="77777777" w:rsidTr="00AF19CC">
        <w:trPr>
          <w:cantSplit/>
        </w:trPr>
        <w:tc>
          <w:tcPr>
            <w:tcW w:w="0" w:type="auto"/>
            <w:shd w:val="clear" w:color="auto" w:fill="auto"/>
          </w:tcPr>
          <w:p w14:paraId="16AA488F" w14:textId="6E75C4A9" w:rsidR="00E106F5" w:rsidRPr="00FE7622" w:rsidRDefault="00E106F5"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1DAE6347" w14:textId="77777777" w:rsidR="00E106F5" w:rsidRPr="00FE7622" w:rsidRDefault="00E106F5" w:rsidP="00AF19CC">
            <w:pPr>
              <w:pStyle w:val="72TabletextTablesTableFigureBoxstyles"/>
              <w:rPr>
                <w:rFonts w:eastAsia="Calibri"/>
              </w:rPr>
            </w:pPr>
            <w:r w:rsidRPr="00FE7622">
              <w:rPr>
                <w:rFonts w:eastAsia="Calibri"/>
                <w:color w:val="auto"/>
              </w:rPr>
              <w:t>14.3 (3.9)</w:t>
            </w:r>
          </w:p>
        </w:tc>
        <w:tc>
          <w:tcPr>
            <w:tcW w:w="0" w:type="auto"/>
            <w:shd w:val="clear" w:color="auto" w:fill="auto"/>
          </w:tcPr>
          <w:p w14:paraId="46235FA7" w14:textId="77777777" w:rsidR="00E106F5" w:rsidRPr="00FE7622" w:rsidRDefault="00E106F5" w:rsidP="00AF19CC">
            <w:pPr>
              <w:pStyle w:val="72TabletextTablesTableFigureBoxstyles"/>
              <w:rPr>
                <w:rFonts w:eastAsia="Calibri"/>
                <w:color w:val="auto"/>
              </w:rPr>
            </w:pPr>
            <w:r w:rsidRPr="00FE7622">
              <w:rPr>
                <w:rFonts w:eastAsia="Calibri"/>
                <w:color w:val="auto"/>
              </w:rPr>
              <w:t>13.1 (3.8)</w:t>
            </w:r>
          </w:p>
        </w:tc>
      </w:tr>
      <w:tr w:rsidR="00E106F5" w:rsidRPr="00FE7622" w14:paraId="6645B6DE" w14:textId="77777777" w:rsidTr="00AF19CC">
        <w:trPr>
          <w:cantSplit/>
        </w:trPr>
        <w:tc>
          <w:tcPr>
            <w:tcW w:w="0" w:type="auto"/>
            <w:gridSpan w:val="3"/>
            <w:shd w:val="clear" w:color="auto" w:fill="auto"/>
          </w:tcPr>
          <w:p w14:paraId="7BA439AE" w14:textId="728AE559" w:rsidR="00E106F5" w:rsidRPr="00FE7622" w:rsidRDefault="00E106F5" w:rsidP="00AF19CC">
            <w:pPr>
              <w:pStyle w:val="72TabletextTablesTableFigureBoxstyles"/>
              <w:rPr>
                <w:rFonts w:eastAsia="Calibri"/>
                <w:color w:val="auto"/>
              </w:rPr>
            </w:pPr>
            <w:r w:rsidRPr="00FE7622">
              <w:rPr>
                <w:rFonts w:eastAsia="Calibri"/>
                <w:color w:val="auto"/>
              </w:rPr>
              <w:t>Mean maximal quadriceps strength (kg) (</w:t>
            </w:r>
            <w:r w:rsidRPr="00842651">
              <w:rPr>
                <w:rFonts w:eastAsia="Calibri"/>
                <w:color w:val="auto"/>
              </w:rPr>
              <w:t>SD</w:t>
            </w:r>
            <w:r w:rsidRPr="00FE7622">
              <w:rPr>
                <w:rFonts w:eastAsia="Calibri"/>
                <w:color w:val="auto"/>
              </w:rPr>
              <w:t>)</w:t>
            </w:r>
          </w:p>
        </w:tc>
      </w:tr>
      <w:tr w:rsidR="00EF0C39" w:rsidRPr="00FE7622" w14:paraId="6584E0F7" w14:textId="77777777" w:rsidTr="00AF19CC">
        <w:trPr>
          <w:cantSplit/>
        </w:trPr>
        <w:tc>
          <w:tcPr>
            <w:tcW w:w="0" w:type="auto"/>
            <w:shd w:val="clear" w:color="auto" w:fill="auto"/>
          </w:tcPr>
          <w:p w14:paraId="060B59FE" w14:textId="3706765D" w:rsidR="00E106F5" w:rsidRPr="00FE7622" w:rsidRDefault="00E106F5" w:rsidP="00AF19CC">
            <w:pPr>
              <w:pStyle w:val="72TabletextTablesTableFigureBoxstyles"/>
              <w:rPr>
                <w:rFonts w:eastAsia="Calibri"/>
              </w:rPr>
            </w:pPr>
            <w:r w:rsidRPr="00FE7622">
              <w:rPr>
                <w:rFonts w:eastAsia="Calibri"/>
                <w:color w:val="auto"/>
              </w:rPr>
              <w:tab/>
              <w:t>Men</w:t>
            </w:r>
          </w:p>
        </w:tc>
        <w:tc>
          <w:tcPr>
            <w:tcW w:w="0" w:type="auto"/>
            <w:shd w:val="clear" w:color="auto" w:fill="auto"/>
          </w:tcPr>
          <w:p w14:paraId="7C8825A2" w14:textId="77777777" w:rsidR="00E106F5" w:rsidRPr="00FE7622" w:rsidRDefault="00E106F5" w:rsidP="00AF19CC">
            <w:pPr>
              <w:pStyle w:val="72TabletextTablesTableFigureBoxstyles"/>
              <w:rPr>
                <w:rFonts w:eastAsia="Calibri"/>
              </w:rPr>
            </w:pPr>
            <w:r w:rsidRPr="00FE7622">
              <w:rPr>
                <w:rFonts w:eastAsia="Calibri"/>
                <w:color w:val="auto"/>
              </w:rPr>
              <w:t>15.2 (6.9)</w:t>
            </w:r>
          </w:p>
        </w:tc>
        <w:tc>
          <w:tcPr>
            <w:tcW w:w="0" w:type="auto"/>
            <w:shd w:val="clear" w:color="auto" w:fill="auto"/>
          </w:tcPr>
          <w:p w14:paraId="0E18B92E" w14:textId="77777777" w:rsidR="00E106F5" w:rsidRPr="00FE7622" w:rsidRDefault="00E106F5" w:rsidP="00AF19CC">
            <w:pPr>
              <w:pStyle w:val="72TabletextTablesTableFigureBoxstyles"/>
              <w:rPr>
                <w:rFonts w:eastAsia="Calibri"/>
                <w:color w:val="auto"/>
              </w:rPr>
            </w:pPr>
            <w:r w:rsidRPr="00FE7622">
              <w:rPr>
                <w:rFonts w:eastAsia="Calibri"/>
                <w:color w:val="auto"/>
              </w:rPr>
              <w:t>17.2 (7.4)</w:t>
            </w:r>
          </w:p>
        </w:tc>
      </w:tr>
      <w:tr w:rsidR="00EF0C39" w:rsidRPr="00FE7622" w14:paraId="301229BE" w14:textId="77777777" w:rsidTr="00AF19CC">
        <w:trPr>
          <w:cantSplit/>
        </w:trPr>
        <w:tc>
          <w:tcPr>
            <w:tcW w:w="0" w:type="auto"/>
            <w:shd w:val="clear" w:color="auto" w:fill="auto"/>
          </w:tcPr>
          <w:p w14:paraId="56034AB2" w14:textId="0DF7A814" w:rsidR="00E106F5" w:rsidRPr="00FE7622" w:rsidRDefault="00E106F5"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57557311" w14:textId="77777777" w:rsidR="00E106F5" w:rsidRPr="00FE7622" w:rsidRDefault="00E106F5" w:rsidP="00AF19CC">
            <w:pPr>
              <w:pStyle w:val="72TabletextTablesTableFigureBoxstyles"/>
              <w:rPr>
                <w:rFonts w:eastAsia="Calibri"/>
              </w:rPr>
            </w:pPr>
            <w:r w:rsidRPr="00FE7622">
              <w:rPr>
                <w:rFonts w:eastAsia="Calibri"/>
                <w:color w:val="auto"/>
              </w:rPr>
              <w:t>10.5 (5.1)</w:t>
            </w:r>
          </w:p>
        </w:tc>
        <w:tc>
          <w:tcPr>
            <w:tcW w:w="0" w:type="auto"/>
            <w:shd w:val="clear" w:color="auto" w:fill="auto"/>
          </w:tcPr>
          <w:p w14:paraId="042C3C4E" w14:textId="77777777" w:rsidR="00E106F5" w:rsidRPr="00FE7622" w:rsidRDefault="00E106F5" w:rsidP="00AF19CC">
            <w:pPr>
              <w:pStyle w:val="72TabletextTablesTableFigureBoxstyles"/>
              <w:rPr>
                <w:rFonts w:eastAsia="Calibri"/>
                <w:color w:val="auto"/>
              </w:rPr>
            </w:pPr>
            <w:r w:rsidRPr="00FE7622">
              <w:rPr>
                <w:rFonts w:eastAsia="Calibri"/>
                <w:color w:val="auto"/>
              </w:rPr>
              <w:t>10.6 (4.7)</w:t>
            </w:r>
          </w:p>
        </w:tc>
      </w:tr>
      <w:tr w:rsidR="00EF0C39" w:rsidRPr="00FE7622" w14:paraId="7985E29E" w14:textId="77777777" w:rsidTr="00AF19CC">
        <w:trPr>
          <w:cantSplit/>
        </w:trPr>
        <w:tc>
          <w:tcPr>
            <w:tcW w:w="0" w:type="auto"/>
            <w:shd w:val="clear" w:color="auto" w:fill="auto"/>
          </w:tcPr>
          <w:p w14:paraId="43D83AB6" w14:textId="35D7E600" w:rsidR="00F026E8" w:rsidRPr="00FE7622" w:rsidRDefault="00F026E8" w:rsidP="00AF19CC">
            <w:pPr>
              <w:pStyle w:val="72TabletextTablesTableFigureBoxstyles"/>
              <w:rPr>
                <w:rFonts w:eastAsia="Calibri"/>
              </w:rPr>
            </w:pPr>
            <w:r w:rsidRPr="00FE7622">
              <w:rPr>
                <w:rFonts w:eastAsia="Calibri"/>
                <w:color w:val="auto"/>
              </w:rPr>
              <w:t xml:space="preserve">Mean </w:t>
            </w:r>
            <w:r w:rsidR="005E7D70" w:rsidRPr="00FE7622">
              <w:rPr>
                <w:rFonts w:eastAsia="Calibri"/>
                <w:color w:val="auto"/>
              </w:rPr>
              <w:t>6</w:t>
            </w:r>
            <w:r w:rsidRPr="00FE7622">
              <w:rPr>
                <w:rFonts w:eastAsia="Calibri"/>
                <w:color w:val="auto"/>
              </w:rPr>
              <w:t>-minute walk distance (m) (</w:t>
            </w:r>
            <w:r w:rsidRPr="00842651">
              <w:rPr>
                <w:rFonts w:eastAsia="Calibri"/>
                <w:color w:val="auto"/>
              </w:rPr>
              <w:t>SD</w:t>
            </w:r>
            <w:r w:rsidRPr="00FE7622">
              <w:rPr>
                <w:rFonts w:eastAsia="Calibri"/>
                <w:color w:val="auto"/>
              </w:rPr>
              <w:t>)</w:t>
            </w:r>
          </w:p>
        </w:tc>
        <w:tc>
          <w:tcPr>
            <w:tcW w:w="0" w:type="auto"/>
            <w:shd w:val="clear" w:color="auto" w:fill="auto"/>
          </w:tcPr>
          <w:p w14:paraId="5951260B" w14:textId="77777777" w:rsidR="00F026E8" w:rsidRPr="00FE7622" w:rsidRDefault="00F026E8" w:rsidP="00AF19CC">
            <w:pPr>
              <w:pStyle w:val="72TabletextTablesTableFigureBoxstyles"/>
              <w:rPr>
                <w:rFonts w:eastAsia="Calibri"/>
              </w:rPr>
            </w:pPr>
            <w:r w:rsidRPr="00FE7622">
              <w:rPr>
                <w:rFonts w:eastAsia="Calibri"/>
                <w:color w:val="auto"/>
              </w:rPr>
              <w:t>298 (109)</w:t>
            </w:r>
          </w:p>
        </w:tc>
        <w:tc>
          <w:tcPr>
            <w:tcW w:w="0" w:type="auto"/>
            <w:shd w:val="clear" w:color="auto" w:fill="auto"/>
          </w:tcPr>
          <w:p w14:paraId="192D4A3E" w14:textId="77777777" w:rsidR="00F026E8" w:rsidRPr="00FE7622" w:rsidRDefault="00F026E8" w:rsidP="00AF19CC">
            <w:pPr>
              <w:pStyle w:val="72TabletextTablesTableFigureBoxstyles"/>
              <w:rPr>
                <w:rFonts w:eastAsia="Calibri"/>
                <w:color w:val="auto"/>
              </w:rPr>
            </w:pPr>
            <w:r w:rsidRPr="00FE7622">
              <w:rPr>
                <w:rFonts w:eastAsia="Calibri"/>
                <w:color w:val="auto"/>
              </w:rPr>
              <w:t>313 (111)</w:t>
            </w:r>
          </w:p>
        </w:tc>
      </w:tr>
      <w:tr w:rsidR="00EF0C39" w:rsidRPr="00FE7622" w14:paraId="0A040A82" w14:textId="77777777" w:rsidTr="00AF19CC">
        <w:trPr>
          <w:cantSplit/>
        </w:trPr>
        <w:tc>
          <w:tcPr>
            <w:tcW w:w="0" w:type="auto"/>
            <w:shd w:val="clear" w:color="auto" w:fill="auto"/>
          </w:tcPr>
          <w:p w14:paraId="2053CD26" w14:textId="5A955D15" w:rsidR="00F026E8" w:rsidRPr="00FE7622" w:rsidRDefault="00F026E8" w:rsidP="00AF19CC">
            <w:pPr>
              <w:pStyle w:val="72TabletextTablesTableFigureBoxstyles"/>
              <w:rPr>
                <w:rFonts w:eastAsia="Calibri"/>
              </w:rPr>
            </w:pPr>
            <w:r w:rsidRPr="00FE7622">
              <w:rPr>
                <w:rFonts w:eastAsia="Calibri"/>
                <w:color w:val="auto"/>
              </w:rPr>
              <w:t>Mean 4</w:t>
            </w:r>
            <w:r w:rsidR="005E7D70" w:rsidRPr="00FE7622">
              <w:rPr>
                <w:rFonts w:eastAsia="Calibri"/>
                <w:color w:val="auto"/>
              </w:rPr>
              <w:t>-</w:t>
            </w:r>
            <w:r w:rsidRPr="00FE7622">
              <w:rPr>
                <w:rFonts w:eastAsia="Calibri"/>
                <w:color w:val="auto"/>
              </w:rPr>
              <w:t>metre walk speed (m/s</w:t>
            </w:r>
            <w:r w:rsidR="00F63825" w:rsidRPr="00FE7622">
              <w:rPr>
                <w:rFonts w:eastAsia="Calibri"/>
                <w:color w:val="auto"/>
              </w:rPr>
              <w:t>econd</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49F1E71F" w14:textId="77777777" w:rsidR="00F026E8" w:rsidRPr="00FE7622" w:rsidRDefault="00F026E8" w:rsidP="00AF19CC">
            <w:pPr>
              <w:pStyle w:val="72TabletextTablesTableFigureBoxstyles"/>
              <w:rPr>
                <w:rFonts w:eastAsia="Calibri"/>
              </w:rPr>
            </w:pPr>
            <w:r w:rsidRPr="00FE7622">
              <w:rPr>
                <w:rFonts w:eastAsia="Calibri"/>
                <w:color w:val="auto"/>
              </w:rPr>
              <w:t>0.73 (0.21)</w:t>
            </w:r>
          </w:p>
        </w:tc>
        <w:tc>
          <w:tcPr>
            <w:tcW w:w="0" w:type="auto"/>
            <w:shd w:val="clear" w:color="auto" w:fill="auto"/>
          </w:tcPr>
          <w:p w14:paraId="603C7291" w14:textId="77777777" w:rsidR="00F026E8" w:rsidRPr="00FE7622" w:rsidRDefault="00F026E8" w:rsidP="00AF19CC">
            <w:pPr>
              <w:pStyle w:val="72TabletextTablesTableFigureBoxstyles"/>
              <w:rPr>
                <w:rFonts w:eastAsia="Calibri"/>
                <w:color w:val="auto"/>
              </w:rPr>
            </w:pPr>
            <w:r w:rsidRPr="00FE7622">
              <w:rPr>
                <w:rFonts w:eastAsia="Calibri"/>
                <w:color w:val="auto"/>
              </w:rPr>
              <w:t>0.76 (0.25)</w:t>
            </w:r>
          </w:p>
        </w:tc>
      </w:tr>
      <w:tr w:rsidR="00EF0C39" w:rsidRPr="00FE7622" w14:paraId="0004CF82" w14:textId="77777777" w:rsidTr="00AF19CC">
        <w:trPr>
          <w:cantSplit/>
        </w:trPr>
        <w:tc>
          <w:tcPr>
            <w:tcW w:w="0" w:type="auto"/>
            <w:shd w:val="clear" w:color="auto" w:fill="auto"/>
          </w:tcPr>
          <w:p w14:paraId="5813CAEF" w14:textId="31FD74B6" w:rsidR="00F026E8" w:rsidRPr="00FE7622" w:rsidRDefault="00F026E8" w:rsidP="00AF19CC">
            <w:pPr>
              <w:pStyle w:val="72TabletextTablesTableFigureBoxstyles"/>
              <w:rPr>
                <w:rFonts w:eastAsia="Calibri"/>
              </w:rPr>
            </w:pPr>
            <w:r w:rsidRPr="00FE7622">
              <w:rPr>
                <w:rFonts w:eastAsia="Calibri"/>
                <w:color w:val="auto"/>
              </w:rPr>
              <w:t>Median chair rise time (s</w:t>
            </w:r>
            <w:r w:rsidR="00F63825" w:rsidRPr="00FE7622">
              <w:rPr>
                <w:rFonts w:eastAsia="Calibri"/>
                <w:color w:val="auto"/>
              </w:rPr>
              <w:t>econds</w:t>
            </w:r>
            <w:r w:rsidRPr="00FE7622">
              <w:rPr>
                <w:rFonts w:eastAsia="Calibri"/>
                <w:color w:val="auto"/>
              </w:rPr>
              <w:t xml:space="preserve">) </w:t>
            </w:r>
            <w:r w:rsidR="00046FEA" w:rsidRPr="00FE7622">
              <w:rPr>
                <w:rFonts w:eastAsia="Calibri"/>
                <w:color w:val="auto"/>
              </w:rPr>
              <w:t>(</w:t>
            </w:r>
            <w:r w:rsidRPr="00842651">
              <w:rPr>
                <w:rFonts w:eastAsia="Calibri"/>
                <w:color w:val="auto"/>
              </w:rPr>
              <w:t>IQR</w:t>
            </w:r>
            <w:r w:rsidR="00046FEA" w:rsidRPr="00FE7622">
              <w:rPr>
                <w:rFonts w:eastAsia="Calibri"/>
                <w:color w:val="auto"/>
              </w:rPr>
              <w:t>)</w:t>
            </w:r>
          </w:p>
        </w:tc>
        <w:tc>
          <w:tcPr>
            <w:tcW w:w="0" w:type="auto"/>
            <w:shd w:val="clear" w:color="auto" w:fill="auto"/>
          </w:tcPr>
          <w:p w14:paraId="0A5D0506" w14:textId="04ECAA6E" w:rsidR="00F026E8" w:rsidRPr="00FE7622" w:rsidRDefault="00F026E8" w:rsidP="00AF19CC">
            <w:pPr>
              <w:pStyle w:val="72TabletextTablesTableFigureBoxstyles"/>
              <w:rPr>
                <w:rFonts w:eastAsia="Calibri"/>
              </w:rPr>
            </w:pPr>
            <w:r w:rsidRPr="00FE7622">
              <w:rPr>
                <w:rFonts w:eastAsia="Calibri"/>
                <w:color w:val="auto"/>
              </w:rPr>
              <w:t xml:space="preserve">22.0 </w:t>
            </w:r>
            <w:r w:rsidR="00046FEA" w:rsidRPr="00FE7622">
              <w:rPr>
                <w:rFonts w:eastAsia="Calibri"/>
                <w:color w:val="auto"/>
              </w:rPr>
              <w:t>(</w:t>
            </w:r>
            <w:r w:rsidRPr="00FE7622">
              <w:rPr>
                <w:rFonts w:eastAsia="Calibri"/>
                <w:color w:val="auto"/>
              </w:rPr>
              <w:t>18.0</w:t>
            </w:r>
            <w:r w:rsidR="00046FEA" w:rsidRPr="00FE7622">
              <w:rPr>
                <w:rFonts w:eastAsia="Calibri"/>
                <w:color w:val="auto"/>
              </w:rPr>
              <w:t>–</w:t>
            </w:r>
            <w:r w:rsidRPr="00FE7622">
              <w:rPr>
                <w:rFonts w:eastAsia="Calibri"/>
                <w:color w:val="auto"/>
              </w:rPr>
              <w:t>27.4</w:t>
            </w:r>
            <w:r w:rsidR="00046FEA" w:rsidRPr="00FE7622">
              <w:rPr>
                <w:rFonts w:eastAsia="Calibri"/>
                <w:color w:val="auto"/>
              </w:rPr>
              <w:t>)</w:t>
            </w:r>
          </w:p>
        </w:tc>
        <w:tc>
          <w:tcPr>
            <w:tcW w:w="0" w:type="auto"/>
            <w:shd w:val="clear" w:color="auto" w:fill="auto"/>
          </w:tcPr>
          <w:p w14:paraId="2D96749F" w14:textId="6DDEAEB1" w:rsidR="00F026E8" w:rsidRPr="00FE7622" w:rsidRDefault="00F026E8" w:rsidP="00AF19CC">
            <w:pPr>
              <w:pStyle w:val="72TabletextTablesTableFigureBoxstyles"/>
              <w:rPr>
                <w:rFonts w:eastAsia="Calibri"/>
                <w:color w:val="auto"/>
              </w:rPr>
            </w:pPr>
            <w:r w:rsidRPr="00FE7622">
              <w:rPr>
                <w:rFonts w:eastAsia="Calibri"/>
                <w:color w:val="auto"/>
              </w:rPr>
              <w:t xml:space="preserve">21.9 </w:t>
            </w:r>
            <w:r w:rsidR="00046FEA" w:rsidRPr="00FE7622">
              <w:rPr>
                <w:rFonts w:eastAsia="Calibri"/>
                <w:color w:val="auto"/>
              </w:rPr>
              <w:t>(</w:t>
            </w:r>
            <w:r w:rsidRPr="00FE7622">
              <w:rPr>
                <w:rFonts w:eastAsia="Calibri"/>
                <w:color w:val="auto"/>
              </w:rPr>
              <w:t>16.9</w:t>
            </w:r>
            <w:r w:rsidR="00046FEA" w:rsidRPr="00FE7622">
              <w:rPr>
                <w:rFonts w:eastAsia="Calibri"/>
                <w:color w:val="auto"/>
              </w:rPr>
              <w:t>–</w:t>
            </w:r>
            <w:r w:rsidRPr="00FE7622">
              <w:rPr>
                <w:rFonts w:eastAsia="Calibri"/>
                <w:color w:val="auto"/>
              </w:rPr>
              <w:t>27.9</w:t>
            </w:r>
            <w:r w:rsidR="00046FEA" w:rsidRPr="00FE7622">
              <w:rPr>
                <w:rFonts w:eastAsia="Calibri"/>
                <w:color w:val="auto"/>
              </w:rPr>
              <w:t>)</w:t>
            </w:r>
          </w:p>
        </w:tc>
      </w:tr>
      <w:tr w:rsidR="00EF0C39" w:rsidRPr="00FE7622" w14:paraId="4D549D2B" w14:textId="77777777" w:rsidTr="00AF19CC">
        <w:trPr>
          <w:cantSplit/>
        </w:trPr>
        <w:tc>
          <w:tcPr>
            <w:tcW w:w="0" w:type="auto"/>
            <w:shd w:val="clear" w:color="auto" w:fill="auto"/>
          </w:tcPr>
          <w:p w14:paraId="5399563D" w14:textId="2F4FD266"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EQ</w:t>
            </w:r>
            <w:r w:rsidR="005E7D70" w:rsidRPr="00842651">
              <w:rPr>
                <w:rFonts w:eastAsia="Calibri"/>
                <w:color w:val="auto"/>
              </w:rPr>
              <w:t>-</w:t>
            </w:r>
            <w:r w:rsidRPr="00842651">
              <w:rPr>
                <w:rFonts w:eastAsia="Calibri"/>
                <w:color w:val="auto"/>
              </w:rPr>
              <w:t>5D-3L</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3C8E3BDA" w14:textId="77777777" w:rsidR="00F026E8" w:rsidRPr="00FE7622" w:rsidRDefault="00F026E8" w:rsidP="00AF19CC">
            <w:pPr>
              <w:pStyle w:val="72TabletextTablesTableFigureBoxstyles"/>
              <w:rPr>
                <w:rFonts w:eastAsia="Calibri"/>
              </w:rPr>
            </w:pPr>
            <w:r w:rsidRPr="00FE7622">
              <w:rPr>
                <w:rFonts w:eastAsia="Calibri"/>
                <w:color w:val="auto"/>
              </w:rPr>
              <w:t>0.77 (0.11)</w:t>
            </w:r>
          </w:p>
        </w:tc>
        <w:tc>
          <w:tcPr>
            <w:tcW w:w="0" w:type="auto"/>
            <w:shd w:val="clear" w:color="auto" w:fill="auto"/>
          </w:tcPr>
          <w:p w14:paraId="379AEBCB" w14:textId="77777777" w:rsidR="00F026E8" w:rsidRPr="00FE7622" w:rsidRDefault="00F026E8" w:rsidP="00AF19CC">
            <w:pPr>
              <w:pStyle w:val="72TabletextTablesTableFigureBoxstyles"/>
              <w:rPr>
                <w:rFonts w:eastAsia="Calibri"/>
                <w:color w:val="auto"/>
              </w:rPr>
            </w:pPr>
            <w:r w:rsidRPr="00FE7622">
              <w:rPr>
                <w:rFonts w:eastAsia="Calibri"/>
                <w:color w:val="auto"/>
              </w:rPr>
              <w:t>0.77 (0.10)</w:t>
            </w:r>
          </w:p>
        </w:tc>
      </w:tr>
      <w:tr w:rsidR="00EF0C39" w:rsidRPr="00FE7622" w14:paraId="2E33BDA1" w14:textId="77777777" w:rsidTr="00AF19CC">
        <w:trPr>
          <w:cantSplit/>
        </w:trPr>
        <w:tc>
          <w:tcPr>
            <w:tcW w:w="0" w:type="auto"/>
            <w:shd w:val="clear" w:color="auto" w:fill="auto"/>
          </w:tcPr>
          <w:p w14:paraId="421E4CF8" w14:textId="24475C1D"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EQ</w:t>
            </w:r>
            <w:r w:rsidR="005E7D70" w:rsidRPr="00842651">
              <w:rPr>
                <w:rFonts w:eastAsia="Calibri"/>
                <w:color w:val="auto"/>
              </w:rPr>
              <w:t>-</w:t>
            </w:r>
            <w:r w:rsidRPr="00842651">
              <w:rPr>
                <w:rFonts w:eastAsia="Calibri"/>
                <w:color w:val="auto"/>
              </w:rPr>
              <w:t>5D</w:t>
            </w:r>
            <w:r w:rsidRPr="00FE7622">
              <w:rPr>
                <w:rFonts w:eastAsia="Calibri"/>
                <w:color w:val="auto"/>
              </w:rPr>
              <w:t xml:space="preserve"> thermometer (</w:t>
            </w:r>
            <w:r w:rsidRPr="00842651">
              <w:rPr>
                <w:rFonts w:eastAsia="Calibri"/>
                <w:color w:val="auto"/>
              </w:rPr>
              <w:t>SD</w:t>
            </w:r>
            <w:r w:rsidRPr="00FE7622">
              <w:rPr>
                <w:rFonts w:eastAsia="Calibri"/>
                <w:color w:val="auto"/>
              </w:rPr>
              <w:t>)</w:t>
            </w:r>
          </w:p>
        </w:tc>
        <w:tc>
          <w:tcPr>
            <w:tcW w:w="0" w:type="auto"/>
            <w:shd w:val="clear" w:color="auto" w:fill="auto"/>
          </w:tcPr>
          <w:p w14:paraId="1F7B9179" w14:textId="77777777" w:rsidR="00F026E8" w:rsidRPr="00FE7622" w:rsidRDefault="00F026E8" w:rsidP="00AF19CC">
            <w:pPr>
              <w:pStyle w:val="72TabletextTablesTableFigureBoxstyles"/>
              <w:rPr>
                <w:rFonts w:eastAsia="Calibri"/>
              </w:rPr>
            </w:pPr>
            <w:r w:rsidRPr="00FE7622">
              <w:rPr>
                <w:rFonts w:eastAsia="Calibri"/>
                <w:color w:val="auto"/>
              </w:rPr>
              <w:t>69 (17)</w:t>
            </w:r>
          </w:p>
        </w:tc>
        <w:tc>
          <w:tcPr>
            <w:tcW w:w="0" w:type="auto"/>
            <w:shd w:val="clear" w:color="auto" w:fill="auto"/>
          </w:tcPr>
          <w:p w14:paraId="62889E74" w14:textId="77777777" w:rsidR="00F026E8" w:rsidRPr="00FE7622" w:rsidRDefault="00F026E8" w:rsidP="00AF19CC">
            <w:pPr>
              <w:pStyle w:val="72TabletextTablesTableFigureBoxstyles"/>
              <w:rPr>
                <w:rFonts w:eastAsia="Calibri"/>
                <w:color w:val="auto"/>
              </w:rPr>
            </w:pPr>
            <w:r w:rsidRPr="00FE7622">
              <w:rPr>
                <w:rFonts w:eastAsia="Calibri"/>
                <w:color w:val="auto"/>
              </w:rPr>
              <w:t>74 (13)</w:t>
            </w:r>
          </w:p>
        </w:tc>
      </w:tr>
      <w:tr w:rsidR="00EF0C39" w:rsidRPr="00FE7622" w14:paraId="715DF8D9" w14:textId="77777777" w:rsidTr="00AF19CC">
        <w:trPr>
          <w:cantSplit/>
        </w:trPr>
        <w:tc>
          <w:tcPr>
            <w:tcW w:w="0" w:type="auto"/>
            <w:shd w:val="clear" w:color="auto" w:fill="auto"/>
          </w:tcPr>
          <w:p w14:paraId="11FE9C23" w14:textId="6F77AA5E" w:rsidR="00F026E8" w:rsidRPr="00FE7622" w:rsidRDefault="00F026E8" w:rsidP="00AF19CC">
            <w:pPr>
              <w:pStyle w:val="72TabletextTablesTableFigureBoxstyles"/>
              <w:rPr>
                <w:rFonts w:eastAsia="Calibri"/>
              </w:rPr>
            </w:pPr>
            <w:r w:rsidRPr="00FE7622">
              <w:rPr>
                <w:rFonts w:eastAsia="Calibri"/>
                <w:color w:val="auto"/>
              </w:rPr>
              <w:t>Mean NEADL (</w:t>
            </w:r>
            <w:r w:rsidRPr="00842651">
              <w:rPr>
                <w:rFonts w:eastAsia="Calibri"/>
                <w:color w:val="auto"/>
              </w:rPr>
              <w:t>SD</w:t>
            </w:r>
            <w:r w:rsidRPr="00FE7622">
              <w:rPr>
                <w:rFonts w:eastAsia="Calibri"/>
                <w:color w:val="auto"/>
              </w:rPr>
              <w:t>)</w:t>
            </w:r>
          </w:p>
        </w:tc>
        <w:tc>
          <w:tcPr>
            <w:tcW w:w="0" w:type="auto"/>
            <w:shd w:val="clear" w:color="auto" w:fill="auto"/>
          </w:tcPr>
          <w:p w14:paraId="6FB8AB9A" w14:textId="77777777" w:rsidR="00F026E8" w:rsidRPr="00FE7622" w:rsidRDefault="00F026E8" w:rsidP="00AF19CC">
            <w:pPr>
              <w:pStyle w:val="72TabletextTablesTableFigureBoxstyles"/>
              <w:rPr>
                <w:rFonts w:eastAsia="Calibri"/>
              </w:rPr>
            </w:pPr>
            <w:r w:rsidRPr="00FE7622">
              <w:rPr>
                <w:rFonts w:eastAsia="Calibri"/>
                <w:color w:val="auto"/>
              </w:rPr>
              <w:t>55.3 (9.0)</w:t>
            </w:r>
          </w:p>
        </w:tc>
        <w:tc>
          <w:tcPr>
            <w:tcW w:w="0" w:type="auto"/>
            <w:shd w:val="clear" w:color="auto" w:fill="auto"/>
          </w:tcPr>
          <w:p w14:paraId="1A9C1853" w14:textId="77777777" w:rsidR="00F026E8" w:rsidRPr="00FE7622" w:rsidRDefault="00F026E8" w:rsidP="00AF19CC">
            <w:pPr>
              <w:pStyle w:val="72TabletextTablesTableFigureBoxstyles"/>
              <w:rPr>
                <w:rFonts w:eastAsia="Calibri"/>
                <w:color w:val="auto"/>
              </w:rPr>
            </w:pPr>
            <w:r w:rsidRPr="00FE7622">
              <w:rPr>
                <w:rFonts w:eastAsia="Calibri"/>
                <w:color w:val="auto"/>
              </w:rPr>
              <w:t>54.3 (11.1)</w:t>
            </w:r>
          </w:p>
        </w:tc>
      </w:tr>
      <w:tr w:rsidR="00EF0C39" w:rsidRPr="00FE7622" w14:paraId="66FA7E0C" w14:textId="77777777" w:rsidTr="00AF19CC">
        <w:trPr>
          <w:cantSplit/>
        </w:trPr>
        <w:tc>
          <w:tcPr>
            <w:tcW w:w="0" w:type="auto"/>
            <w:shd w:val="clear" w:color="auto" w:fill="auto"/>
          </w:tcPr>
          <w:p w14:paraId="3D208EB9" w14:textId="77777777" w:rsidR="00F026E8" w:rsidRPr="00FE7622" w:rsidRDefault="00F026E8" w:rsidP="00AF19CC">
            <w:pPr>
              <w:pStyle w:val="72TabletextTablesTableFigureBoxstyles"/>
              <w:rPr>
                <w:rFonts w:eastAsia="Calibri"/>
                <w:color w:val="auto"/>
              </w:rPr>
            </w:pPr>
            <w:r w:rsidRPr="00FE7622">
              <w:rPr>
                <w:rFonts w:eastAsia="Calibri"/>
                <w:color w:val="auto"/>
              </w:rPr>
              <w:t>Mean T-score at hip (</w:t>
            </w:r>
            <w:r w:rsidRPr="00842651">
              <w:rPr>
                <w:rFonts w:eastAsia="Calibri"/>
                <w:color w:val="auto"/>
              </w:rPr>
              <w:t>SD</w:t>
            </w:r>
            <w:r w:rsidRPr="00FE7622">
              <w:rPr>
                <w:rFonts w:eastAsia="Calibri"/>
                <w:color w:val="auto"/>
              </w:rPr>
              <w:t>)</w:t>
            </w:r>
          </w:p>
        </w:tc>
        <w:tc>
          <w:tcPr>
            <w:tcW w:w="0" w:type="auto"/>
            <w:shd w:val="clear" w:color="auto" w:fill="auto"/>
          </w:tcPr>
          <w:p w14:paraId="25102CA5" w14:textId="77777777" w:rsidR="00F026E8" w:rsidRPr="00FE7622" w:rsidRDefault="00F026E8" w:rsidP="00AF19CC">
            <w:pPr>
              <w:pStyle w:val="72TabletextTablesTableFigureBoxstyles"/>
              <w:rPr>
                <w:rFonts w:eastAsia="Calibri"/>
                <w:color w:val="auto"/>
              </w:rPr>
            </w:pPr>
            <w:r w:rsidRPr="00FE7622">
              <w:rPr>
                <w:rFonts w:eastAsia="Calibri"/>
                <w:color w:val="auto"/>
              </w:rPr>
              <w:t>–1.3 (1.4)</w:t>
            </w:r>
          </w:p>
        </w:tc>
        <w:tc>
          <w:tcPr>
            <w:tcW w:w="0" w:type="auto"/>
            <w:shd w:val="clear" w:color="auto" w:fill="auto"/>
          </w:tcPr>
          <w:p w14:paraId="788D7CD2" w14:textId="77777777" w:rsidR="00F026E8" w:rsidRPr="00FE7622" w:rsidRDefault="00F026E8" w:rsidP="00AF19CC">
            <w:pPr>
              <w:pStyle w:val="72TabletextTablesTableFigureBoxstyles"/>
              <w:rPr>
                <w:rFonts w:eastAsia="Calibri"/>
                <w:color w:val="auto"/>
              </w:rPr>
            </w:pPr>
            <w:r w:rsidRPr="00FE7622">
              <w:rPr>
                <w:rFonts w:eastAsia="Calibri"/>
                <w:color w:val="auto"/>
              </w:rPr>
              <w:t>–1.4 (1.1)</w:t>
            </w:r>
          </w:p>
        </w:tc>
      </w:tr>
      <w:tr w:rsidR="00EF0C39" w:rsidRPr="00FE7622" w14:paraId="662D2208" w14:textId="77777777" w:rsidTr="00AF19CC">
        <w:trPr>
          <w:cantSplit/>
        </w:trPr>
        <w:tc>
          <w:tcPr>
            <w:tcW w:w="0" w:type="auto"/>
            <w:shd w:val="clear" w:color="auto" w:fill="auto"/>
          </w:tcPr>
          <w:p w14:paraId="32C272A5" w14:textId="77777777" w:rsidR="00F026E8" w:rsidRPr="00FE7622" w:rsidRDefault="00F026E8" w:rsidP="00AF19CC">
            <w:pPr>
              <w:pStyle w:val="72TabletextTablesTableFigureBoxstyles"/>
              <w:rPr>
                <w:rFonts w:eastAsia="Calibri"/>
              </w:rPr>
            </w:pPr>
            <w:bookmarkStart w:id="85" w:name="_Hlk61384646"/>
            <w:r w:rsidRPr="00FE7622">
              <w:rPr>
                <w:rFonts w:eastAsia="Calibri"/>
                <w:color w:val="auto"/>
              </w:rPr>
              <w:t>Mean total protein intake per day (g/kg body weight) (</w:t>
            </w:r>
            <w:r w:rsidRPr="00842651">
              <w:rPr>
                <w:rFonts w:eastAsia="Calibri"/>
                <w:color w:val="auto"/>
              </w:rPr>
              <w:t>SD</w:t>
            </w:r>
            <w:r w:rsidRPr="00FE7622">
              <w:rPr>
                <w:rFonts w:eastAsia="Calibri"/>
                <w:color w:val="auto"/>
              </w:rPr>
              <w:t>)</w:t>
            </w:r>
            <w:bookmarkEnd w:id="85"/>
          </w:p>
        </w:tc>
        <w:tc>
          <w:tcPr>
            <w:tcW w:w="0" w:type="auto"/>
            <w:shd w:val="clear" w:color="auto" w:fill="auto"/>
          </w:tcPr>
          <w:p w14:paraId="68B4E713" w14:textId="77777777" w:rsidR="00F026E8" w:rsidRPr="00FE7622" w:rsidRDefault="00F026E8" w:rsidP="00AF19CC">
            <w:pPr>
              <w:pStyle w:val="72TabletextTablesTableFigureBoxstyles"/>
              <w:rPr>
                <w:rFonts w:eastAsia="Calibri"/>
              </w:rPr>
            </w:pPr>
            <w:r w:rsidRPr="00FE7622">
              <w:rPr>
                <w:rFonts w:eastAsia="Calibri"/>
                <w:color w:val="auto"/>
              </w:rPr>
              <w:t>1.22 (1.02)</w:t>
            </w:r>
          </w:p>
        </w:tc>
        <w:tc>
          <w:tcPr>
            <w:tcW w:w="0" w:type="auto"/>
            <w:shd w:val="clear" w:color="auto" w:fill="auto"/>
          </w:tcPr>
          <w:p w14:paraId="7F11BA83" w14:textId="77777777" w:rsidR="00F026E8" w:rsidRPr="00FE7622" w:rsidRDefault="00F026E8" w:rsidP="00AF19CC">
            <w:pPr>
              <w:pStyle w:val="72TabletextTablesTableFigureBoxstyles"/>
              <w:rPr>
                <w:rFonts w:eastAsia="Calibri"/>
                <w:color w:val="auto"/>
              </w:rPr>
            </w:pPr>
            <w:r w:rsidRPr="00FE7622">
              <w:rPr>
                <w:rFonts w:eastAsia="Calibri"/>
                <w:color w:val="auto"/>
              </w:rPr>
              <w:t>1.07 (0.33)</w:t>
            </w:r>
          </w:p>
        </w:tc>
      </w:tr>
      <w:tr w:rsidR="00F026E8" w:rsidRPr="00FE7622" w14:paraId="72D9CDE9" w14:textId="77777777" w:rsidTr="00AF19CC">
        <w:trPr>
          <w:cantSplit/>
        </w:trPr>
        <w:tc>
          <w:tcPr>
            <w:tcW w:w="0" w:type="auto"/>
            <w:gridSpan w:val="3"/>
            <w:shd w:val="clear" w:color="auto" w:fill="auto"/>
          </w:tcPr>
          <w:p w14:paraId="6C7F8337" w14:textId="1410C68B" w:rsidR="00F026E8" w:rsidRPr="00FE7622" w:rsidRDefault="00F026E8" w:rsidP="00AF19CC">
            <w:pPr>
              <w:pStyle w:val="75TablenotesTablesTableFigureBoxstyles"/>
              <w:rPr>
                <w:rFonts w:ascii="Calibri" w:eastAsia="Calibri" w:hAnsi="Calibri"/>
                <w:lang w:val="en-GB"/>
              </w:rPr>
            </w:pPr>
            <w:r w:rsidRPr="00842651">
              <w:rPr>
                <w:lang w:val="en-GB"/>
              </w:rPr>
              <w:t>EQ</w:t>
            </w:r>
            <w:r w:rsidR="00486FFA" w:rsidRPr="00842651">
              <w:rPr>
                <w:lang w:val="en-GB"/>
              </w:rPr>
              <w:t>-</w:t>
            </w:r>
            <w:r w:rsidRPr="00842651">
              <w:rPr>
                <w:lang w:val="en-GB"/>
              </w:rPr>
              <w:t>5D</w:t>
            </w:r>
            <w:r w:rsidR="00486FFA" w:rsidRPr="00FE7622">
              <w:rPr>
                <w:lang w:val="en-GB"/>
              </w:rPr>
              <w:t>,</w:t>
            </w:r>
            <w:r w:rsidRPr="00FE7622">
              <w:rPr>
                <w:lang w:val="en-GB"/>
              </w:rPr>
              <w:t xml:space="preserve"> EuroQoL</w:t>
            </w:r>
            <w:r w:rsidR="008E1792" w:rsidRPr="00FE7622">
              <w:rPr>
                <w:lang w:val="en-GB"/>
              </w:rPr>
              <w:t>-</w:t>
            </w:r>
            <w:r w:rsidRPr="00FE7622">
              <w:rPr>
                <w:lang w:val="en-GB"/>
              </w:rPr>
              <w:t>5</w:t>
            </w:r>
            <w:r w:rsidR="008E1792" w:rsidRPr="00FE7622">
              <w:rPr>
                <w:lang w:val="en-GB"/>
              </w:rPr>
              <w:t xml:space="preserve"> </w:t>
            </w:r>
            <w:r w:rsidRPr="00FE7622">
              <w:rPr>
                <w:lang w:val="en-GB"/>
              </w:rPr>
              <w:t>D</w:t>
            </w:r>
            <w:r w:rsidR="008E1792" w:rsidRPr="00FE7622">
              <w:rPr>
                <w:lang w:val="en-GB"/>
              </w:rPr>
              <w:t>imensions</w:t>
            </w:r>
            <w:r w:rsidR="00486FFA" w:rsidRPr="00FE7622">
              <w:rPr>
                <w:lang w:val="en-GB"/>
              </w:rPr>
              <w:t>;</w:t>
            </w:r>
            <w:r w:rsidRPr="00FE7622">
              <w:rPr>
                <w:lang w:val="en-GB"/>
              </w:rPr>
              <w:t xml:space="preserve"> GFR</w:t>
            </w:r>
            <w:r w:rsidR="00046FEA" w:rsidRPr="00FE7622">
              <w:rPr>
                <w:lang w:val="en-GB"/>
              </w:rPr>
              <w:t>,</w:t>
            </w:r>
            <w:r w:rsidRPr="00FE7622">
              <w:rPr>
                <w:lang w:val="en-GB"/>
              </w:rPr>
              <w:t xml:space="preserve"> </w:t>
            </w:r>
            <w:r w:rsidR="00046FEA" w:rsidRPr="00FE7622">
              <w:rPr>
                <w:lang w:val="en-GB"/>
              </w:rPr>
              <w:t>glomerular filtration rate</w:t>
            </w:r>
            <w:r w:rsidR="00486FFA" w:rsidRPr="00FE7622">
              <w:rPr>
                <w:lang w:val="en-GB"/>
              </w:rPr>
              <w:t xml:space="preserve">; </w:t>
            </w:r>
            <w:r w:rsidR="00EF0C39" w:rsidRPr="00842651">
              <w:rPr>
                <w:lang w:val="en-GB"/>
              </w:rPr>
              <w:t>IQR</w:t>
            </w:r>
            <w:r w:rsidR="00EF0C39" w:rsidRPr="00FE7622">
              <w:rPr>
                <w:lang w:val="en-GB"/>
              </w:rPr>
              <w:t xml:space="preserve">, interquartile range; </w:t>
            </w:r>
            <w:r w:rsidR="00486FFA" w:rsidRPr="00FE7622">
              <w:rPr>
                <w:lang w:val="en-GB"/>
              </w:rPr>
              <w:t>NEADL, Nottingham Extended Activities of Daily Living</w:t>
            </w:r>
            <w:r w:rsidR="00046FEA" w:rsidRPr="00FE7622">
              <w:rPr>
                <w:lang w:val="en-GB"/>
              </w:rPr>
              <w:t>.</w:t>
            </w:r>
          </w:p>
        </w:tc>
      </w:tr>
    </w:tbl>
    <w:p w14:paraId="71F06F51" w14:textId="704E23FA" w:rsidR="00E038BF" w:rsidRPr="00FE7622" w:rsidRDefault="00E038BF" w:rsidP="00D80D4B">
      <w:pPr>
        <w:pStyle w:val="53BheadHeadingsHeadingstyles"/>
      </w:pPr>
      <w:bookmarkStart w:id="86" w:name="_Hlk64637871"/>
      <w:bookmarkStart w:id="87" w:name="_Toc79684525"/>
      <w:r w:rsidRPr="00FE7622">
        <w:t>Adherence</w:t>
      </w:r>
      <w:bookmarkEnd w:id="87"/>
    </w:p>
    <w:p w14:paraId="495D6D80" w14:textId="3FD2BE4F" w:rsidR="00F026E8" w:rsidRPr="00FE7622" w:rsidRDefault="00F026E8" w:rsidP="00D80D4B">
      <w:pPr>
        <w:pStyle w:val="602TextfoTextstylesTextstyles"/>
        <w:rPr>
          <w:color w:val="auto"/>
        </w:rPr>
      </w:pPr>
      <w:r w:rsidRPr="00FE7622">
        <w:rPr>
          <w:color w:val="auto"/>
        </w:rPr>
        <w:t xml:space="preserve">Adherence was lower in the group receiving perindopril </w:t>
      </w:r>
      <w:r w:rsidR="00EF0C39" w:rsidRPr="00FE7622">
        <w:rPr>
          <w:color w:val="auto"/>
        </w:rPr>
        <w:t>[</w:t>
      </w:r>
      <w:r w:rsidRPr="00FE7622">
        <w:rPr>
          <w:color w:val="auto"/>
        </w:rPr>
        <w:t xml:space="preserve">median 76.2%, </w:t>
      </w:r>
      <w:r w:rsidR="00EF0C39" w:rsidRPr="00FE7622">
        <w:rPr>
          <w:color w:val="auto"/>
        </w:rPr>
        <w:t>interquartile range (</w:t>
      </w:r>
      <w:r w:rsidRPr="00842651">
        <w:rPr>
          <w:color w:val="auto"/>
        </w:rPr>
        <w:t>IQR</w:t>
      </w:r>
      <w:r w:rsidR="00EF0C39" w:rsidRPr="00FE7622">
        <w:rPr>
          <w:color w:val="auto"/>
        </w:rPr>
        <w:t>)</w:t>
      </w:r>
      <w:r w:rsidRPr="00FE7622">
        <w:rPr>
          <w:color w:val="auto"/>
        </w:rPr>
        <w:t xml:space="preserve"> 15.6–95.4%</w:t>
      </w:r>
      <w:r w:rsidR="00EF0C39" w:rsidRPr="00FE7622">
        <w:rPr>
          <w:color w:val="auto"/>
        </w:rPr>
        <w:t>]</w:t>
      </w:r>
      <w:r w:rsidRPr="00FE7622">
        <w:rPr>
          <w:color w:val="auto"/>
        </w:rPr>
        <w:t xml:space="preserve"> than in the group receiving placebo </w:t>
      </w:r>
      <w:r w:rsidR="00E038BF" w:rsidRPr="00E038BF">
        <w:rPr>
          <w:color w:val="FF00FF"/>
          <w:sz w:val="24"/>
        </w:rPr>
        <w:t>[15]</w:t>
      </w:r>
      <w:commentRangeStart w:id="88"/>
      <w:r w:rsidRPr="00FE7622">
        <w:rPr>
          <w:color w:val="auto"/>
        </w:rPr>
        <w:t>(</w:t>
      </w:r>
      <w:r w:rsidR="007C4652" w:rsidRPr="00FE7622">
        <w:rPr>
          <w:color w:val="auto"/>
        </w:rPr>
        <w:t xml:space="preserve">median </w:t>
      </w:r>
      <w:r w:rsidRPr="00FE7622">
        <w:rPr>
          <w:color w:val="auto"/>
        </w:rPr>
        <w:t xml:space="preserve">95.9%, </w:t>
      </w:r>
      <w:r w:rsidRPr="00842651">
        <w:rPr>
          <w:color w:val="auto"/>
        </w:rPr>
        <w:t>IQR</w:t>
      </w:r>
      <w:r w:rsidRPr="00FE7622">
        <w:rPr>
          <w:color w:val="auto"/>
        </w:rPr>
        <w:t xml:space="preserve"> 78.2–99.7%) </w:t>
      </w:r>
      <w:commentRangeEnd w:id="88"/>
      <w:r w:rsidR="007C4652" w:rsidRPr="00FE7622">
        <w:rPr>
          <w:rStyle w:val="CommentReference"/>
          <w:rFonts w:ascii="Times New Roman" w:hAnsi="Times New Roman" w:cs="Times New Roman"/>
          <w:color w:val="auto"/>
          <w:lang w:val="en-US"/>
        </w:rPr>
        <w:commentReference w:id="88"/>
      </w:r>
      <w:r w:rsidRPr="00FE7622">
        <w:rPr>
          <w:color w:val="auto"/>
        </w:rPr>
        <w:t>(</w:t>
      </w:r>
      <w:r w:rsidR="00E038BF" w:rsidRPr="00FE7622">
        <w:rPr>
          <w:i/>
          <w:color w:val="auto"/>
        </w:rPr>
        <w:t>p </w:t>
      </w:r>
      <w:r w:rsidRPr="00FE7622">
        <w:rPr>
          <w:color w:val="auto"/>
        </w:rPr>
        <w:t>&lt; 0.001). More participants chose to drop out in the early months of the trial in the perindopril arm than in</w:t>
      </w:r>
      <w:r w:rsidR="005E7D70" w:rsidRPr="00FE7622">
        <w:rPr>
          <w:color w:val="auto"/>
        </w:rPr>
        <w:t xml:space="preserve"> the</w:t>
      </w:r>
      <w:r w:rsidRPr="00FE7622">
        <w:rPr>
          <w:color w:val="auto"/>
        </w:rPr>
        <w:t xml:space="preserve"> placebo</w:t>
      </w:r>
      <w:r w:rsidR="005E7D70" w:rsidRPr="00FE7622">
        <w:rPr>
          <w:color w:val="auto"/>
        </w:rPr>
        <w:t xml:space="preserve"> arm</w:t>
      </w:r>
      <w:r w:rsidRPr="00FE7622">
        <w:rPr>
          <w:color w:val="auto"/>
        </w:rPr>
        <w:t>.</w:t>
      </w:r>
    </w:p>
    <w:p w14:paraId="40668C50" w14:textId="00C70E8F" w:rsidR="00E038BF" w:rsidRPr="00FE7622" w:rsidRDefault="00E038BF" w:rsidP="00D80D4B">
      <w:pPr>
        <w:pStyle w:val="52AheadHeadingsHeadingstyles"/>
      </w:pPr>
      <w:bookmarkStart w:id="89" w:name="_Toc79684526"/>
      <w:r w:rsidRPr="00FE7622">
        <w:t>Primary outcome analysis</w:t>
      </w:r>
      <w:bookmarkEnd w:id="89"/>
    </w:p>
    <w:p w14:paraId="20557A89" w14:textId="12DBB651" w:rsidR="00F026E8" w:rsidRPr="00FE7622" w:rsidRDefault="00E038BF" w:rsidP="00D80D4B">
      <w:pPr>
        <w:pStyle w:val="602TextfoTextstylesTextstyles"/>
        <w:rPr>
          <w:color w:val="auto"/>
        </w:rPr>
      </w:pPr>
      <w:r w:rsidRPr="00FE7622">
        <w:rPr>
          <w:i/>
          <w:color w:val="FF0000"/>
        </w:rPr>
        <w:t>Table 6</w:t>
      </w:r>
      <w:r w:rsidR="00F026E8" w:rsidRPr="00FE7622">
        <w:rPr>
          <w:color w:val="auto"/>
        </w:rPr>
        <w:t xml:space="preserve"> shows the analyses for the primary outcome (between-group difference in </w:t>
      </w:r>
      <w:r w:rsidR="00F026E8" w:rsidRPr="00842651">
        <w:rPr>
          <w:color w:val="auto"/>
        </w:rPr>
        <w:t>SPPB</w:t>
      </w:r>
      <w:r w:rsidR="00F026E8" w:rsidRPr="00FE7622">
        <w:rPr>
          <w:color w:val="auto"/>
        </w:rPr>
        <w:t>) for perindopril vs placebo. No significant treatment effect was seen in unadjusted or adjusted analyses; the point estimate of effect in adjusted analyses was close to zero</w:t>
      </w:r>
      <w:r w:rsidR="00FF7A9F" w:rsidRPr="00FE7622">
        <w:rPr>
          <w:color w:val="auto"/>
        </w:rPr>
        <w:t>,</w:t>
      </w:r>
      <w:r w:rsidR="00F026E8" w:rsidRPr="00FE7622">
        <w:rPr>
          <w:color w:val="auto"/>
        </w:rPr>
        <w:t xml:space="preserve"> although the</w:t>
      </w:r>
      <w:r w:rsidR="00FC11D1" w:rsidRPr="00FE7622">
        <w:rPr>
          <w:color w:val="auto"/>
        </w:rPr>
        <w:t xml:space="preserve"> confidence intervals</w:t>
      </w:r>
      <w:r w:rsidR="00F026E8" w:rsidRPr="00FE7622">
        <w:rPr>
          <w:color w:val="auto"/>
        </w:rPr>
        <w:t xml:space="preserve"> </w:t>
      </w:r>
      <w:r w:rsidR="00FC11D1" w:rsidRPr="00FE7622">
        <w:rPr>
          <w:color w:val="auto"/>
        </w:rPr>
        <w:t>(</w:t>
      </w:r>
      <w:r w:rsidR="00FF7A9F" w:rsidRPr="00842651">
        <w:rPr>
          <w:color w:val="auto"/>
        </w:rPr>
        <w:t>CIs</w:t>
      </w:r>
      <w:r w:rsidR="00FC11D1" w:rsidRPr="00FE7622">
        <w:rPr>
          <w:color w:val="auto"/>
        </w:rPr>
        <w:t>)</w:t>
      </w:r>
      <w:r w:rsidR="00F026E8" w:rsidRPr="00FE7622">
        <w:rPr>
          <w:color w:val="auto"/>
        </w:rPr>
        <w:t xml:space="preserve"> do not exclude an effect size consistent with the minimum clinically important difference of 0.5 points. Sensitivity analyses examining the difference at the 12-month time</w:t>
      </w:r>
      <w:r w:rsidR="001F3616" w:rsidRPr="00FE7622">
        <w:rPr>
          <w:color w:val="auto"/>
        </w:rPr>
        <w:t xml:space="preserve"> </w:t>
      </w:r>
      <w:r w:rsidR="00F026E8" w:rsidRPr="00FE7622">
        <w:rPr>
          <w:color w:val="auto"/>
        </w:rPr>
        <w:t>point, and imputing values of zero as a worst-case scenario</w:t>
      </w:r>
      <w:r w:rsidR="001F3616" w:rsidRPr="00FE7622">
        <w:rPr>
          <w:color w:val="auto"/>
        </w:rPr>
        <w:t>,</w:t>
      </w:r>
      <w:r w:rsidR="00F026E8" w:rsidRPr="00FE7622">
        <w:rPr>
          <w:color w:val="auto"/>
        </w:rPr>
        <w:t xml:space="preserve"> show similar results, albeit with wide </w:t>
      </w:r>
      <w:r w:rsidR="001F3616" w:rsidRPr="00842651">
        <w:rPr>
          <w:color w:val="auto"/>
        </w:rPr>
        <w:t>CIs</w:t>
      </w:r>
      <w:r w:rsidR="00F026E8" w:rsidRPr="00FE7622">
        <w:rPr>
          <w:color w:val="auto"/>
        </w:rPr>
        <w:t xml:space="preserve">. Prespecified subgroup analyses are shown in </w:t>
      </w:r>
      <w:r w:rsidRPr="00FE7622">
        <w:rPr>
          <w:i/>
          <w:color w:val="FF0000"/>
        </w:rPr>
        <w:t>Table 7</w:t>
      </w:r>
      <w:r w:rsidR="00F026E8" w:rsidRPr="00FE7622">
        <w:rPr>
          <w:color w:val="auto"/>
        </w:rPr>
        <w:t>; no subgroup showed a significantly greater effect in these analyses. Adherence did not have a significant impact on the primary outcome when included in the adjusted model as a continuous variable (</w:t>
      </w:r>
      <w:r w:rsidRPr="00FE7622">
        <w:rPr>
          <w:i/>
          <w:color w:val="auto"/>
        </w:rPr>
        <w:t>p</w:t>
      </w:r>
      <w:r w:rsidR="00D80D4B" w:rsidRPr="00FE7622">
        <w:rPr>
          <w:color w:val="auto"/>
        </w:rPr>
        <w:t> = </w:t>
      </w:r>
      <w:r w:rsidR="00F026E8" w:rsidRPr="00FE7622">
        <w:rPr>
          <w:color w:val="auto"/>
        </w:rPr>
        <w:t>0.75)</w:t>
      </w:r>
      <w:bookmarkEnd w:id="86"/>
      <w:r w:rsidR="004F3568" w:rsidRPr="00FE7622">
        <w:rPr>
          <w:color w:val="auto"/>
        </w:rPr>
        <w:t>.</w:t>
      </w:r>
    </w:p>
    <w:p w14:paraId="0A4A980A" w14:textId="52522526" w:rsidR="00F026E8" w:rsidRPr="00FE7622" w:rsidRDefault="00E038BF" w:rsidP="00F026E8">
      <w:pPr>
        <w:pStyle w:val="70TablelegendTablesTableFigureBoxstyles"/>
        <w:rPr>
          <w:lang w:val="en-GB"/>
        </w:rPr>
      </w:pPr>
      <w:r w:rsidRPr="00FE7622">
        <w:rPr>
          <w:b/>
        </w:rPr>
        <w:t>TABLE 6</w:t>
      </w:r>
      <w:r w:rsidRPr="00FE7622">
        <w:rPr>
          <w:b/>
        </w:rPr>
        <w:t> </w:t>
      </w:r>
      <w:r w:rsidRPr="00E038BF">
        <w:rPr>
          <w:b/>
          <w:color w:val="FF00FF"/>
          <w:sz w:val="24"/>
        </w:rPr>
        <w:t>[16]</w:t>
      </w:r>
      <w:commentRangeStart w:id="90"/>
      <w:r w:rsidR="00F026E8" w:rsidRPr="00FE7622">
        <w:rPr>
          <w:lang w:val="en-GB"/>
        </w:rPr>
        <w:t>Primary outcome for perindopril vs</w:t>
      </w:r>
      <w:r w:rsidR="001A2958" w:rsidRPr="00FE7622">
        <w:rPr>
          <w:lang w:val="en-GB"/>
        </w:rPr>
        <w:t>.</w:t>
      </w:r>
      <w:r w:rsidR="00F026E8" w:rsidRPr="00FE7622">
        <w:rPr>
          <w:lang w:val="en-GB"/>
        </w:rPr>
        <w:t xml:space="preserve"> placebo analysis</w:t>
      </w:r>
      <w:commentRangeEnd w:id="90"/>
      <w:r w:rsidR="00161172" w:rsidRPr="00FE7622">
        <w:rPr>
          <w:rStyle w:val="CommentReference"/>
          <w:rFonts w:ascii="Times New Roman" w:hAnsi="Times New Roman" w:cs="Times New Roman"/>
          <w:color w:val="auto"/>
        </w:rPr>
        <w:commentReference w:id="90"/>
      </w:r>
    </w:p>
    <w:tbl>
      <w:tblPr>
        <w:tblW w:w="0" w:type="auto"/>
        <w:tblInd w:w="-5" w:type="dxa"/>
        <w:tblCellMar>
          <w:top w:w="40" w:type="dxa"/>
          <w:left w:w="60" w:type="dxa"/>
          <w:bottom w:w="40" w:type="dxa"/>
          <w:right w:w="60" w:type="dxa"/>
        </w:tblCellMar>
        <w:tblLook w:val="04A0" w:firstRow="1" w:lastRow="0" w:firstColumn="1" w:lastColumn="0" w:noHBand="0" w:noVBand="1"/>
      </w:tblPr>
      <w:tblGrid>
        <w:gridCol w:w="1898"/>
        <w:gridCol w:w="994"/>
        <w:gridCol w:w="883"/>
        <w:gridCol w:w="2086"/>
        <w:gridCol w:w="619"/>
        <w:gridCol w:w="1932"/>
        <w:gridCol w:w="619"/>
      </w:tblGrid>
      <w:tr w:rsidR="00F026E8" w:rsidRPr="00FE7622" w14:paraId="6AFA6A41" w14:textId="77777777" w:rsidTr="00AF19CC">
        <w:trPr>
          <w:cantSplit/>
        </w:trPr>
        <w:tc>
          <w:tcPr>
            <w:tcW w:w="0" w:type="auto"/>
            <w:shd w:val="clear" w:color="auto" w:fill="auto"/>
          </w:tcPr>
          <w:p w14:paraId="6AB768EF" w14:textId="3468063C" w:rsidR="00F026E8" w:rsidRPr="00FE7622" w:rsidRDefault="00E038BF" w:rsidP="00AF19CC">
            <w:pPr>
              <w:pStyle w:val="710TableheadTablesTableFigureBoxstyles"/>
              <w:rPr>
                <w:rFonts w:eastAsia="Calibri"/>
              </w:rPr>
            </w:pPr>
            <w:r w:rsidRPr="00FE7622">
              <w:rPr>
                <w:rFonts w:eastAsia="Calibri"/>
              </w:rPr>
              <w:t>Outcome</w:t>
            </w:r>
          </w:p>
        </w:tc>
        <w:tc>
          <w:tcPr>
            <w:tcW w:w="0" w:type="auto"/>
            <w:shd w:val="clear" w:color="auto" w:fill="auto"/>
          </w:tcPr>
          <w:p w14:paraId="19418699" w14:textId="15C40710" w:rsidR="00F026E8" w:rsidRPr="00FE7622" w:rsidRDefault="00E038BF" w:rsidP="00AF19CC">
            <w:pPr>
              <w:pStyle w:val="710TableheadTablesTableFigureBoxstyles"/>
              <w:rPr>
                <w:rFonts w:eastAsia="Calibri"/>
              </w:rPr>
            </w:pPr>
            <w:r w:rsidRPr="00FE7622">
              <w:rPr>
                <w:rFonts w:eastAsia="Calibri"/>
              </w:rPr>
              <w:t>Perindopril</w:t>
            </w:r>
          </w:p>
        </w:tc>
        <w:tc>
          <w:tcPr>
            <w:tcW w:w="0" w:type="auto"/>
            <w:shd w:val="clear" w:color="auto" w:fill="auto"/>
          </w:tcPr>
          <w:p w14:paraId="01D55308" w14:textId="1C4FAD6F" w:rsidR="00F026E8" w:rsidRPr="00FE7622" w:rsidRDefault="00E038BF" w:rsidP="00AF19CC">
            <w:pPr>
              <w:pStyle w:val="710TableheadTablesTableFigureBoxstyles"/>
              <w:rPr>
                <w:rFonts w:eastAsia="Calibri"/>
              </w:rPr>
            </w:pPr>
            <w:r w:rsidRPr="00FE7622">
              <w:rPr>
                <w:rFonts w:eastAsia="Calibri"/>
              </w:rPr>
              <w:t>Placebo</w:t>
            </w:r>
          </w:p>
        </w:tc>
        <w:tc>
          <w:tcPr>
            <w:tcW w:w="0" w:type="auto"/>
            <w:shd w:val="clear" w:color="auto" w:fill="auto"/>
          </w:tcPr>
          <w:p w14:paraId="6FDF1D44" w14:textId="37BD2CC7" w:rsidR="00F026E8" w:rsidRPr="00FE7622" w:rsidRDefault="00E038BF" w:rsidP="00AF19CC">
            <w:pPr>
              <w:pStyle w:val="710TableheadTablesTableFigureBoxstyles"/>
              <w:rPr>
                <w:rFonts w:eastAsia="Calibri"/>
              </w:rPr>
            </w:pPr>
            <w:r w:rsidRPr="00FE7622">
              <w:rPr>
                <w:rFonts w:eastAsia="Calibri"/>
              </w:rPr>
              <w:t xml:space="preserve">Unadjusted treatment effect (95% </w:t>
            </w:r>
            <w:r w:rsidRPr="00842651">
              <w:rPr>
                <w:rFonts w:eastAsia="Calibri"/>
              </w:rPr>
              <w:t>CI</w:t>
            </w:r>
            <w:r w:rsidRPr="00FE7622">
              <w:rPr>
                <w:rFonts w:eastAsia="Calibri"/>
              </w:rPr>
              <w:t>)</w:t>
            </w:r>
          </w:p>
        </w:tc>
        <w:tc>
          <w:tcPr>
            <w:tcW w:w="0" w:type="auto"/>
            <w:shd w:val="clear" w:color="auto" w:fill="auto"/>
          </w:tcPr>
          <w:p w14:paraId="5D729EDB" w14:textId="6F6BA3A2"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c>
          <w:tcPr>
            <w:tcW w:w="0" w:type="auto"/>
            <w:shd w:val="clear" w:color="auto" w:fill="auto"/>
          </w:tcPr>
          <w:p w14:paraId="114530B9" w14:textId="0F7179C9" w:rsidR="00F026E8" w:rsidRPr="00FE7622" w:rsidRDefault="00E038BF" w:rsidP="00AF19CC">
            <w:pPr>
              <w:pStyle w:val="710TableheadTablesTableFigureBoxstyles"/>
              <w:rPr>
                <w:rFonts w:eastAsia="Calibri"/>
              </w:rPr>
            </w:pPr>
            <w:r w:rsidRPr="00FE7622">
              <w:rPr>
                <w:rFonts w:eastAsia="Calibri"/>
              </w:rPr>
              <w:t xml:space="preserve">Adjusted treatment effect (95% </w:t>
            </w:r>
            <w:r w:rsidRPr="00842651">
              <w:rPr>
                <w:rFonts w:eastAsia="Calibri"/>
              </w:rPr>
              <w:t>CI</w:t>
            </w:r>
            <w:r w:rsidRPr="00FE7622">
              <w:rPr>
                <w:rFonts w:eastAsia="Calibri"/>
              </w:rPr>
              <w:t>)</w:t>
            </w:r>
          </w:p>
        </w:tc>
        <w:tc>
          <w:tcPr>
            <w:tcW w:w="0" w:type="auto"/>
            <w:shd w:val="clear" w:color="auto" w:fill="auto"/>
          </w:tcPr>
          <w:p w14:paraId="266AD1AC" w14:textId="0F59D848"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r>
      <w:tr w:rsidR="00F026E8" w:rsidRPr="00FE7622" w14:paraId="380C148D" w14:textId="77777777" w:rsidTr="00AF19CC">
        <w:trPr>
          <w:cantSplit/>
        </w:trPr>
        <w:tc>
          <w:tcPr>
            <w:tcW w:w="0" w:type="auto"/>
            <w:shd w:val="clear" w:color="auto" w:fill="auto"/>
          </w:tcPr>
          <w:p w14:paraId="23CB375A" w14:textId="72275EDC" w:rsidR="00F026E8" w:rsidRPr="00FE7622" w:rsidRDefault="00F026E8" w:rsidP="00AF19CC">
            <w:pPr>
              <w:pStyle w:val="72TabletextTablesTableFigureBoxstyles"/>
              <w:rPr>
                <w:rFonts w:eastAsia="Calibri"/>
              </w:rPr>
            </w:pPr>
            <w:r w:rsidRPr="00FE7622">
              <w:rPr>
                <w:rFonts w:eastAsia="Calibri"/>
                <w:color w:val="auto"/>
              </w:rPr>
              <w:t xml:space="preserve">Baseline </w:t>
            </w:r>
            <w:r w:rsidRPr="00842651">
              <w:rPr>
                <w:rFonts w:eastAsia="Calibri"/>
                <w:color w:val="auto"/>
              </w:rPr>
              <w:t>SPPB</w:t>
            </w:r>
            <w:r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617355C" w14:textId="77777777" w:rsidR="00F026E8" w:rsidRPr="00FE7622" w:rsidRDefault="00F026E8" w:rsidP="00AF19CC">
            <w:pPr>
              <w:pStyle w:val="72TabletextTablesTableFigureBoxstyles"/>
              <w:rPr>
                <w:rFonts w:eastAsia="Calibri"/>
              </w:rPr>
            </w:pPr>
            <w:r w:rsidRPr="00FE7622">
              <w:rPr>
                <w:rFonts w:eastAsia="Calibri"/>
                <w:color w:val="auto"/>
              </w:rPr>
              <w:t>7.1 (73, 2.3)</w:t>
            </w:r>
          </w:p>
        </w:tc>
        <w:tc>
          <w:tcPr>
            <w:tcW w:w="0" w:type="auto"/>
            <w:shd w:val="clear" w:color="auto" w:fill="auto"/>
          </w:tcPr>
          <w:p w14:paraId="0366F712" w14:textId="77777777" w:rsidR="00F026E8" w:rsidRPr="00FE7622" w:rsidRDefault="00F026E8" w:rsidP="00AF19CC">
            <w:pPr>
              <w:pStyle w:val="72TabletextTablesTableFigureBoxstyles"/>
              <w:rPr>
                <w:rFonts w:eastAsia="Calibri"/>
              </w:rPr>
            </w:pPr>
            <w:r w:rsidRPr="00FE7622">
              <w:rPr>
                <w:rFonts w:eastAsia="Calibri"/>
                <w:color w:val="auto"/>
              </w:rPr>
              <w:t>6.9 (72, 2.4)</w:t>
            </w:r>
          </w:p>
        </w:tc>
        <w:tc>
          <w:tcPr>
            <w:tcW w:w="0" w:type="auto"/>
            <w:vMerge w:val="restart"/>
            <w:shd w:val="clear" w:color="auto" w:fill="auto"/>
          </w:tcPr>
          <w:p w14:paraId="20212F8E" w14:textId="2D0BBDAE" w:rsidR="00F026E8" w:rsidRPr="00FE7622" w:rsidRDefault="00F026E8" w:rsidP="00AF19CC">
            <w:pPr>
              <w:pStyle w:val="72TabletextTablesTableFigureBoxstyles"/>
              <w:rPr>
                <w:rFonts w:eastAsia="Calibri"/>
              </w:rPr>
            </w:pPr>
            <w:r w:rsidRPr="00FE7622">
              <w:rPr>
                <w:rFonts w:eastAsia="Calibri"/>
                <w:color w:val="auto"/>
              </w:rPr>
              <w:t>0.0 (–0.7</w:t>
            </w:r>
            <w:r w:rsidR="00440104" w:rsidRPr="00FE7622">
              <w:rPr>
                <w:rFonts w:eastAsia="Calibri"/>
                <w:color w:val="auto"/>
              </w:rPr>
              <w:t xml:space="preserve"> to</w:t>
            </w:r>
            <w:r w:rsidRPr="00FE7622">
              <w:rPr>
                <w:rFonts w:eastAsia="Calibri"/>
                <w:color w:val="auto"/>
              </w:rPr>
              <w:t xml:space="preserve"> 0.8)</w:t>
            </w:r>
          </w:p>
        </w:tc>
        <w:tc>
          <w:tcPr>
            <w:tcW w:w="0" w:type="auto"/>
            <w:vMerge w:val="restart"/>
            <w:shd w:val="clear" w:color="auto" w:fill="auto"/>
          </w:tcPr>
          <w:p w14:paraId="342A0F09" w14:textId="77777777" w:rsidR="00F026E8" w:rsidRPr="00FE7622" w:rsidRDefault="00F026E8" w:rsidP="00AF19CC">
            <w:pPr>
              <w:pStyle w:val="72TabletextTablesTableFigureBoxstyles"/>
              <w:rPr>
                <w:rFonts w:eastAsia="Calibri"/>
                <w:color w:val="auto"/>
              </w:rPr>
            </w:pPr>
            <w:r w:rsidRPr="00FE7622">
              <w:rPr>
                <w:rFonts w:eastAsia="Calibri"/>
                <w:color w:val="auto"/>
              </w:rPr>
              <w:t>0.91</w:t>
            </w:r>
          </w:p>
        </w:tc>
        <w:tc>
          <w:tcPr>
            <w:tcW w:w="0" w:type="auto"/>
            <w:vMerge w:val="restart"/>
            <w:shd w:val="clear" w:color="auto" w:fill="auto"/>
          </w:tcPr>
          <w:p w14:paraId="4C8FABCD" w14:textId="12D0ED5C" w:rsidR="00F026E8" w:rsidRPr="00FE7622" w:rsidRDefault="00F026E8" w:rsidP="00AF19CC">
            <w:pPr>
              <w:pStyle w:val="72TabletextTablesTableFigureBoxstyles"/>
              <w:rPr>
                <w:rFonts w:eastAsia="Calibri"/>
              </w:rPr>
            </w:pPr>
            <w:r w:rsidRPr="00FE7622">
              <w:rPr>
                <w:rFonts w:eastAsia="Calibri"/>
                <w:color w:val="auto"/>
              </w:rPr>
              <w:t>–0.1 (–1.2</w:t>
            </w:r>
            <w:r w:rsidR="00440104" w:rsidRPr="00FE7622">
              <w:rPr>
                <w:rFonts w:eastAsia="Calibri"/>
                <w:color w:val="auto"/>
              </w:rPr>
              <w:t xml:space="preserve"> to</w:t>
            </w:r>
            <w:r w:rsidRPr="00FE7622">
              <w:rPr>
                <w:rFonts w:eastAsia="Calibri"/>
                <w:color w:val="auto"/>
              </w:rPr>
              <w:t xml:space="preserve"> 1.0)</w:t>
            </w:r>
          </w:p>
        </w:tc>
        <w:tc>
          <w:tcPr>
            <w:tcW w:w="0" w:type="auto"/>
            <w:vMerge w:val="restart"/>
            <w:shd w:val="clear" w:color="auto" w:fill="auto"/>
          </w:tcPr>
          <w:p w14:paraId="3EBEC804" w14:textId="77777777" w:rsidR="00F026E8" w:rsidRPr="00FE7622" w:rsidRDefault="00F026E8" w:rsidP="00AF19CC">
            <w:pPr>
              <w:pStyle w:val="72TabletextTablesTableFigureBoxstyles"/>
              <w:rPr>
                <w:rFonts w:eastAsia="Calibri"/>
                <w:color w:val="auto"/>
              </w:rPr>
            </w:pPr>
            <w:r w:rsidRPr="00FE7622">
              <w:rPr>
                <w:rFonts w:eastAsia="Calibri"/>
                <w:color w:val="auto"/>
              </w:rPr>
              <w:t>0.89</w:t>
            </w:r>
          </w:p>
        </w:tc>
      </w:tr>
      <w:tr w:rsidR="00F026E8" w:rsidRPr="00FE7622" w14:paraId="66196CC9" w14:textId="77777777" w:rsidTr="00AF19CC">
        <w:trPr>
          <w:cantSplit/>
        </w:trPr>
        <w:tc>
          <w:tcPr>
            <w:tcW w:w="0" w:type="auto"/>
            <w:shd w:val="clear" w:color="auto" w:fill="auto"/>
          </w:tcPr>
          <w:p w14:paraId="427D298F" w14:textId="6B6F167B" w:rsidR="00F026E8" w:rsidRPr="00FE7622" w:rsidRDefault="00F026E8" w:rsidP="00AF19CC">
            <w:pPr>
              <w:pStyle w:val="72TabletextTablesTableFigureBoxstyles"/>
              <w:rPr>
                <w:rFonts w:eastAsia="Calibri"/>
              </w:rPr>
            </w:pPr>
            <w:r w:rsidRPr="00FE7622">
              <w:rPr>
                <w:rFonts w:eastAsia="Calibri"/>
                <w:color w:val="auto"/>
              </w:rPr>
              <w:t>6</w:t>
            </w:r>
            <w:r w:rsidR="00FB19F4"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6B01F9A" w14:textId="77777777" w:rsidR="00F026E8" w:rsidRPr="00FE7622" w:rsidRDefault="00F026E8" w:rsidP="00AF19CC">
            <w:pPr>
              <w:pStyle w:val="72TabletextTablesTableFigureBoxstyles"/>
              <w:rPr>
                <w:rFonts w:eastAsia="Calibri"/>
              </w:rPr>
            </w:pPr>
            <w:r w:rsidRPr="00FE7622">
              <w:rPr>
                <w:rFonts w:eastAsia="Calibri"/>
                <w:color w:val="auto"/>
              </w:rPr>
              <w:t>7.3 (56, 2.5)</w:t>
            </w:r>
          </w:p>
        </w:tc>
        <w:tc>
          <w:tcPr>
            <w:tcW w:w="0" w:type="auto"/>
            <w:shd w:val="clear" w:color="auto" w:fill="auto"/>
          </w:tcPr>
          <w:p w14:paraId="3DB929D1" w14:textId="77777777" w:rsidR="00F026E8" w:rsidRPr="00FE7622" w:rsidRDefault="00F026E8" w:rsidP="00AF19CC">
            <w:pPr>
              <w:pStyle w:val="72TabletextTablesTableFigureBoxstyles"/>
              <w:rPr>
                <w:rFonts w:eastAsia="Calibri"/>
                <w:color w:val="auto"/>
              </w:rPr>
            </w:pPr>
            <w:r w:rsidRPr="00FE7622">
              <w:rPr>
                <w:rFonts w:eastAsia="Calibri"/>
                <w:color w:val="auto"/>
              </w:rPr>
              <w:t>7.0 (65, 2.7)</w:t>
            </w:r>
          </w:p>
        </w:tc>
        <w:tc>
          <w:tcPr>
            <w:tcW w:w="0" w:type="auto"/>
            <w:vMerge/>
            <w:shd w:val="clear" w:color="auto" w:fill="auto"/>
          </w:tcPr>
          <w:p w14:paraId="03860CB9" w14:textId="77777777" w:rsidR="00F026E8" w:rsidRPr="00FE7622" w:rsidRDefault="00F026E8" w:rsidP="00AF19CC">
            <w:pPr>
              <w:spacing w:line="360" w:lineRule="auto"/>
              <w:rPr>
                <w:rFonts w:ascii="Calibri" w:eastAsia="Calibri" w:hAnsi="Calibri" w:cs="Calibri"/>
              </w:rPr>
            </w:pPr>
          </w:p>
        </w:tc>
        <w:tc>
          <w:tcPr>
            <w:tcW w:w="0" w:type="auto"/>
            <w:vMerge/>
            <w:shd w:val="clear" w:color="auto" w:fill="auto"/>
          </w:tcPr>
          <w:p w14:paraId="48A2C7DC" w14:textId="77777777" w:rsidR="00F026E8" w:rsidRPr="00FE7622" w:rsidRDefault="00F026E8" w:rsidP="00AF19CC">
            <w:pPr>
              <w:spacing w:line="360" w:lineRule="auto"/>
              <w:rPr>
                <w:rFonts w:ascii="Calibri" w:eastAsia="Calibri" w:hAnsi="Calibri" w:cs="Calibri"/>
              </w:rPr>
            </w:pPr>
          </w:p>
        </w:tc>
        <w:tc>
          <w:tcPr>
            <w:tcW w:w="0" w:type="auto"/>
            <w:vMerge/>
            <w:shd w:val="clear" w:color="auto" w:fill="auto"/>
          </w:tcPr>
          <w:p w14:paraId="27DA14AC" w14:textId="77777777" w:rsidR="00F026E8" w:rsidRPr="00FE7622" w:rsidRDefault="00F026E8" w:rsidP="00AF19CC">
            <w:pPr>
              <w:spacing w:line="360" w:lineRule="auto"/>
              <w:rPr>
                <w:rFonts w:ascii="Calibri" w:eastAsia="Calibri" w:hAnsi="Calibri" w:cs="Calibri"/>
              </w:rPr>
            </w:pPr>
          </w:p>
        </w:tc>
        <w:tc>
          <w:tcPr>
            <w:tcW w:w="0" w:type="auto"/>
            <w:vMerge/>
            <w:shd w:val="clear" w:color="auto" w:fill="auto"/>
          </w:tcPr>
          <w:p w14:paraId="7457C47A" w14:textId="77777777" w:rsidR="00F026E8" w:rsidRPr="00FE7622" w:rsidRDefault="00F026E8" w:rsidP="00AF19CC">
            <w:pPr>
              <w:spacing w:line="360" w:lineRule="auto"/>
              <w:rPr>
                <w:rFonts w:ascii="Calibri" w:eastAsia="Calibri" w:hAnsi="Calibri" w:cs="Calibri"/>
              </w:rPr>
            </w:pPr>
          </w:p>
        </w:tc>
      </w:tr>
      <w:tr w:rsidR="00F026E8" w:rsidRPr="00FE7622" w14:paraId="78945013" w14:textId="77777777" w:rsidTr="00AF19CC">
        <w:trPr>
          <w:cantSplit/>
        </w:trPr>
        <w:tc>
          <w:tcPr>
            <w:tcW w:w="0" w:type="auto"/>
            <w:shd w:val="clear" w:color="auto" w:fill="auto"/>
          </w:tcPr>
          <w:p w14:paraId="786F4D95" w14:textId="1FBE5091" w:rsidR="00F026E8" w:rsidRPr="00FE7622" w:rsidRDefault="00F026E8" w:rsidP="00AF19CC">
            <w:pPr>
              <w:pStyle w:val="72TabletextTablesTableFigureBoxstyles"/>
              <w:rPr>
                <w:rFonts w:eastAsia="Calibri"/>
              </w:rPr>
            </w:pPr>
            <w:r w:rsidRPr="00FE7622">
              <w:rPr>
                <w:rFonts w:eastAsia="Calibri"/>
                <w:color w:val="auto"/>
              </w:rPr>
              <w:t>1</w:t>
            </w:r>
            <w:r w:rsidR="00FB19F4" w:rsidRPr="00FE7622">
              <w:rPr>
                <w:rFonts w:eastAsia="Calibri"/>
                <w:color w:val="auto"/>
              </w:rPr>
              <w:t>2-</w:t>
            </w:r>
            <w:r w:rsidRPr="00FE7622">
              <w:rPr>
                <w:rFonts w:eastAsia="Calibri"/>
                <w:color w:val="auto"/>
              </w:rPr>
              <w:t xml:space="preserve">month </w:t>
            </w:r>
            <w:r w:rsidRPr="00842651">
              <w:rPr>
                <w:rFonts w:eastAsia="Calibri"/>
                <w:color w:val="auto"/>
              </w:rPr>
              <w:t>SPPB</w:t>
            </w:r>
            <w:r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610042EA" w14:textId="77777777" w:rsidR="00F026E8" w:rsidRPr="00FE7622" w:rsidRDefault="00F026E8" w:rsidP="00AF19CC">
            <w:pPr>
              <w:pStyle w:val="72TabletextTablesTableFigureBoxstyles"/>
              <w:rPr>
                <w:rFonts w:eastAsia="Calibri"/>
              </w:rPr>
            </w:pPr>
            <w:r w:rsidRPr="00FE7622">
              <w:rPr>
                <w:rFonts w:eastAsia="Calibri"/>
                <w:color w:val="auto"/>
              </w:rPr>
              <w:t>7.2 (52, 2.9)</w:t>
            </w:r>
          </w:p>
        </w:tc>
        <w:tc>
          <w:tcPr>
            <w:tcW w:w="0" w:type="auto"/>
            <w:shd w:val="clear" w:color="auto" w:fill="auto"/>
          </w:tcPr>
          <w:p w14:paraId="6213F986" w14:textId="77777777" w:rsidR="00F026E8" w:rsidRPr="00FE7622" w:rsidRDefault="00F026E8" w:rsidP="00AF19CC">
            <w:pPr>
              <w:pStyle w:val="72TabletextTablesTableFigureBoxstyles"/>
              <w:rPr>
                <w:rFonts w:eastAsia="Calibri"/>
                <w:color w:val="auto"/>
              </w:rPr>
            </w:pPr>
            <w:r w:rsidRPr="00FE7622">
              <w:rPr>
                <w:rFonts w:eastAsia="Calibri"/>
                <w:color w:val="auto"/>
              </w:rPr>
              <w:t>7.6 (57, 2.6)</w:t>
            </w:r>
          </w:p>
        </w:tc>
        <w:tc>
          <w:tcPr>
            <w:tcW w:w="0" w:type="auto"/>
            <w:vMerge/>
            <w:shd w:val="clear" w:color="auto" w:fill="auto"/>
          </w:tcPr>
          <w:p w14:paraId="335886D0" w14:textId="77777777" w:rsidR="00F026E8" w:rsidRPr="00FE7622" w:rsidRDefault="00F026E8" w:rsidP="00AF19CC">
            <w:pPr>
              <w:spacing w:line="360" w:lineRule="auto"/>
              <w:rPr>
                <w:rFonts w:ascii="Calibri" w:eastAsia="Calibri" w:hAnsi="Calibri" w:cs="Calibri"/>
              </w:rPr>
            </w:pPr>
          </w:p>
        </w:tc>
        <w:tc>
          <w:tcPr>
            <w:tcW w:w="0" w:type="auto"/>
            <w:vMerge/>
            <w:shd w:val="clear" w:color="auto" w:fill="auto"/>
          </w:tcPr>
          <w:p w14:paraId="66389A13" w14:textId="77777777" w:rsidR="00F026E8" w:rsidRPr="00FE7622" w:rsidRDefault="00F026E8" w:rsidP="00AF19CC">
            <w:pPr>
              <w:spacing w:line="360" w:lineRule="auto"/>
              <w:rPr>
                <w:rFonts w:ascii="Calibri" w:eastAsia="Calibri" w:hAnsi="Calibri" w:cs="Calibri"/>
              </w:rPr>
            </w:pPr>
          </w:p>
        </w:tc>
        <w:tc>
          <w:tcPr>
            <w:tcW w:w="0" w:type="auto"/>
            <w:vMerge/>
            <w:shd w:val="clear" w:color="auto" w:fill="auto"/>
          </w:tcPr>
          <w:p w14:paraId="247BB3CE" w14:textId="77777777" w:rsidR="00F026E8" w:rsidRPr="00FE7622" w:rsidRDefault="00F026E8" w:rsidP="00AF19CC">
            <w:pPr>
              <w:spacing w:line="360" w:lineRule="auto"/>
              <w:rPr>
                <w:rFonts w:ascii="Calibri" w:eastAsia="Calibri" w:hAnsi="Calibri" w:cs="Calibri"/>
              </w:rPr>
            </w:pPr>
          </w:p>
        </w:tc>
        <w:tc>
          <w:tcPr>
            <w:tcW w:w="0" w:type="auto"/>
            <w:vMerge/>
            <w:shd w:val="clear" w:color="auto" w:fill="auto"/>
          </w:tcPr>
          <w:p w14:paraId="38ADA4B4" w14:textId="77777777" w:rsidR="00F026E8" w:rsidRPr="00FE7622" w:rsidRDefault="00F026E8" w:rsidP="00AF19CC">
            <w:pPr>
              <w:spacing w:line="360" w:lineRule="auto"/>
              <w:rPr>
                <w:rFonts w:ascii="Calibri" w:eastAsia="Calibri" w:hAnsi="Calibri" w:cs="Calibri"/>
              </w:rPr>
            </w:pPr>
          </w:p>
        </w:tc>
      </w:tr>
      <w:tr w:rsidR="00F026E8" w:rsidRPr="00FE7622" w14:paraId="2397590F" w14:textId="77777777" w:rsidTr="00AF19CC">
        <w:trPr>
          <w:cantSplit/>
        </w:trPr>
        <w:tc>
          <w:tcPr>
            <w:tcW w:w="0" w:type="auto"/>
            <w:gridSpan w:val="7"/>
            <w:shd w:val="clear" w:color="auto" w:fill="auto"/>
          </w:tcPr>
          <w:p w14:paraId="6CD0DC11" w14:textId="04CB07D8" w:rsidR="00F026E8" w:rsidRPr="00FE7622" w:rsidRDefault="00E038BF" w:rsidP="00AF19CC">
            <w:pPr>
              <w:pStyle w:val="711TablesubheadATablesTableFigureBoxstyles"/>
              <w:rPr>
                <w:rFonts w:eastAsia="Calibri" w:cs="Calibri"/>
                <w:color w:val="auto"/>
              </w:rPr>
            </w:pPr>
            <w:r w:rsidRPr="00FE7622">
              <w:rPr>
                <w:rFonts w:eastAsia="Calibri"/>
                <w:color w:val="auto"/>
              </w:rPr>
              <w:t>Sensitivity analyses (12 months only)</w:t>
            </w:r>
          </w:p>
        </w:tc>
      </w:tr>
      <w:tr w:rsidR="00F026E8" w:rsidRPr="00FE7622" w14:paraId="329A4DB5" w14:textId="77777777" w:rsidTr="00AF19CC">
        <w:trPr>
          <w:cantSplit/>
        </w:trPr>
        <w:tc>
          <w:tcPr>
            <w:tcW w:w="0" w:type="auto"/>
            <w:shd w:val="clear" w:color="auto" w:fill="auto"/>
          </w:tcPr>
          <w:p w14:paraId="0040690C" w14:textId="3123274E" w:rsidR="00F026E8" w:rsidRPr="00FE7622" w:rsidRDefault="00F026E8" w:rsidP="00AF19CC">
            <w:pPr>
              <w:pStyle w:val="72TabletextTablesTableFigureBoxstyles"/>
              <w:rPr>
                <w:rFonts w:eastAsia="Calibri"/>
              </w:rPr>
            </w:pPr>
            <w:r w:rsidRPr="00FE7622">
              <w:rPr>
                <w:rFonts w:eastAsia="Calibri"/>
                <w:color w:val="auto"/>
              </w:rPr>
              <w:t>12</w:t>
            </w:r>
            <w:r w:rsidR="00FB19F4"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20AA79C" w14:textId="77777777" w:rsidR="00F026E8" w:rsidRPr="00FE7622" w:rsidRDefault="00F026E8" w:rsidP="00AF19CC">
            <w:pPr>
              <w:pStyle w:val="72TabletextTablesTableFigureBoxstyles"/>
              <w:rPr>
                <w:rFonts w:eastAsia="Calibri"/>
              </w:rPr>
            </w:pPr>
            <w:r w:rsidRPr="00FE7622">
              <w:rPr>
                <w:rFonts w:eastAsia="Calibri"/>
                <w:color w:val="auto"/>
              </w:rPr>
              <w:t>7.2 (52, 2.9)</w:t>
            </w:r>
          </w:p>
        </w:tc>
        <w:tc>
          <w:tcPr>
            <w:tcW w:w="0" w:type="auto"/>
            <w:shd w:val="clear" w:color="auto" w:fill="auto"/>
          </w:tcPr>
          <w:p w14:paraId="2DCCD2A2" w14:textId="77777777" w:rsidR="00F026E8" w:rsidRPr="00FE7622" w:rsidRDefault="00F026E8" w:rsidP="00AF19CC">
            <w:pPr>
              <w:pStyle w:val="72TabletextTablesTableFigureBoxstyles"/>
              <w:rPr>
                <w:rFonts w:eastAsia="Calibri"/>
                <w:color w:val="auto"/>
              </w:rPr>
            </w:pPr>
            <w:r w:rsidRPr="00FE7622">
              <w:rPr>
                <w:rFonts w:eastAsia="Calibri"/>
                <w:color w:val="auto"/>
              </w:rPr>
              <w:t>7.6 (57, 2.6)</w:t>
            </w:r>
          </w:p>
        </w:tc>
        <w:tc>
          <w:tcPr>
            <w:tcW w:w="0" w:type="auto"/>
            <w:shd w:val="clear" w:color="auto" w:fill="auto"/>
          </w:tcPr>
          <w:p w14:paraId="25B9533D" w14:textId="5CA2A90E" w:rsidR="00F026E8" w:rsidRPr="00FE7622" w:rsidRDefault="00F026E8" w:rsidP="00AF19CC">
            <w:pPr>
              <w:pStyle w:val="72TabletextTablesTableFigureBoxstyles"/>
              <w:rPr>
                <w:rFonts w:eastAsia="Calibri"/>
              </w:rPr>
            </w:pPr>
            <w:r w:rsidRPr="00FE7622">
              <w:rPr>
                <w:rFonts w:eastAsia="Calibri"/>
                <w:color w:val="auto"/>
              </w:rPr>
              <w:t>–0.6 (–1.4</w:t>
            </w:r>
            <w:r w:rsidR="00440104" w:rsidRPr="00FE7622">
              <w:rPr>
                <w:rFonts w:eastAsia="Calibri"/>
                <w:color w:val="auto"/>
              </w:rPr>
              <w:t xml:space="preserve"> to</w:t>
            </w:r>
            <w:r w:rsidRPr="00FE7622">
              <w:rPr>
                <w:rFonts w:eastAsia="Calibri"/>
                <w:color w:val="auto"/>
              </w:rPr>
              <w:t xml:space="preserve"> 0.2)</w:t>
            </w:r>
          </w:p>
        </w:tc>
        <w:tc>
          <w:tcPr>
            <w:tcW w:w="0" w:type="auto"/>
            <w:shd w:val="clear" w:color="auto" w:fill="auto"/>
          </w:tcPr>
          <w:p w14:paraId="51BB2273" w14:textId="77777777" w:rsidR="00F026E8" w:rsidRPr="00FE7622" w:rsidRDefault="00F026E8" w:rsidP="00AF19CC">
            <w:pPr>
              <w:pStyle w:val="72TabletextTablesTableFigureBoxstyles"/>
              <w:rPr>
                <w:rFonts w:eastAsia="Calibri"/>
              </w:rPr>
            </w:pPr>
            <w:r w:rsidRPr="00FE7622">
              <w:rPr>
                <w:rFonts w:eastAsia="Calibri"/>
                <w:color w:val="auto"/>
              </w:rPr>
              <w:t>0.12</w:t>
            </w:r>
          </w:p>
        </w:tc>
        <w:tc>
          <w:tcPr>
            <w:tcW w:w="0" w:type="auto"/>
            <w:shd w:val="clear" w:color="auto" w:fill="auto"/>
          </w:tcPr>
          <w:p w14:paraId="13258712" w14:textId="299FBF5C" w:rsidR="00F026E8" w:rsidRPr="00FE7622" w:rsidRDefault="00F026E8" w:rsidP="00AF19CC">
            <w:pPr>
              <w:pStyle w:val="72TabletextTablesTableFigureBoxstyles"/>
              <w:rPr>
                <w:rFonts w:eastAsia="Calibri"/>
              </w:rPr>
            </w:pPr>
            <w:r w:rsidRPr="00FE7622">
              <w:rPr>
                <w:rFonts w:eastAsia="Calibri"/>
                <w:color w:val="auto"/>
              </w:rPr>
              <w:t>0.5 (–2.6</w:t>
            </w:r>
            <w:r w:rsidR="00440104" w:rsidRPr="00FE7622">
              <w:rPr>
                <w:rFonts w:eastAsia="Calibri"/>
                <w:color w:val="auto"/>
              </w:rPr>
              <w:t xml:space="preserve"> to</w:t>
            </w:r>
            <w:r w:rsidRPr="00FE7622">
              <w:rPr>
                <w:rFonts w:eastAsia="Calibri"/>
                <w:color w:val="auto"/>
              </w:rPr>
              <w:t xml:space="preserve"> 3.6)</w:t>
            </w:r>
          </w:p>
        </w:tc>
        <w:tc>
          <w:tcPr>
            <w:tcW w:w="0" w:type="auto"/>
            <w:shd w:val="clear" w:color="auto" w:fill="auto"/>
          </w:tcPr>
          <w:p w14:paraId="21BB8998" w14:textId="77777777" w:rsidR="00F026E8" w:rsidRPr="00FE7622" w:rsidRDefault="00F026E8" w:rsidP="00AF19CC">
            <w:pPr>
              <w:pStyle w:val="72TabletextTablesTableFigureBoxstyles"/>
              <w:rPr>
                <w:rFonts w:eastAsia="Calibri"/>
                <w:color w:val="auto"/>
              </w:rPr>
            </w:pPr>
            <w:r w:rsidRPr="00FE7622">
              <w:rPr>
                <w:rFonts w:eastAsia="Calibri"/>
                <w:color w:val="auto"/>
              </w:rPr>
              <w:t>0.73</w:t>
            </w:r>
          </w:p>
        </w:tc>
      </w:tr>
      <w:tr w:rsidR="00F026E8" w:rsidRPr="00FE7622" w14:paraId="6C29B6EE" w14:textId="77777777" w:rsidTr="00AF19CC">
        <w:trPr>
          <w:cantSplit/>
        </w:trPr>
        <w:tc>
          <w:tcPr>
            <w:tcW w:w="0" w:type="auto"/>
            <w:shd w:val="clear" w:color="auto" w:fill="auto"/>
          </w:tcPr>
          <w:p w14:paraId="64A3E926" w14:textId="63C6BCB3" w:rsidR="00F026E8" w:rsidRPr="00FE7622" w:rsidRDefault="00F026E8" w:rsidP="00AF19CC">
            <w:pPr>
              <w:pStyle w:val="72TabletextTablesTableFigureBoxstyles"/>
              <w:rPr>
                <w:rFonts w:eastAsia="Calibri"/>
              </w:rPr>
            </w:pPr>
            <w:r w:rsidRPr="00FE7622">
              <w:rPr>
                <w:rFonts w:eastAsia="Calibri"/>
                <w:color w:val="auto"/>
              </w:rPr>
              <w:t>12</w:t>
            </w:r>
            <w:r w:rsidR="00FB19F4"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 worst</w:t>
            </w:r>
            <w:r w:rsidR="00FB19F4" w:rsidRPr="00FE7622">
              <w:rPr>
                <w:rFonts w:eastAsia="Calibri"/>
                <w:color w:val="auto"/>
              </w:rPr>
              <w:t xml:space="preserve"> </w:t>
            </w:r>
            <w:r w:rsidRPr="00FE7622">
              <w:rPr>
                <w:rFonts w:eastAsia="Calibri"/>
                <w:color w:val="auto"/>
              </w:rPr>
              <w:t>case</w:t>
            </w:r>
            <w:r w:rsidR="00E038BF" w:rsidRPr="00FE7622">
              <w:rPr>
                <w:rFonts w:eastAsia="Calibri"/>
                <w:color w:val="auto"/>
                <w:vertAlign w:val="superscript"/>
              </w:rPr>
              <w:t>a</w:t>
            </w:r>
            <w:r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7F34532F" w14:textId="71E08C5C" w:rsidR="00F026E8" w:rsidRPr="00FE7622" w:rsidRDefault="00F026E8" w:rsidP="00AF19CC">
            <w:pPr>
              <w:pStyle w:val="72TabletextTablesTableFigureBoxstyles"/>
              <w:rPr>
                <w:rFonts w:eastAsia="Calibri"/>
              </w:rPr>
            </w:pPr>
            <w:r w:rsidRPr="00FE7622">
              <w:rPr>
                <w:rFonts w:eastAsia="Calibri"/>
                <w:color w:val="auto"/>
              </w:rPr>
              <w:t>5.1 (73</w:t>
            </w:r>
            <w:r w:rsidR="00FB19F4" w:rsidRPr="00FE7622">
              <w:rPr>
                <w:rFonts w:eastAsia="Calibri"/>
                <w:color w:val="auto"/>
              </w:rPr>
              <w:t>,</w:t>
            </w:r>
            <w:r w:rsidRPr="00FE7622">
              <w:rPr>
                <w:rFonts w:eastAsia="Calibri"/>
                <w:color w:val="auto"/>
              </w:rPr>
              <w:t xml:space="preserve"> 4.1)</w:t>
            </w:r>
          </w:p>
        </w:tc>
        <w:tc>
          <w:tcPr>
            <w:tcW w:w="0" w:type="auto"/>
            <w:shd w:val="clear" w:color="auto" w:fill="auto"/>
          </w:tcPr>
          <w:p w14:paraId="15681FFF" w14:textId="77777777" w:rsidR="00F026E8" w:rsidRPr="00FE7622" w:rsidRDefault="00F026E8" w:rsidP="00AF19CC">
            <w:pPr>
              <w:pStyle w:val="72TabletextTablesTableFigureBoxstyles"/>
              <w:rPr>
                <w:rFonts w:eastAsia="Calibri"/>
                <w:color w:val="auto"/>
              </w:rPr>
            </w:pPr>
            <w:r w:rsidRPr="00FE7622">
              <w:rPr>
                <w:rFonts w:eastAsia="Calibri"/>
                <w:color w:val="auto"/>
              </w:rPr>
              <w:t>6.0 (72, 3.9)</w:t>
            </w:r>
          </w:p>
        </w:tc>
        <w:tc>
          <w:tcPr>
            <w:tcW w:w="0" w:type="auto"/>
            <w:shd w:val="clear" w:color="auto" w:fill="auto"/>
          </w:tcPr>
          <w:p w14:paraId="56A03F18" w14:textId="10B702F0" w:rsidR="00F026E8" w:rsidRPr="00FE7622" w:rsidRDefault="00F026E8" w:rsidP="00AF19CC">
            <w:pPr>
              <w:pStyle w:val="72TabletextTablesTableFigureBoxstyles"/>
              <w:rPr>
                <w:rFonts w:eastAsia="Calibri"/>
              </w:rPr>
            </w:pPr>
            <w:r w:rsidRPr="00FE7622">
              <w:rPr>
                <w:rFonts w:eastAsia="Calibri"/>
                <w:color w:val="auto"/>
              </w:rPr>
              <w:t>–1.0 (–2.2</w:t>
            </w:r>
            <w:r w:rsidR="00440104" w:rsidRPr="00FE7622">
              <w:rPr>
                <w:rFonts w:eastAsia="Calibri"/>
                <w:color w:val="auto"/>
              </w:rPr>
              <w:t xml:space="preserve"> to</w:t>
            </w:r>
            <w:r w:rsidRPr="00FE7622">
              <w:rPr>
                <w:rFonts w:eastAsia="Calibri"/>
                <w:color w:val="auto"/>
              </w:rPr>
              <w:t xml:space="preserve"> 0.2)</w:t>
            </w:r>
          </w:p>
        </w:tc>
        <w:tc>
          <w:tcPr>
            <w:tcW w:w="0" w:type="auto"/>
            <w:shd w:val="clear" w:color="auto" w:fill="auto"/>
          </w:tcPr>
          <w:p w14:paraId="5CA1642B" w14:textId="77777777" w:rsidR="00F026E8" w:rsidRPr="00FE7622" w:rsidRDefault="00F026E8" w:rsidP="00AF19CC">
            <w:pPr>
              <w:pStyle w:val="72TabletextTablesTableFigureBoxstyles"/>
              <w:rPr>
                <w:rFonts w:eastAsia="Calibri"/>
              </w:rPr>
            </w:pPr>
            <w:r w:rsidRPr="00FE7622">
              <w:rPr>
                <w:rFonts w:eastAsia="Calibri"/>
                <w:color w:val="auto"/>
              </w:rPr>
              <w:t>0.10</w:t>
            </w:r>
          </w:p>
        </w:tc>
        <w:tc>
          <w:tcPr>
            <w:tcW w:w="0" w:type="auto"/>
            <w:shd w:val="clear" w:color="auto" w:fill="auto"/>
          </w:tcPr>
          <w:p w14:paraId="368CA767" w14:textId="5DDEADF3" w:rsidR="00F026E8" w:rsidRPr="00FE7622" w:rsidRDefault="00F026E8" w:rsidP="00AF19CC">
            <w:pPr>
              <w:pStyle w:val="72TabletextTablesTableFigureBoxstyles"/>
              <w:rPr>
                <w:rFonts w:eastAsia="Calibri"/>
              </w:rPr>
            </w:pPr>
            <w:r w:rsidRPr="00FE7622">
              <w:rPr>
                <w:rFonts w:eastAsia="Calibri"/>
                <w:color w:val="auto"/>
              </w:rPr>
              <w:t>0.2 (–2.4</w:t>
            </w:r>
            <w:r w:rsidR="00440104" w:rsidRPr="00FE7622">
              <w:rPr>
                <w:rFonts w:eastAsia="Calibri"/>
                <w:color w:val="auto"/>
              </w:rPr>
              <w:t xml:space="preserve"> to</w:t>
            </w:r>
            <w:r w:rsidRPr="00FE7622">
              <w:rPr>
                <w:rFonts w:eastAsia="Calibri"/>
                <w:color w:val="auto"/>
              </w:rPr>
              <w:t xml:space="preserve"> 2.8)</w:t>
            </w:r>
          </w:p>
        </w:tc>
        <w:tc>
          <w:tcPr>
            <w:tcW w:w="0" w:type="auto"/>
            <w:shd w:val="clear" w:color="auto" w:fill="auto"/>
          </w:tcPr>
          <w:p w14:paraId="4CFEF5D4" w14:textId="77777777" w:rsidR="00F026E8" w:rsidRPr="00FE7622" w:rsidRDefault="00F026E8" w:rsidP="00AF19CC">
            <w:pPr>
              <w:pStyle w:val="72TabletextTablesTableFigureBoxstyles"/>
              <w:rPr>
                <w:rFonts w:eastAsia="Calibri"/>
                <w:color w:val="auto"/>
              </w:rPr>
            </w:pPr>
            <w:r w:rsidRPr="00FE7622">
              <w:rPr>
                <w:rFonts w:eastAsia="Calibri"/>
                <w:color w:val="auto"/>
              </w:rPr>
              <w:t>0.87</w:t>
            </w:r>
          </w:p>
        </w:tc>
      </w:tr>
      <w:tr w:rsidR="00F026E8" w:rsidRPr="00FE7622" w14:paraId="7490DEEB" w14:textId="77777777" w:rsidTr="00AF19CC">
        <w:trPr>
          <w:cantSplit/>
        </w:trPr>
        <w:tc>
          <w:tcPr>
            <w:tcW w:w="0" w:type="auto"/>
            <w:gridSpan w:val="7"/>
            <w:shd w:val="clear" w:color="auto" w:fill="auto"/>
          </w:tcPr>
          <w:p w14:paraId="35A4254C" w14:textId="7624275C" w:rsidR="00F026E8" w:rsidRPr="00FE7622" w:rsidRDefault="008C3800" w:rsidP="00AF19CC">
            <w:pPr>
              <w:pStyle w:val="75TablenotesTablesTableFigureBoxstyles"/>
              <w:rPr>
                <w:lang w:val="en-GB"/>
              </w:rPr>
            </w:pPr>
            <w:r w:rsidRPr="00FE7622">
              <w:rPr>
                <w:lang w:val="en-GB"/>
              </w:rPr>
              <w:t>a</w:t>
            </w:r>
            <w:r w:rsidRPr="00FE7622">
              <w:rPr>
                <w:lang w:val="en-GB"/>
              </w:rPr>
              <w:tab/>
            </w:r>
            <w:r w:rsidR="00F026E8" w:rsidRPr="00FE7622">
              <w:rPr>
                <w:lang w:val="en-GB"/>
              </w:rPr>
              <w:t xml:space="preserve">Imputing </w:t>
            </w:r>
            <w:r w:rsidR="00F026E8" w:rsidRPr="00842651">
              <w:rPr>
                <w:lang w:val="en-GB"/>
              </w:rPr>
              <w:t>SPPB</w:t>
            </w:r>
            <w:r w:rsidR="00D80D4B" w:rsidRPr="00FE7622">
              <w:rPr>
                <w:lang w:val="en-GB"/>
              </w:rPr>
              <w:t> = </w:t>
            </w:r>
            <w:r w:rsidR="00F026E8" w:rsidRPr="00FE7622">
              <w:rPr>
                <w:lang w:val="en-GB"/>
              </w:rPr>
              <w:t>0 for all missing data</w:t>
            </w:r>
            <w:r w:rsidR="001A2958" w:rsidRPr="00FE7622">
              <w:rPr>
                <w:lang w:val="en-GB"/>
              </w:rPr>
              <w:t>.</w:t>
            </w:r>
          </w:p>
          <w:p w14:paraId="7537B111" w14:textId="0C46DBCA" w:rsidR="00F026E8" w:rsidRPr="00FE7622" w:rsidRDefault="00F026E8" w:rsidP="00AF19CC">
            <w:pPr>
              <w:pStyle w:val="75TablenotesTablesTableFigureBoxstyles"/>
              <w:rPr>
                <w:rFonts w:ascii="Calibri" w:eastAsia="Calibri" w:hAnsi="Calibri" w:cs="Calibri"/>
                <w:lang w:val="en-GB"/>
              </w:rPr>
            </w:pPr>
            <w:r w:rsidRPr="00FE7622">
              <w:rPr>
                <w:lang w:val="en-GB"/>
              </w:rPr>
              <w:t xml:space="preserve">Adjusted analyses adjusted for age, sex, </w:t>
            </w:r>
            <w:r w:rsidRPr="00842651">
              <w:rPr>
                <w:lang w:val="en-GB"/>
              </w:rPr>
              <w:t>SPPB</w:t>
            </w:r>
            <w:r w:rsidRPr="00FE7622">
              <w:rPr>
                <w:lang w:val="en-GB"/>
              </w:rPr>
              <w:t xml:space="preserve">, Charlson Comorbidity </w:t>
            </w:r>
            <w:r w:rsidR="00440104" w:rsidRPr="00FE7622">
              <w:rPr>
                <w:lang w:val="en-GB"/>
              </w:rPr>
              <w:t>Index s</w:t>
            </w:r>
            <w:r w:rsidRPr="00FE7622">
              <w:rPr>
                <w:lang w:val="en-GB"/>
              </w:rPr>
              <w:t>core and baseline handgrip strength</w:t>
            </w:r>
            <w:r w:rsidR="001A2958" w:rsidRPr="00FE7622">
              <w:rPr>
                <w:lang w:val="en-GB"/>
              </w:rPr>
              <w:t>.</w:t>
            </w:r>
          </w:p>
        </w:tc>
      </w:tr>
    </w:tbl>
    <w:p w14:paraId="40C852E4" w14:textId="0B3C8681" w:rsidR="00F026E8" w:rsidRPr="00FE7622" w:rsidRDefault="00E038BF" w:rsidP="00F026E8">
      <w:pPr>
        <w:pStyle w:val="70TablelegendTablesTableFigureBoxstyles"/>
        <w:rPr>
          <w:lang w:val="en-GB"/>
        </w:rPr>
      </w:pPr>
      <w:r w:rsidRPr="00FE7622">
        <w:rPr>
          <w:b/>
        </w:rPr>
        <w:t>TABLE 7</w:t>
      </w:r>
      <w:r w:rsidRPr="00FE7622">
        <w:rPr>
          <w:b/>
        </w:rPr>
        <w:t> </w:t>
      </w:r>
      <w:r w:rsidRPr="00E038BF">
        <w:rPr>
          <w:b/>
          <w:color w:val="FF00FF"/>
          <w:sz w:val="24"/>
        </w:rPr>
        <w:t>[17]</w:t>
      </w:r>
      <w:commentRangeStart w:id="91"/>
      <w:r w:rsidR="00F026E8" w:rsidRPr="00FE7622">
        <w:rPr>
          <w:lang w:val="en-GB"/>
        </w:rPr>
        <w:t>Subgroup analyses for primary outcome</w:t>
      </w:r>
      <w:r w:rsidR="004F3568" w:rsidRPr="00FE7622">
        <w:rPr>
          <w:lang w:val="en-GB"/>
        </w:rPr>
        <w:t>:</w:t>
      </w:r>
      <w:r w:rsidR="00F026E8" w:rsidRPr="00FE7622">
        <w:rPr>
          <w:lang w:val="en-GB"/>
        </w:rPr>
        <w:t xml:space="preserve"> </w:t>
      </w:r>
      <w:r w:rsidR="004F3568" w:rsidRPr="00FE7622">
        <w:rPr>
          <w:lang w:val="en-GB"/>
        </w:rPr>
        <w:t>p</w:t>
      </w:r>
      <w:r w:rsidR="00F026E8" w:rsidRPr="00FE7622">
        <w:rPr>
          <w:lang w:val="en-GB"/>
        </w:rPr>
        <w:t>erindopril vs</w:t>
      </w:r>
      <w:r w:rsidR="004F3568" w:rsidRPr="00FE7622">
        <w:rPr>
          <w:lang w:val="en-GB"/>
        </w:rPr>
        <w:t>.</w:t>
      </w:r>
      <w:r w:rsidR="00F026E8" w:rsidRPr="00FE7622">
        <w:rPr>
          <w:lang w:val="en-GB"/>
        </w:rPr>
        <w:t xml:space="preserve"> placebo</w:t>
      </w:r>
      <w:commentRangeEnd w:id="91"/>
      <w:r w:rsidR="00B93A6A" w:rsidRPr="00FE7622">
        <w:rPr>
          <w:rStyle w:val="CommentReference"/>
          <w:rFonts w:ascii="Times New Roman" w:hAnsi="Times New Roman" w:cs="Times New Roman"/>
          <w:color w:val="auto"/>
        </w:rPr>
        <w:commentReference w:id="91"/>
      </w:r>
    </w:p>
    <w:tbl>
      <w:tblPr>
        <w:tblW w:w="0" w:type="auto"/>
        <w:tblCellMar>
          <w:top w:w="40" w:type="dxa"/>
          <w:left w:w="60" w:type="dxa"/>
          <w:bottom w:w="40" w:type="dxa"/>
          <w:right w:w="60" w:type="dxa"/>
        </w:tblCellMar>
        <w:tblLook w:val="04A0" w:firstRow="1" w:lastRow="0" w:firstColumn="1" w:lastColumn="0" w:noHBand="0" w:noVBand="1"/>
      </w:tblPr>
      <w:tblGrid>
        <w:gridCol w:w="4398"/>
        <w:gridCol w:w="2628"/>
        <w:gridCol w:w="2000"/>
      </w:tblGrid>
      <w:tr w:rsidR="00440104" w:rsidRPr="00FE7622" w14:paraId="604F08A0" w14:textId="77777777" w:rsidTr="00AF19CC">
        <w:trPr>
          <w:cantSplit/>
        </w:trPr>
        <w:tc>
          <w:tcPr>
            <w:tcW w:w="0" w:type="auto"/>
            <w:shd w:val="clear" w:color="auto" w:fill="auto"/>
          </w:tcPr>
          <w:p w14:paraId="6020BB56" w14:textId="2C00B90A" w:rsidR="00F026E8" w:rsidRPr="00FE7622" w:rsidRDefault="00E038BF" w:rsidP="00AF19CC">
            <w:pPr>
              <w:pStyle w:val="710TableheadTablesTableFigureBoxstyles"/>
              <w:rPr>
                <w:rFonts w:eastAsia="Calibri"/>
              </w:rPr>
            </w:pPr>
            <w:r w:rsidRPr="00FE7622">
              <w:rPr>
                <w:rFonts w:eastAsia="Calibri"/>
              </w:rPr>
              <w:t>Subgroup analysis</w:t>
            </w:r>
          </w:p>
        </w:tc>
        <w:tc>
          <w:tcPr>
            <w:tcW w:w="0" w:type="auto"/>
            <w:shd w:val="clear" w:color="auto" w:fill="auto"/>
          </w:tcPr>
          <w:p w14:paraId="62BFA928" w14:textId="32C7749F" w:rsidR="00F026E8" w:rsidRPr="00FE7622" w:rsidRDefault="00E038BF" w:rsidP="00AF19CC">
            <w:pPr>
              <w:pStyle w:val="710TableheadTablesTableFigureBoxstyles"/>
              <w:rPr>
                <w:rFonts w:eastAsia="Calibri"/>
              </w:rPr>
            </w:pPr>
            <w:r w:rsidRPr="00FE7622">
              <w:rPr>
                <w:rFonts w:eastAsia="Calibri"/>
              </w:rPr>
              <w:t xml:space="preserve">Adjusted treatment effect (95% </w:t>
            </w:r>
            <w:r w:rsidRPr="00842651">
              <w:rPr>
                <w:rFonts w:eastAsia="Calibri"/>
              </w:rPr>
              <w:t>CI</w:t>
            </w:r>
            <w:r w:rsidRPr="00FE7622">
              <w:rPr>
                <w:rFonts w:eastAsia="Calibri"/>
              </w:rPr>
              <w:t>)</w:t>
            </w:r>
          </w:p>
        </w:tc>
        <w:tc>
          <w:tcPr>
            <w:tcW w:w="0" w:type="auto"/>
            <w:shd w:val="clear" w:color="auto" w:fill="auto"/>
          </w:tcPr>
          <w:p w14:paraId="6DC95858" w14:textId="28D1D63F" w:rsidR="00F026E8" w:rsidRPr="00FE7622" w:rsidRDefault="00E038BF" w:rsidP="00AF19CC">
            <w:pPr>
              <w:pStyle w:val="710TableheadTablesTableFigureBoxstyles"/>
              <w:rPr>
                <w:rFonts w:eastAsia="Calibri"/>
              </w:rPr>
            </w:pPr>
            <w:r w:rsidRPr="00FE7622">
              <w:rPr>
                <w:rFonts w:eastAsia="Calibri"/>
                <w:i/>
                <w:iCs/>
              </w:rPr>
              <w:t>p</w:t>
            </w:r>
            <w:r w:rsidRPr="00FE7622">
              <w:rPr>
                <w:rFonts w:eastAsia="Calibri"/>
              </w:rPr>
              <w:t>-value for interaction</w:t>
            </w:r>
          </w:p>
        </w:tc>
      </w:tr>
      <w:tr w:rsidR="00440104" w:rsidRPr="00FE7622" w14:paraId="75B440AD" w14:textId="77777777" w:rsidTr="00AF19CC">
        <w:trPr>
          <w:cantSplit/>
        </w:trPr>
        <w:tc>
          <w:tcPr>
            <w:tcW w:w="0" w:type="auto"/>
            <w:shd w:val="clear" w:color="auto" w:fill="auto"/>
          </w:tcPr>
          <w:p w14:paraId="530AC840" w14:textId="77777777" w:rsidR="00F026E8" w:rsidRPr="00FE7622" w:rsidRDefault="00F026E8" w:rsidP="00AF19CC">
            <w:pPr>
              <w:pStyle w:val="72TabletextTablesTableFigureBoxstyles"/>
              <w:rPr>
                <w:rFonts w:eastAsia="Calibri"/>
                <w:color w:val="auto"/>
              </w:rPr>
            </w:pPr>
            <w:r w:rsidRPr="00FE7622">
              <w:rPr>
                <w:rFonts w:eastAsia="Calibri"/>
                <w:color w:val="auto"/>
              </w:rPr>
              <w:t>Age &gt; 80 years</w:t>
            </w:r>
          </w:p>
        </w:tc>
        <w:tc>
          <w:tcPr>
            <w:tcW w:w="0" w:type="auto"/>
            <w:shd w:val="clear" w:color="auto" w:fill="auto"/>
          </w:tcPr>
          <w:p w14:paraId="5FB12F31" w14:textId="69CD4FA5" w:rsidR="00F026E8" w:rsidRPr="00FE7622" w:rsidRDefault="00F026E8" w:rsidP="00AF19CC">
            <w:pPr>
              <w:pStyle w:val="72TabletextTablesTableFigureBoxstyles"/>
              <w:rPr>
                <w:rFonts w:eastAsia="Calibri"/>
                <w:color w:val="auto"/>
              </w:rPr>
            </w:pPr>
            <w:r w:rsidRPr="00FE7622">
              <w:rPr>
                <w:rFonts w:eastAsia="Calibri"/>
                <w:color w:val="auto"/>
              </w:rPr>
              <w:t>–0.5 (–1.5</w:t>
            </w:r>
            <w:r w:rsidR="004B1FFD" w:rsidRPr="00FE7622">
              <w:rPr>
                <w:rFonts w:eastAsia="Calibri"/>
                <w:color w:val="auto"/>
              </w:rPr>
              <w:t xml:space="preserve"> to</w:t>
            </w:r>
            <w:r w:rsidRPr="00FE7622">
              <w:rPr>
                <w:rFonts w:eastAsia="Calibri"/>
                <w:color w:val="auto"/>
              </w:rPr>
              <w:t xml:space="preserve"> 0.5)</w:t>
            </w:r>
          </w:p>
        </w:tc>
        <w:tc>
          <w:tcPr>
            <w:tcW w:w="0" w:type="auto"/>
            <w:vMerge w:val="restart"/>
            <w:shd w:val="clear" w:color="auto" w:fill="auto"/>
          </w:tcPr>
          <w:p w14:paraId="2B6C52E1" w14:textId="77777777" w:rsidR="00F026E8" w:rsidRPr="00FE7622" w:rsidRDefault="00F026E8" w:rsidP="00AF19CC">
            <w:pPr>
              <w:pStyle w:val="72TabletextTablesTableFigureBoxstyles"/>
              <w:rPr>
                <w:rFonts w:eastAsia="Calibri"/>
                <w:color w:val="auto"/>
              </w:rPr>
            </w:pPr>
            <w:r w:rsidRPr="00FE7622">
              <w:rPr>
                <w:rFonts w:eastAsia="Calibri"/>
                <w:color w:val="auto"/>
              </w:rPr>
              <w:t>0.25</w:t>
            </w:r>
          </w:p>
        </w:tc>
      </w:tr>
      <w:tr w:rsidR="00440104" w:rsidRPr="00FE7622" w14:paraId="08A4031A" w14:textId="77777777" w:rsidTr="00AF19CC">
        <w:trPr>
          <w:cantSplit/>
        </w:trPr>
        <w:tc>
          <w:tcPr>
            <w:tcW w:w="0" w:type="auto"/>
            <w:shd w:val="clear" w:color="auto" w:fill="auto"/>
          </w:tcPr>
          <w:p w14:paraId="1F221CDE" w14:textId="3691CAF8" w:rsidR="00F026E8" w:rsidRPr="00FE7622" w:rsidRDefault="00F026E8" w:rsidP="00AF19CC">
            <w:pPr>
              <w:pStyle w:val="72TabletextTablesTableFigureBoxstyles"/>
              <w:rPr>
                <w:rFonts w:eastAsia="Calibri"/>
                <w:color w:val="auto"/>
              </w:rPr>
            </w:pPr>
            <w:r w:rsidRPr="00FE7622">
              <w:rPr>
                <w:rFonts w:eastAsia="Calibri"/>
                <w:color w:val="auto"/>
              </w:rPr>
              <w:t xml:space="preserve">Age </w:t>
            </w:r>
            <w:r w:rsidR="00440104" w:rsidRPr="00FE7622">
              <w:rPr>
                <w:rFonts w:eastAsia="Calibri"/>
                <w:color w:val="auto"/>
              </w:rPr>
              <w:t>≤ </w:t>
            </w:r>
            <w:r w:rsidRPr="00FE7622">
              <w:rPr>
                <w:rFonts w:eastAsia="Calibri"/>
                <w:color w:val="auto"/>
              </w:rPr>
              <w:t>80 years</w:t>
            </w:r>
          </w:p>
        </w:tc>
        <w:tc>
          <w:tcPr>
            <w:tcW w:w="0" w:type="auto"/>
            <w:shd w:val="clear" w:color="auto" w:fill="auto"/>
          </w:tcPr>
          <w:p w14:paraId="7ABA3967" w14:textId="1FDEA1AD" w:rsidR="00F026E8" w:rsidRPr="00FE7622" w:rsidRDefault="00F026E8" w:rsidP="00AF19CC">
            <w:pPr>
              <w:pStyle w:val="72TabletextTablesTableFigureBoxstyles"/>
              <w:rPr>
                <w:rFonts w:eastAsia="Calibri"/>
                <w:color w:val="auto"/>
              </w:rPr>
            </w:pPr>
            <w:r w:rsidRPr="00FE7622">
              <w:rPr>
                <w:rFonts w:eastAsia="Calibri"/>
                <w:color w:val="auto"/>
              </w:rPr>
              <w:t>–1.4 (–2.7</w:t>
            </w:r>
            <w:r w:rsidR="004B1FFD" w:rsidRPr="00FE7622">
              <w:rPr>
                <w:rFonts w:eastAsia="Calibri"/>
                <w:color w:val="auto"/>
              </w:rPr>
              <w:t xml:space="preserve"> to</w:t>
            </w:r>
            <w:r w:rsidRPr="00FE7622">
              <w:rPr>
                <w:rFonts w:eastAsia="Calibri"/>
                <w:color w:val="auto"/>
              </w:rPr>
              <w:t xml:space="preserve"> </w:t>
            </w:r>
            <w:r w:rsidR="004B1FFD" w:rsidRPr="00FE7622">
              <w:rPr>
                <w:rFonts w:eastAsia="Calibri"/>
                <w:color w:val="auto"/>
              </w:rPr>
              <w:t>–</w:t>
            </w:r>
            <w:r w:rsidRPr="00FE7622">
              <w:rPr>
                <w:rFonts w:eastAsia="Calibri"/>
                <w:color w:val="auto"/>
              </w:rPr>
              <w:t>0.0)</w:t>
            </w:r>
          </w:p>
        </w:tc>
        <w:tc>
          <w:tcPr>
            <w:tcW w:w="0" w:type="auto"/>
            <w:vMerge/>
            <w:shd w:val="clear" w:color="auto" w:fill="auto"/>
          </w:tcPr>
          <w:p w14:paraId="55390C91" w14:textId="77777777" w:rsidR="00F026E8" w:rsidRPr="00FE7622" w:rsidRDefault="00F026E8" w:rsidP="00AF19CC">
            <w:pPr>
              <w:pStyle w:val="72TabletextTablesTableFigureBoxstyles"/>
              <w:rPr>
                <w:rFonts w:eastAsia="Calibri"/>
                <w:color w:val="auto"/>
              </w:rPr>
            </w:pPr>
          </w:p>
        </w:tc>
      </w:tr>
      <w:tr w:rsidR="00440104" w:rsidRPr="00FE7622" w14:paraId="424169FA" w14:textId="77777777" w:rsidTr="00AF19CC">
        <w:trPr>
          <w:cantSplit/>
        </w:trPr>
        <w:tc>
          <w:tcPr>
            <w:tcW w:w="0" w:type="auto"/>
            <w:shd w:val="clear" w:color="auto" w:fill="auto"/>
          </w:tcPr>
          <w:p w14:paraId="1717A98E" w14:textId="77777777" w:rsidR="00F026E8" w:rsidRPr="00FE7622" w:rsidRDefault="00F026E8" w:rsidP="00AF19CC">
            <w:pPr>
              <w:pStyle w:val="72TabletextTablesTableFigureBoxstyles"/>
              <w:rPr>
                <w:rFonts w:eastAsia="Calibri"/>
                <w:color w:val="auto"/>
              </w:rPr>
            </w:pPr>
            <w:r w:rsidRPr="00FE7622">
              <w:rPr>
                <w:rFonts w:eastAsia="Calibri"/>
                <w:color w:val="auto"/>
              </w:rPr>
              <w:t>Men</w:t>
            </w:r>
          </w:p>
        </w:tc>
        <w:tc>
          <w:tcPr>
            <w:tcW w:w="0" w:type="auto"/>
            <w:shd w:val="clear" w:color="auto" w:fill="auto"/>
          </w:tcPr>
          <w:p w14:paraId="01D06D67" w14:textId="333F043B" w:rsidR="00F026E8" w:rsidRPr="00FE7622" w:rsidRDefault="00F026E8" w:rsidP="00AF19CC">
            <w:pPr>
              <w:pStyle w:val="72TabletextTablesTableFigureBoxstyles"/>
              <w:rPr>
                <w:rFonts w:eastAsia="Calibri"/>
                <w:color w:val="auto"/>
              </w:rPr>
            </w:pPr>
            <w:r w:rsidRPr="00FE7622">
              <w:rPr>
                <w:rFonts w:eastAsia="Calibri"/>
                <w:color w:val="auto"/>
              </w:rPr>
              <w:t>0.4 (–0.3</w:t>
            </w:r>
            <w:r w:rsidR="004B1FFD" w:rsidRPr="00FE7622">
              <w:rPr>
                <w:rFonts w:eastAsia="Calibri"/>
                <w:color w:val="auto"/>
              </w:rPr>
              <w:t xml:space="preserve"> to</w:t>
            </w:r>
            <w:r w:rsidRPr="00FE7622">
              <w:rPr>
                <w:rFonts w:eastAsia="Calibri"/>
                <w:color w:val="auto"/>
              </w:rPr>
              <w:t xml:space="preserve"> 1.0)</w:t>
            </w:r>
          </w:p>
        </w:tc>
        <w:tc>
          <w:tcPr>
            <w:tcW w:w="0" w:type="auto"/>
            <w:vMerge w:val="restart"/>
            <w:shd w:val="clear" w:color="auto" w:fill="auto"/>
          </w:tcPr>
          <w:p w14:paraId="3401C077" w14:textId="77777777" w:rsidR="00F026E8" w:rsidRPr="00FE7622" w:rsidRDefault="00F026E8" w:rsidP="00AF19CC">
            <w:pPr>
              <w:pStyle w:val="72TabletextTablesTableFigureBoxstyles"/>
              <w:rPr>
                <w:rFonts w:eastAsia="Calibri"/>
                <w:color w:val="auto"/>
              </w:rPr>
            </w:pPr>
            <w:r w:rsidRPr="00FE7622">
              <w:rPr>
                <w:color w:val="auto"/>
              </w:rPr>
              <w:t>0.22</w:t>
            </w:r>
          </w:p>
        </w:tc>
      </w:tr>
      <w:tr w:rsidR="00440104" w:rsidRPr="00FE7622" w14:paraId="587B338D" w14:textId="77777777" w:rsidTr="00AF19CC">
        <w:trPr>
          <w:cantSplit/>
        </w:trPr>
        <w:tc>
          <w:tcPr>
            <w:tcW w:w="0" w:type="auto"/>
            <w:shd w:val="clear" w:color="auto" w:fill="auto"/>
          </w:tcPr>
          <w:p w14:paraId="628B7702" w14:textId="77777777" w:rsidR="00F026E8" w:rsidRPr="00FE7622" w:rsidRDefault="00F026E8" w:rsidP="00AF19CC">
            <w:pPr>
              <w:pStyle w:val="72TabletextTablesTableFigureBoxstyles"/>
              <w:rPr>
                <w:rFonts w:eastAsia="Calibri"/>
                <w:color w:val="auto"/>
              </w:rPr>
            </w:pPr>
            <w:r w:rsidRPr="00FE7622">
              <w:rPr>
                <w:rFonts w:eastAsia="Calibri"/>
                <w:color w:val="auto"/>
              </w:rPr>
              <w:t>Women</w:t>
            </w:r>
          </w:p>
        </w:tc>
        <w:tc>
          <w:tcPr>
            <w:tcW w:w="0" w:type="auto"/>
            <w:shd w:val="clear" w:color="auto" w:fill="auto"/>
          </w:tcPr>
          <w:p w14:paraId="1B6163BE" w14:textId="5882E5D8" w:rsidR="00F026E8" w:rsidRPr="00FE7622" w:rsidRDefault="00F026E8" w:rsidP="00AF19CC">
            <w:pPr>
              <w:pStyle w:val="72TabletextTablesTableFigureBoxstyles"/>
              <w:rPr>
                <w:rFonts w:eastAsia="Calibri"/>
                <w:color w:val="auto"/>
              </w:rPr>
            </w:pPr>
            <w:r w:rsidRPr="00FE7622">
              <w:rPr>
                <w:rFonts w:eastAsia="Calibri"/>
                <w:color w:val="auto"/>
              </w:rPr>
              <w:t xml:space="preserve">–0.4 </w:t>
            </w:r>
            <w:r w:rsidR="008C3800" w:rsidRPr="00FE7622">
              <w:rPr>
                <w:rFonts w:eastAsia="Calibri"/>
                <w:color w:val="auto"/>
              </w:rPr>
              <w:t>(–1.8 to 1.0)</w:t>
            </w:r>
          </w:p>
        </w:tc>
        <w:tc>
          <w:tcPr>
            <w:tcW w:w="0" w:type="auto"/>
            <w:vMerge/>
            <w:shd w:val="clear" w:color="auto" w:fill="auto"/>
          </w:tcPr>
          <w:p w14:paraId="023C259A" w14:textId="77777777" w:rsidR="00F026E8" w:rsidRPr="00FE7622" w:rsidRDefault="00F026E8" w:rsidP="00AF19CC">
            <w:pPr>
              <w:pStyle w:val="72TabletextTablesTableFigureBoxstyles"/>
              <w:rPr>
                <w:rFonts w:eastAsia="Calibri"/>
                <w:color w:val="auto"/>
              </w:rPr>
            </w:pPr>
          </w:p>
        </w:tc>
      </w:tr>
      <w:tr w:rsidR="00440104" w:rsidRPr="00FE7622" w14:paraId="63BB2077" w14:textId="77777777" w:rsidTr="00AF19CC">
        <w:trPr>
          <w:cantSplit/>
        </w:trPr>
        <w:tc>
          <w:tcPr>
            <w:tcW w:w="0" w:type="auto"/>
            <w:shd w:val="clear" w:color="auto" w:fill="auto"/>
          </w:tcPr>
          <w:p w14:paraId="09758152" w14:textId="5B766F0D" w:rsidR="00F026E8" w:rsidRPr="00FE7622" w:rsidRDefault="00F026E8" w:rsidP="00AF19CC">
            <w:pPr>
              <w:pStyle w:val="72TabletextTablesTableFigureBoxstyles"/>
              <w:rPr>
                <w:rFonts w:eastAsia="Calibri"/>
                <w:color w:val="auto"/>
              </w:rPr>
            </w:pPr>
            <w:r w:rsidRPr="00FE7622">
              <w:rPr>
                <w:rFonts w:eastAsia="Calibri"/>
                <w:color w:val="auto"/>
              </w:rPr>
              <w:t xml:space="preserve">Protein intake </w:t>
            </w:r>
            <w:r w:rsidR="00440104" w:rsidRPr="00FE7622">
              <w:rPr>
                <w:rFonts w:eastAsia="Calibri"/>
                <w:color w:val="auto"/>
              </w:rPr>
              <w:t>≥ </w:t>
            </w:r>
            <w:r w:rsidRPr="00FE7622">
              <w:rPr>
                <w:rFonts w:eastAsia="Calibri"/>
                <w:color w:val="auto"/>
              </w:rPr>
              <w:t>1.01</w:t>
            </w:r>
            <w:r w:rsidR="00440104" w:rsidRPr="00FE7622">
              <w:rPr>
                <w:rFonts w:eastAsia="Calibri"/>
                <w:color w:val="auto"/>
              </w:rPr>
              <w:t> </w:t>
            </w:r>
            <w:r w:rsidRPr="00FE7622">
              <w:rPr>
                <w:rFonts w:eastAsia="Calibri"/>
                <w:color w:val="auto"/>
              </w:rPr>
              <w:t>g/kg/day</w:t>
            </w:r>
          </w:p>
        </w:tc>
        <w:tc>
          <w:tcPr>
            <w:tcW w:w="0" w:type="auto"/>
            <w:shd w:val="clear" w:color="auto" w:fill="auto"/>
          </w:tcPr>
          <w:p w14:paraId="7BEEC9C7" w14:textId="479327E9" w:rsidR="00F026E8" w:rsidRPr="00FE7622" w:rsidRDefault="00F026E8" w:rsidP="00AF19CC">
            <w:pPr>
              <w:pStyle w:val="72TabletextTablesTableFigureBoxstyles"/>
              <w:rPr>
                <w:rFonts w:eastAsia="Calibri"/>
                <w:color w:val="auto"/>
              </w:rPr>
            </w:pPr>
            <w:r w:rsidRPr="00FE7622">
              <w:rPr>
                <w:rFonts w:eastAsia="Calibri"/>
                <w:color w:val="auto"/>
              </w:rPr>
              <w:t xml:space="preserve">–0.1 </w:t>
            </w:r>
            <w:r w:rsidR="008C3800" w:rsidRPr="00FE7622">
              <w:rPr>
                <w:rFonts w:eastAsia="Calibri"/>
                <w:color w:val="auto"/>
              </w:rPr>
              <w:t>(–0.8 to 0.6)</w:t>
            </w:r>
          </w:p>
        </w:tc>
        <w:tc>
          <w:tcPr>
            <w:tcW w:w="0" w:type="auto"/>
            <w:vMerge w:val="restart"/>
            <w:shd w:val="clear" w:color="auto" w:fill="auto"/>
          </w:tcPr>
          <w:p w14:paraId="12BFD0D4" w14:textId="77777777" w:rsidR="00F026E8" w:rsidRPr="00FE7622" w:rsidRDefault="00F026E8" w:rsidP="00AF19CC">
            <w:pPr>
              <w:pStyle w:val="72TabletextTablesTableFigureBoxstyles"/>
              <w:rPr>
                <w:rFonts w:eastAsia="Calibri"/>
                <w:color w:val="auto"/>
              </w:rPr>
            </w:pPr>
            <w:r w:rsidRPr="00FE7622">
              <w:rPr>
                <w:rFonts w:eastAsia="Calibri"/>
                <w:color w:val="auto"/>
              </w:rPr>
              <w:t>0.84</w:t>
            </w:r>
          </w:p>
        </w:tc>
      </w:tr>
      <w:tr w:rsidR="00440104" w:rsidRPr="00FE7622" w14:paraId="343E25A5" w14:textId="77777777" w:rsidTr="00AF19CC">
        <w:trPr>
          <w:cantSplit/>
        </w:trPr>
        <w:tc>
          <w:tcPr>
            <w:tcW w:w="0" w:type="auto"/>
            <w:shd w:val="clear" w:color="auto" w:fill="auto"/>
          </w:tcPr>
          <w:p w14:paraId="1CD97210" w14:textId="3139A098" w:rsidR="00F026E8" w:rsidRPr="00FE7622" w:rsidRDefault="00F026E8" w:rsidP="00AF19CC">
            <w:pPr>
              <w:pStyle w:val="72TabletextTablesTableFigureBoxstyles"/>
              <w:rPr>
                <w:rFonts w:eastAsia="Calibri"/>
                <w:color w:val="auto"/>
              </w:rPr>
            </w:pPr>
            <w:r w:rsidRPr="00FE7622">
              <w:rPr>
                <w:rFonts w:eastAsia="Calibri"/>
                <w:color w:val="auto"/>
              </w:rPr>
              <w:t>Protein intake &lt; 1.01</w:t>
            </w:r>
            <w:r w:rsidR="00440104" w:rsidRPr="00FE7622">
              <w:rPr>
                <w:rFonts w:eastAsia="Calibri"/>
                <w:color w:val="auto"/>
              </w:rPr>
              <w:t> </w:t>
            </w:r>
            <w:r w:rsidRPr="00FE7622">
              <w:rPr>
                <w:rFonts w:eastAsia="Calibri"/>
                <w:color w:val="auto"/>
              </w:rPr>
              <w:t>g/kg/day</w:t>
            </w:r>
          </w:p>
        </w:tc>
        <w:tc>
          <w:tcPr>
            <w:tcW w:w="0" w:type="auto"/>
            <w:shd w:val="clear" w:color="auto" w:fill="auto"/>
          </w:tcPr>
          <w:p w14:paraId="5CF99AD0" w14:textId="5F7CFA3A" w:rsidR="00F026E8" w:rsidRPr="00FE7622" w:rsidRDefault="00F026E8" w:rsidP="00AF19CC">
            <w:pPr>
              <w:pStyle w:val="72TabletextTablesTableFigureBoxstyles"/>
              <w:rPr>
                <w:rFonts w:eastAsia="Calibri"/>
                <w:color w:val="auto"/>
              </w:rPr>
            </w:pPr>
            <w:r w:rsidRPr="00FE7622">
              <w:rPr>
                <w:rFonts w:eastAsia="Calibri"/>
                <w:color w:val="auto"/>
              </w:rPr>
              <w:t xml:space="preserve">–0.7 </w:t>
            </w:r>
            <w:r w:rsidR="008C3800" w:rsidRPr="00FE7622">
              <w:rPr>
                <w:rFonts w:eastAsia="Calibri"/>
                <w:color w:val="auto"/>
              </w:rPr>
              <w:t>(–5.7 to 4.3)</w:t>
            </w:r>
          </w:p>
        </w:tc>
        <w:tc>
          <w:tcPr>
            <w:tcW w:w="0" w:type="auto"/>
            <w:vMerge/>
            <w:shd w:val="clear" w:color="auto" w:fill="auto"/>
          </w:tcPr>
          <w:p w14:paraId="6EB516F2" w14:textId="77777777" w:rsidR="00F026E8" w:rsidRPr="00FE7622" w:rsidRDefault="00F026E8" w:rsidP="00AF19CC">
            <w:pPr>
              <w:pStyle w:val="72TabletextTablesTableFigureBoxstyles"/>
              <w:rPr>
                <w:rFonts w:eastAsia="Calibri"/>
                <w:color w:val="auto"/>
              </w:rPr>
            </w:pPr>
          </w:p>
        </w:tc>
      </w:tr>
      <w:tr w:rsidR="00440104" w:rsidRPr="00FE7622" w14:paraId="230EFB2D" w14:textId="77777777" w:rsidTr="00AF19CC">
        <w:trPr>
          <w:cantSplit/>
        </w:trPr>
        <w:tc>
          <w:tcPr>
            <w:tcW w:w="0" w:type="auto"/>
            <w:shd w:val="clear" w:color="auto" w:fill="auto"/>
          </w:tcPr>
          <w:p w14:paraId="4F36FBCA" w14:textId="5A41FBF0" w:rsidR="00F026E8" w:rsidRPr="00FE7622" w:rsidRDefault="00F026E8" w:rsidP="00AF19CC">
            <w:pPr>
              <w:pStyle w:val="72TabletextTablesTableFigureBoxstyles"/>
              <w:rPr>
                <w:rFonts w:eastAsia="Calibri"/>
                <w:color w:val="auto"/>
              </w:rPr>
            </w:pPr>
            <w:r w:rsidRPr="00FE7622">
              <w:rPr>
                <w:rFonts w:eastAsia="Calibri"/>
                <w:color w:val="auto"/>
              </w:rPr>
              <w:t xml:space="preserve">Confirmed sarcopenia </w:t>
            </w:r>
            <w:r w:rsidR="00440104" w:rsidRPr="00FE7622">
              <w:rPr>
                <w:rFonts w:eastAsia="Calibri"/>
                <w:color w:val="auto"/>
              </w:rPr>
              <w:t>according to</w:t>
            </w:r>
            <w:r w:rsidRPr="00FE7622">
              <w:rPr>
                <w:rFonts w:eastAsia="Calibri"/>
                <w:color w:val="auto"/>
              </w:rPr>
              <w:t xml:space="preserve"> </w:t>
            </w:r>
            <w:r w:rsidRPr="00842651">
              <w:rPr>
                <w:rFonts w:eastAsia="Calibri"/>
                <w:color w:val="auto"/>
              </w:rPr>
              <w:t>EWGSOP</w:t>
            </w:r>
            <w:r w:rsidRPr="00FE7622">
              <w:rPr>
                <w:rFonts w:eastAsia="Calibri"/>
                <w:color w:val="auto"/>
              </w:rPr>
              <w:t xml:space="preserve"> 2019 criteria</w:t>
            </w:r>
            <w:r w:rsidR="00E038BF" w:rsidRPr="00FE7622">
              <w:rPr>
                <w:rFonts w:eastAsia="Calibri"/>
                <w:color w:val="auto"/>
                <w:vertAlign w:val="superscript"/>
              </w:rPr>
              <w:t>a</w:t>
            </w:r>
          </w:p>
        </w:tc>
        <w:tc>
          <w:tcPr>
            <w:tcW w:w="0" w:type="auto"/>
            <w:shd w:val="clear" w:color="auto" w:fill="auto"/>
          </w:tcPr>
          <w:p w14:paraId="0B664DDA" w14:textId="3453DA1E" w:rsidR="00F026E8" w:rsidRPr="00FE7622" w:rsidRDefault="00F026E8" w:rsidP="00AF19CC">
            <w:pPr>
              <w:pStyle w:val="72TabletextTablesTableFigureBoxstyles"/>
              <w:rPr>
                <w:rFonts w:eastAsia="Calibri"/>
                <w:color w:val="auto"/>
              </w:rPr>
            </w:pPr>
            <w:r w:rsidRPr="00FE7622">
              <w:rPr>
                <w:rFonts w:eastAsia="Calibri"/>
                <w:color w:val="auto"/>
              </w:rPr>
              <w:t xml:space="preserve">0.0 </w:t>
            </w:r>
            <w:r w:rsidR="008C3800" w:rsidRPr="00FE7622">
              <w:rPr>
                <w:rFonts w:eastAsia="Calibri"/>
                <w:color w:val="auto"/>
              </w:rPr>
              <w:t>(–1.1 to 1.0)</w:t>
            </w:r>
          </w:p>
        </w:tc>
        <w:tc>
          <w:tcPr>
            <w:tcW w:w="0" w:type="auto"/>
            <w:vMerge w:val="restart"/>
            <w:shd w:val="clear" w:color="auto" w:fill="auto"/>
          </w:tcPr>
          <w:p w14:paraId="6EC55306" w14:textId="77777777" w:rsidR="00F026E8" w:rsidRPr="00FE7622" w:rsidRDefault="00F026E8" w:rsidP="00AF19CC">
            <w:pPr>
              <w:pStyle w:val="72TabletextTablesTableFigureBoxstyles"/>
              <w:rPr>
                <w:rFonts w:eastAsia="Calibri"/>
                <w:color w:val="auto"/>
              </w:rPr>
            </w:pPr>
            <w:r w:rsidRPr="00FE7622">
              <w:rPr>
                <w:rFonts w:eastAsia="Calibri"/>
                <w:color w:val="auto"/>
              </w:rPr>
              <w:t>0.09</w:t>
            </w:r>
          </w:p>
        </w:tc>
      </w:tr>
      <w:tr w:rsidR="00440104" w:rsidRPr="00FE7622" w14:paraId="10943B0B" w14:textId="77777777" w:rsidTr="00AF19CC">
        <w:trPr>
          <w:cantSplit/>
        </w:trPr>
        <w:tc>
          <w:tcPr>
            <w:tcW w:w="0" w:type="auto"/>
            <w:shd w:val="clear" w:color="auto" w:fill="auto"/>
          </w:tcPr>
          <w:p w14:paraId="10C6B9B4" w14:textId="306B0905" w:rsidR="00F026E8" w:rsidRPr="00FE7622" w:rsidRDefault="00F026E8" w:rsidP="00AF19CC">
            <w:pPr>
              <w:pStyle w:val="72TabletextTablesTableFigureBoxstyles"/>
              <w:rPr>
                <w:rFonts w:eastAsia="Calibri"/>
                <w:color w:val="auto"/>
              </w:rPr>
            </w:pPr>
            <w:r w:rsidRPr="00FE7622">
              <w:rPr>
                <w:rFonts w:eastAsia="Calibri"/>
                <w:color w:val="auto"/>
              </w:rPr>
              <w:t xml:space="preserve">Not confirmed sarcopenia </w:t>
            </w:r>
            <w:r w:rsidR="00440104" w:rsidRPr="00FE7622">
              <w:rPr>
                <w:rFonts w:eastAsia="Calibri"/>
                <w:color w:val="auto"/>
              </w:rPr>
              <w:t>according to</w:t>
            </w:r>
            <w:r w:rsidRPr="00FE7622">
              <w:rPr>
                <w:rFonts w:eastAsia="Calibri"/>
                <w:color w:val="auto"/>
              </w:rPr>
              <w:t xml:space="preserve"> </w:t>
            </w:r>
            <w:r w:rsidRPr="00842651">
              <w:rPr>
                <w:rFonts w:eastAsia="Calibri"/>
                <w:color w:val="auto"/>
              </w:rPr>
              <w:t>EWGSOP</w:t>
            </w:r>
            <w:r w:rsidRPr="00FE7622">
              <w:rPr>
                <w:rFonts w:eastAsia="Calibri"/>
                <w:color w:val="auto"/>
              </w:rPr>
              <w:t xml:space="preserve"> 2019 criteria</w:t>
            </w:r>
            <w:r w:rsidR="00E038BF" w:rsidRPr="00FE7622">
              <w:rPr>
                <w:rFonts w:eastAsia="Calibri"/>
                <w:color w:val="auto"/>
                <w:vertAlign w:val="superscript"/>
              </w:rPr>
              <w:t>a</w:t>
            </w:r>
          </w:p>
        </w:tc>
        <w:tc>
          <w:tcPr>
            <w:tcW w:w="0" w:type="auto"/>
            <w:shd w:val="clear" w:color="auto" w:fill="auto"/>
          </w:tcPr>
          <w:p w14:paraId="32CEE564" w14:textId="1D9D8986" w:rsidR="00F026E8" w:rsidRPr="00FE7622" w:rsidRDefault="00F026E8" w:rsidP="00AF19CC">
            <w:pPr>
              <w:pStyle w:val="72TabletextTablesTableFigureBoxstyles"/>
              <w:rPr>
                <w:rFonts w:eastAsia="Calibri"/>
                <w:color w:val="auto"/>
              </w:rPr>
            </w:pPr>
            <w:r w:rsidRPr="00FE7622">
              <w:rPr>
                <w:rFonts w:eastAsia="Calibri"/>
                <w:color w:val="auto"/>
              </w:rPr>
              <w:t xml:space="preserve">0.0 </w:t>
            </w:r>
            <w:r w:rsidR="008C3800" w:rsidRPr="00FE7622">
              <w:rPr>
                <w:rFonts w:eastAsia="Calibri"/>
                <w:color w:val="auto"/>
              </w:rPr>
              <w:t>(–0.8 to 0.9)</w:t>
            </w:r>
          </w:p>
        </w:tc>
        <w:tc>
          <w:tcPr>
            <w:tcW w:w="0" w:type="auto"/>
            <w:vMerge/>
            <w:shd w:val="clear" w:color="auto" w:fill="auto"/>
          </w:tcPr>
          <w:p w14:paraId="4642ED3E" w14:textId="77777777" w:rsidR="00F026E8" w:rsidRPr="00FE7622" w:rsidRDefault="00F026E8" w:rsidP="00AF19CC">
            <w:pPr>
              <w:spacing w:line="360" w:lineRule="auto"/>
              <w:rPr>
                <w:rFonts w:ascii="Calibri" w:eastAsia="Calibri" w:hAnsi="Calibri" w:cs="Calibri"/>
              </w:rPr>
            </w:pPr>
          </w:p>
        </w:tc>
      </w:tr>
      <w:tr w:rsidR="00F026E8" w:rsidRPr="00FE7622" w14:paraId="026C6023" w14:textId="77777777" w:rsidTr="00AF19CC">
        <w:trPr>
          <w:cantSplit/>
        </w:trPr>
        <w:tc>
          <w:tcPr>
            <w:tcW w:w="0" w:type="auto"/>
            <w:gridSpan w:val="3"/>
            <w:shd w:val="clear" w:color="auto" w:fill="auto"/>
          </w:tcPr>
          <w:p w14:paraId="00CEB82C" w14:textId="32176040" w:rsidR="00F026E8" w:rsidRPr="00FE7622" w:rsidRDefault="0009133C" w:rsidP="00AF19CC">
            <w:pPr>
              <w:pStyle w:val="75TablenotesTablesTableFigureBoxstyles"/>
            </w:pPr>
            <w:r w:rsidRPr="00FE7622">
              <w:t>a</w:t>
            </w:r>
            <w:r w:rsidRPr="00FE7622">
              <w:tab/>
            </w:r>
            <w:r w:rsidR="00F026E8" w:rsidRPr="00FE7622">
              <w:t xml:space="preserve">European Working Group on Sarcopenia in Older People definition: </w:t>
            </w:r>
            <w:r w:rsidR="00440104" w:rsidRPr="00FE7622">
              <w:t>l</w:t>
            </w:r>
            <w:r w:rsidR="00F026E8" w:rsidRPr="00FE7622">
              <w:t>ow grip strength (&lt; 27 kg</w:t>
            </w:r>
            <w:r w:rsidRPr="00FE7622">
              <w:t xml:space="preserve"> for</w:t>
            </w:r>
            <w:r w:rsidR="00F026E8" w:rsidRPr="00FE7622">
              <w:t xml:space="preserve"> men or &lt; 16 kg </w:t>
            </w:r>
            <w:r w:rsidRPr="00FE7622">
              <w:t xml:space="preserve">for </w:t>
            </w:r>
            <w:r w:rsidR="00F026E8" w:rsidRPr="00FE7622">
              <w:t>women) OR five times sit to stand test &gt; 15</w:t>
            </w:r>
            <w:r w:rsidR="00440104" w:rsidRPr="00FE7622">
              <w:t xml:space="preserve"> </w:t>
            </w:r>
            <w:r w:rsidR="00F026E8" w:rsidRPr="00FE7622">
              <w:t>s</w:t>
            </w:r>
            <w:r w:rsidR="00440104" w:rsidRPr="00FE7622">
              <w:t>econds</w:t>
            </w:r>
            <w:r w:rsidR="00F026E8" w:rsidRPr="00FE7622">
              <w:t>/unable to perform, AND low appendicular muscle mass index (&lt; 7.0</w:t>
            </w:r>
            <w:r w:rsidR="00440104" w:rsidRPr="00FE7622">
              <w:t> </w:t>
            </w:r>
            <w:r w:rsidR="00F026E8" w:rsidRPr="00FE7622">
              <w:t>kg/m</w:t>
            </w:r>
            <w:r w:rsidR="00E038BF" w:rsidRPr="00FE7622">
              <w:rPr>
                <w:vertAlign w:val="superscript"/>
              </w:rPr>
              <w:t>2</w:t>
            </w:r>
            <w:r w:rsidR="00F026E8" w:rsidRPr="00FE7622">
              <w:t xml:space="preserve"> </w:t>
            </w:r>
            <w:r w:rsidR="00440104" w:rsidRPr="00FE7622">
              <w:t xml:space="preserve">for </w:t>
            </w:r>
            <w:r w:rsidR="00F026E8" w:rsidRPr="00FE7622">
              <w:t xml:space="preserve">men </w:t>
            </w:r>
            <w:r w:rsidR="00440104" w:rsidRPr="00FE7622">
              <w:t>and</w:t>
            </w:r>
            <w:r w:rsidR="00F026E8" w:rsidRPr="00FE7622">
              <w:t xml:space="preserve"> &lt; 5.5</w:t>
            </w:r>
            <w:r w:rsidR="00440104" w:rsidRPr="00FE7622">
              <w:t> </w:t>
            </w:r>
            <w:r w:rsidR="00F026E8" w:rsidRPr="00FE7622">
              <w:t>kg/m</w:t>
            </w:r>
            <w:r w:rsidR="00E038BF" w:rsidRPr="00FE7622">
              <w:rPr>
                <w:vertAlign w:val="superscript"/>
              </w:rPr>
              <w:t>2</w:t>
            </w:r>
            <w:r w:rsidR="00F026E8" w:rsidRPr="00FE7622">
              <w:t xml:space="preserve"> </w:t>
            </w:r>
            <w:r w:rsidR="00440104" w:rsidRPr="00FE7622">
              <w:t xml:space="preserve">for </w:t>
            </w:r>
            <w:r w:rsidR="00F026E8" w:rsidRPr="00FE7622">
              <w:t>women)</w:t>
            </w:r>
            <w:r w:rsidR="00440104" w:rsidRPr="00FE7622">
              <w:t>.</w:t>
            </w:r>
          </w:p>
          <w:p w14:paraId="0A629149" w14:textId="3D35B2A8" w:rsidR="0009133C" w:rsidRPr="00FE7622" w:rsidRDefault="0009133C" w:rsidP="00AF19CC">
            <w:pPr>
              <w:pStyle w:val="75TablenotesTablesTableFigureBoxstyles"/>
            </w:pPr>
            <w:r w:rsidRPr="00FE7622">
              <w:t xml:space="preserve">Mixed-effects models. Analyses adjusted for age, sex, </w:t>
            </w:r>
            <w:r w:rsidRPr="00842651">
              <w:t>SPPB</w:t>
            </w:r>
            <w:r w:rsidRPr="00FE7622">
              <w:t>, Charlson Comorbidity Index score and baseline handgrip strength.</w:t>
            </w:r>
          </w:p>
        </w:tc>
      </w:tr>
    </w:tbl>
    <w:p w14:paraId="24E622CB" w14:textId="55E7BCCE" w:rsidR="00E038BF" w:rsidRPr="00FE7622" w:rsidRDefault="00E038BF" w:rsidP="00804784">
      <w:pPr>
        <w:pStyle w:val="52AheadHeadingsHeadingstyles"/>
      </w:pPr>
      <w:bookmarkStart w:id="92" w:name="_Toc79684527"/>
      <w:r w:rsidRPr="00FE7622">
        <w:t>Secondary outcomes</w:t>
      </w:r>
      <w:bookmarkEnd w:id="92"/>
    </w:p>
    <w:p w14:paraId="51F6688B" w14:textId="15150A9A" w:rsidR="00F026E8" w:rsidRPr="00FE7622" w:rsidRDefault="00F026E8" w:rsidP="00804784">
      <w:pPr>
        <w:pStyle w:val="602TextfoTextstylesTextstyles"/>
        <w:rPr>
          <w:color w:val="auto"/>
        </w:rPr>
      </w:pPr>
      <w:r w:rsidRPr="00FE7622">
        <w:rPr>
          <w:color w:val="auto"/>
        </w:rPr>
        <w:t xml:space="preserve">Details of the secondary outcome analyses </w:t>
      </w:r>
      <w:r w:rsidR="00DF26A9" w:rsidRPr="00FE7622">
        <w:rPr>
          <w:color w:val="auto"/>
        </w:rPr>
        <w:t>of</w:t>
      </w:r>
      <w:r w:rsidRPr="00FE7622">
        <w:rPr>
          <w:color w:val="auto"/>
        </w:rPr>
        <w:t xml:space="preserve"> perindopril </w:t>
      </w:r>
      <w:r w:rsidR="004B1FFD" w:rsidRPr="00FE7622">
        <w:rPr>
          <w:color w:val="auto"/>
        </w:rPr>
        <w:t>compared with</w:t>
      </w:r>
      <w:r w:rsidRPr="00FE7622">
        <w:rPr>
          <w:color w:val="auto"/>
        </w:rPr>
        <w:t xml:space="preserve"> placebo are shown in </w:t>
      </w:r>
      <w:r w:rsidR="00E038BF" w:rsidRPr="00FE7622">
        <w:rPr>
          <w:i/>
          <w:color w:val="FF0000"/>
        </w:rPr>
        <w:t>Table 8</w:t>
      </w:r>
      <w:r w:rsidRPr="00FE7622">
        <w:rPr>
          <w:color w:val="auto"/>
        </w:rPr>
        <w:t xml:space="preserve">. No significant treatment effects were seen for any outcome except self-reported health status using the </w:t>
      </w:r>
      <w:r w:rsidRPr="00842651">
        <w:rPr>
          <w:color w:val="auto"/>
        </w:rPr>
        <w:t>EQ</w:t>
      </w:r>
      <w:r w:rsidR="004B1FFD" w:rsidRPr="00842651">
        <w:rPr>
          <w:color w:val="auto"/>
        </w:rPr>
        <w:t>-</w:t>
      </w:r>
      <w:r w:rsidRPr="00842651">
        <w:rPr>
          <w:color w:val="auto"/>
        </w:rPr>
        <w:t>5D</w:t>
      </w:r>
      <w:r w:rsidR="00B048FE" w:rsidRPr="00FE7622">
        <w:rPr>
          <w:color w:val="auto"/>
        </w:rPr>
        <w:t xml:space="preserve"> (EuroQol-5 Dimensions) </w:t>
      </w:r>
      <w:r w:rsidRPr="00FE7622">
        <w:rPr>
          <w:color w:val="auto"/>
        </w:rPr>
        <w:t xml:space="preserve">thermometer; perindopril treatment was associated with a worse health status than placebo on the thermometer tool, although the difference in health status was not significantly worse on analyses of the main </w:t>
      </w:r>
      <w:r w:rsidRPr="00842651">
        <w:rPr>
          <w:color w:val="auto"/>
        </w:rPr>
        <w:t>EQ</w:t>
      </w:r>
      <w:r w:rsidR="004B1FFD" w:rsidRPr="00842651">
        <w:rPr>
          <w:color w:val="auto"/>
        </w:rPr>
        <w:t>-</w:t>
      </w:r>
      <w:r w:rsidRPr="00842651">
        <w:rPr>
          <w:color w:val="auto"/>
        </w:rPr>
        <w:t>5D</w:t>
      </w:r>
      <w:r w:rsidRPr="00FE7622">
        <w:rPr>
          <w:color w:val="auto"/>
        </w:rPr>
        <w:t xml:space="preserve"> health status tool. Only seven participants had a diagnosis of diabetes mellitus; </w:t>
      </w:r>
      <w:r w:rsidR="000C0949" w:rsidRPr="00FE7622">
        <w:rPr>
          <w:color w:val="auto"/>
        </w:rPr>
        <w:t xml:space="preserve">therefore, </w:t>
      </w:r>
      <w:r w:rsidRPr="00FE7622">
        <w:rPr>
          <w:color w:val="auto"/>
        </w:rPr>
        <w:t xml:space="preserve">this diagnosis or changes in diabetes medication are unlikely to have affected the </w:t>
      </w:r>
      <w:r w:rsidRPr="00842651">
        <w:rPr>
          <w:color w:val="auto"/>
        </w:rPr>
        <w:t>HOMA-IR</w:t>
      </w:r>
      <w:r w:rsidRPr="00FE7622">
        <w:rPr>
          <w:color w:val="auto"/>
        </w:rPr>
        <w:t xml:space="preserve"> </w:t>
      </w:r>
      <w:r w:rsidR="00C35FF6" w:rsidRPr="00FE7622">
        <w:rPr>
          <w:color w:val="auto"/>
        </w:rPr>
        <w:t xml:space="preserve">(HOmeostatic Model Assessment – Insulin Resistance) </w:t>
      </w:r>
      <w:r w:rsidRPr="00FE7622">
        <w:rPr>
          <w:color w:val="auto"/>
        </w:rPr>
        <w:t>results to any significant extent.</w:t>
      </w:r>
    </w:p>
    <w:p w14:paraId="751570B6" w14:textId="5470102E" w:rsidR="00F026E8" w:rsidRPr="00FE7622" w:rsidRDefault="00E038BF" w:rsidP="00F026E8">
      <w:pPr>
        <w:pStyle w:val="70TablelegendTablesTableFigureBoxstyles"/>
        <w:rPr>
          <w:lang w:val="en-GB"/>
        </w:rPr>
      </w:pPr>
      <w:r w:rsidRPr="00FE7622">
        <w:rPr>
          <w:b/>
        </w:rPr>
        <w:t>TABLE 8</w:t>
      </w:r>
      <w:r w:rsidRPr="00FE7622">
        <w:rPr>
          <w:b/>
        </w:rPr>
        <w:t> </w:t>
      </w:r>
      <w:r w:rsidR="00F026E8" w:rsidRPr="00FE7622">
        <w:rPr>
          <w:lang w:val="en-GB"/>
        </w:rPr>
        <w:t>Secondary outcomes for perindopril vs</w:t>
      </w:r>
      <w:r w:rsidR="004B1FFD" w:rsidRPr="00FE7622">
        <w:rPr>
          <w:lang w:val="en-GB"/>
        </w:rPr>
        <w:t>.</w:t>
      </w:r>
      <w:r w:rsidR="00F026E8" w:rsidRPr="00FE7622">
        <w:rPr>
          <w:lang w:val="en-GB"/>
        </w:rPr>
        <w:t xml:space="preserve"> placebo analysis</w:t>
      </w:r>
    </w:p>
    <w:tbl>
      <w:tblPr>
        <w:tblW w:w="0" w:type="auto"/>
        <w:tblInd w:w="-431" w:type="dxa"/>
        <w:tblCellMar>
          <w:top w:w="40" w:type="dxa"/>
          <w:left w:w="60" w:type="dxa"/>
          <w:bottom w:w="40" w:type="dxa"/>
          <w:right w:w="60" w:type="dxa"/>
        </w:tblCellMar>
        <w:tblLook w:val="04A0" w:firstRow="1" w:lastRow="0" w:firstColumn="1" w:lastColumn="0" w:noHBand="0" w:noVBand="1"/>
      </w:tblPr>
      <w:tblGrid>
        <w:gridCol w:w="1520"/>
        <w:gridCol w:w="1060"/>
        <w:gridCol w:w="1138"/>
        <w:gridCol w:w="991"/>
        <w:gridCol w:w="1846"/>
        <w:gridCol w:w="600"/>
        <w:gridCol w:w="1702"/>
        <w:gridCol w:w="600"/>
      </w:tblGrid>
      <w:tr w:rsidR="004F3568" w:rsidRPr="00FE7622" w14:paraId="21CAE99E" w14:textId="77777777" w:rsidTr="00AF19CC">
        <w:trPr>
          <w:cantSplit/>
        </w:trPr>
        <w:tc>
          <w:tcPr>
            <w:tcW w:w="0" w:type="auto"/>
            <w:shd w:val="clear" w:color="auto" w:fill="auto"/>
          </w:tcPr>
          <w:p w14:paraId="5291FC9D" w14:textId="6A298C4D" w:rsidR="00F026E8" w:rsidRPr="00FE7622" w:rsidRDefault="00E038BF" w:rsidP="00AF19CC">
            <w:pPr>
              <w:pStyle w:val="710TableheadTablesTableFigureBoxstyles"/>
              <w:rPr>
                <w:rFonts w:eastAsia="Calibri"/>
              </w:rPr>
            </w:pPr>
            <w:r w:rsidRPr="00FE7622">
              <w:rPr>
                <w:rFonts w:eastAsia="Calibri"/>
              </w:rPr>
              <w:t>Outcome</w:t>
            </w:r>
          </w:p>
        </w:tc>
        <w:tc>
          <w:tcPr>
            <w:tcW w:w="0" w:type="auto"/>
            <w:shd w:val="clear" w:color="auto" w:fill="auto"/>
          </w:tcPr>
          <w:p w14:paraId="4594EEAC" w14:textId="56F84CC6" w:rsidR="00F026E8" w:rsidRPr="00FE7622" w:rsidRDefault="00E038BF" w:rsidP="00AF19CC">
            <w:pPr>
              <w:pStyle w:val="710TableheadTablesTableFigureBoxstyles"/>
              <w:rPr>
                <w:rFonts w:eastAsia="Calibri"/>
              </w:rPr>
            </w:pPr>
            <w:r w:rsidRPr="00FE7622">
              <w:rPr>
                <w:rFonts w:eastAsia="Calibri"/>
              </w:rPr>
              <w:t>Time point</w:t>
            </w:r>
          </w:p>
        </w:tc>
        <w:tc>
          <w:tcPr>
            <w:tcW w:w="0" w:type="auto"/>
            <w:shd w:val="clear" w:color="auto" w:fill="auto"/>
          </w:tcPr>
          <w:p w14:paraId="7D951BF1" w14:textId="0EA629DD" w:rsidR="00F026E8" w:rsidRPr="00FE7622" w:rsidRDefault="00E038BF" w:rsidP="00AF19CC">
            <w:pPr>
              <w:pStyle w:val="710TableheadTablesTableFigureBoxstyles"/>
              <w:rPr>
                <w:rFonts w:eastAsia="Calibri"/>
              </w:rPr>
            </w:pPr>
            <w:r w:rsidRPr="00FE7622">
              <w:rPr>
                <w:rFonts w:eastAsia="Calibri"/>
              </w:rPr>
              <w:t>Perindopril</w:t>
            </w:r>
          </w:p>
        </w:tc>
        <w:tc>
          <w:tcPr>
            <w:tcW w:w="0" w:type="auto"/>
            <w:shd w:val="clear" w:color="auto" w:fill="auto"/>
          </w:tcPr>
          <w:p w14:paraId="5C5DD620" w14:textId="17A0C646" w:rsidR="00F026E8" w:rsidRPr="00FE7622" w:rsidRDefault="00E038BF" w:rsidP="00AF19CC">
            <w:pPr>
              <w:pStyle w:val="710TableheadTablesTableFigureBoxstyles"/>
              <w:rPr>
                <w:rFonts w:eastAsia="Calibri"/>
              </w:rPr>
            </w:pPr>
            <w:r w:rsidRPr="00FE7622">
              <w:rPr>
                <w:rFonts w:eastAsia="Calibri"/>
              </w:rPr>
              <w:t>Placebo</w:t>
            </w:r>
          </w:p>
        </w:tc>
        <w:tc>
          <w:tcPr>
            <w:tcW w:w="0" w:type="auto"/>
            <w:shd w:val="clear" w:color="auto" w:fill="auto"/>
          </w:tcPr>
          <w:p w14:paraId="054EE24E" w14:textId="0DE32DBF" w:rsidR="00F026E8" w:rsidRPr="00FE7622" w:rsidRDefault="00E038BF" w:rsidP="00AF19CC">
            <w:pPr>
              <w:pStyle w:val="710TableheadTablesTableFigureBoxstyles"/>
              <w:rPr>
                <w:rFonts w:eastAsia="Calibri"/>
              </w:rPr>
            </w:pPr>
            <w:r w:rsidRPr="00FE7622">
              <w:rPr>
                <w:rFonts w:eastAsia="Calibri"/>
              </w:rPr>
              <w:t xml:space="preserve">Unadjusted treatment effect (95% </w:t>
            </w:r>
            <w:r w:rsidRPr="00842651">
              <w:rPr>
                <w:rFonts w:eastAsia="Calibri"/>
              </w:rPr>
              <w:t>CI</w:t>
            </w:r>
            <w:r w:rsidRPr="00FE7622">
              <w:rPr>
                <w:rFonts w:eastAsia="Calibri"/>
              </w:rPr>
              <w:t>)</w:t>
            </w:r>
          </w:p>
        </w:tc>
        <w:tc>
          <w:tcPr>
            <w:tcW w:w="0" w:type="auto"/>
            <w:shd w:val="clear" w:color="auto" w:fill="auto"/>
          </w:tcPr>
          <w:p w14:paraId="3E4C7006" w14:textId="5F5EA258"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c>
          <w:tcPr>
            <w:tcW w:w="0" w:type="auto"/>
            <w:shd w:val="clear" w:color="auto" w:fill="auto"/>
          </w:tcPr>
          <w:p w14:paraId="6459C94D" w14:textId="4C86FF62" w:rsidR="00F026E8" w:rsidRPr="00FE7622" w:rsidRDefault="00E038BF" w:rsidP="00AF19CC">
            <w:pPr>
              <w:pStyle w:val="710TableheadTablesTableFigureBoxstyles"/>
              <w:rPr>
                <w:rFonts w:eastAsia="Calibri"/>
              </w:rPr>
            </w:pPr>
            <w:r w:rsidRPr="00FE7622">
              <w:rPr>
                <w:rFonts w:eastAsia="Calibri"/>
              </w:rPr>
              <w:t xml:space="preserve">Adjusted treatment effect (95% </w:t>
            </w:r>
            <w:r w:rsidRPr="00842651">
              <w:rPr>
                <w:rFonts w:eastAsia="Calibri"/>
              </w:rPr>
              <w:t>CI</w:t>
            </w:r>
            <w:r w:rsidRPr="00FE7622">
              <w:rPr>
                <w:rFonts w:eastAsia="Calibri"/>
              </w:rPr>
              <w:t>)</w:t>
            </w:r>
          </w:p>
        </w:tc>
        <w:tc>
          <w:tcPr>
            <w:tcW w:w="0" w:type="auto"/>
            <w:shd w:val="clear" w:color="auto" w:fill="auto"/>
          </w:tcPr>
          <w:p w14:paraId="638C8B5A" w14:textId="72001E47"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r>
      <w:tr w:rsidR="004F3568" w:rsidRPr="00FE7622" w14:paraId="773965D7" w14:textId="77777777" w:rsidTr="00AF19CC">
        <w:trPr>
          <w:cantSplit/>
        </w:trPr>
        <w:tc>
          <w:tcPr>
            <w:tcW w:w="0" w:type="auto"/>
            <w:vMerge w:val="restart"/>
            <w:shd w:val="clear" w:color="auto" w:fill="auto"/>
          </w:tcPr>
          <w:p w14:paraId="007117C9" w14:textId="77777777" w:rsidR="00F026E8" w:rsidRPr="00FE7622" w:rsidRDefault="00F026E8" w:rsidP="00AF19CC">
            <w:pPr>
              <w:pStyle w:val="72TabletextTablesTableFigureBoxstyles"/>
              <w:rPr>
                <w:rFonts w:eastAsia="Calibri"/>
              </w:rPr>
            </w:pPr>
            <w:r w:rsidRPr="00FE7622">
              <w:rPr>
                <w:rFonts w:eastAsia="Calibri"/>
                <w:color w:val="auto"/>
              </w:rPr>
              <w:t>Muscle mass</w:t>
            </w:r>
          </w:p>
        </w:tc>
        <w:tc>
          <w:tcPr>
            <w:tcW w:w="0" w:type="auto"/>
            <w:shd w:val="clear" w:color="auto" w:fill="auto"/>
          </w:tcPr>
          <w:p w14:paraId="0DAA3524" w14:textId="3A7C249B"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5C5659E" w14:textId="77777777" w:rsidR="00F026E8" w:rsidRPr="00FE7622" w:rsidRDefault="00F026E8" w:rsidP="00AF19CC">
            <w:pPr>
              <w:pStyle w:val="72TabletextTablesTableFigureBoxstyles"/>
              <w:rPr>
                <w:rFonts w:eastAsia="Calibri"/>
              </w:rPr>
            </w:pPr>
            <w:r w:rsidRPr="00FE7622">
              <w:rPr>
                <w:rFonts w:eastAsia="Calibri"/>
                <w:color w:val="auto"/>
              </w:rPr>
              <w:t>6.47 (73, 1.03)</w:t>
            </w:r>
          </w:p>
        </w:tc>
        <w:tc>
          <w:tcPr>
            <w:tcW w:w="0" w:type="auto"/>
            <w:shd w:val="clear" w:color="auto" w:fill="auto"/>
          </w:tcPr>
          <w:p w14:paraId="10D844F1" w14:textId="77777777" w:rsidR="00F026E8" w:rsidRPr="00FE7622" w:rsidRDefault="00F026E8" w:rsidP="00AF19CC">
            <w:pPr>
              <w:pStyle w:val="72TabletextTablesTableFigureBoxstyles"/>
              <w:rPr>
                <w:rFonts w:eastAsia="Calibri"/>
              </w:rPr>
            </w:pPr>
            <w:r w:rsidRPr="00FE7622">
              <w:rPr>
                <w:rFonts w:eastAsia="Calibri"/>
                <w:color w:val="auto"/>
              </w:rPr>
              <w:t>6.38 (72, 1.41)</w:t>
            </w:r>
          </w:p>
        </w:tc>
        <w:tc>
          <w:tcPr>
            <w:tcW w:w="0" w:type="auto"/>
            <w:vMerge w:val="restart"/>
            <w:shd w:val="clear" w:color="auto" w:fill="auto"/>
          </w:tcPr>
          <w:p w14:paraId="5B414A2B" w14:textId="420F612C" w:rsidR="00F026E8" w:rsidRPr="00FE7622" w:rsidRDefault="00F026E8" w:rsidP="00AF19CC">
            <w:pPr>
              <w:pStyle w:val="72TabletextTablesTableFigureBoxstyles"/>
              <w:rPr>
                <w:rFonts w:eastAsia="Calibri"/>
              </w:rPr>
            </w:pPr>
            <w:r w:rsidRPr="00FE7622">
              <w:rPr>
                <w:rFonts w:eastAsia="Calibri"/>
                <w:color w:val="auto"/>
              </w:rPr>
              <w:t>0.0</w:t>
            </w:r>
            <w:r w:rsidR="004F3568" w:rsidRPr="00FE7622">
              <w:rPr>
                <w:rFonts w:eastAsia="Calibri"/>
                <w:color w:val="auto"/>
              </w:rPr>
              <w:t xml:space="preserve"> </w:t>
            </w:r>
            <w:r w:rsidRPr="00FE7622">
              <w:rPr>
                <w:rFonts w:eastAsia="Calibri"/>
                <w:color w:val="auto"/>
              </w:rPr>
              <w:t>(–0.5 to 0.5)</w:t>
            </w:r>
          </w:p>
        </w:tc>
        <w:tc>
          <w:tcPr>
            <w:tcW w:w="0" w:type="auto"/>
            <w:vMerge w:val="restart"/>
            <w:shd w:val="clear" w:color="auto" w:fill="auto"/>
          </w:tcPr>
          <w:p w14:paraId="72C74C1A" w14:textId="77777777" w:rsidR="00F026E8" w:rsidRPr="00FE7622" w:rsidRDefault="00F026E8" w:rsidP="00AF19CC">
            <w:pPr>
              <w:pStyle w:val="72TabletextTablesTableFigureBoxstyles"/>
              <w:rPr>
                <w:rFonts w:eastAsia="Calibri"/>
                <w:color w:val="auto"/>
              </w:rPr>
            </w:pPr>
            <w:r w:rsidRPr="00FE7622">
              <w:rPr>
                <w:rFonts w:eastAsia="Calibri"/>
                <w:color w:val="auto"/>
              </w:rPr>
              <w:t>0.89</w:t>
            </w:r>
          </w:p>
        </w:tc>
        <w:tc>
          <w:tcPr>
            <w:tcW w:w="0" w:type="auto"/>
            <w:vMerge w:val="restart"/>
            <w:shd w:val="clear" w:color="auto" w:fill="auto"/>
          </w:tcPr>
          <w:p w14:paraId="685089E0" w14:textId="648EC128" w:rsidR="00F026E8" w:rsidRPr="00FE7622" w:rsidRDefault="00F026E8" w:rsidP="00AF19CC">
            <w:pPr>
              <w:pStyle w:val="72TabletextTablesTableFigureBoxstyles"/>
              <w:rPr>
                <w:rFonts w:eastAsia="Calibri"/>
              </w:rPr>
            </w:pPr>
            <w:r w:rsidRPr="00FE7622">
              <w:rPr>
                <w:rFonts w:eastAsia="Calibri"/>
                <w:color w:val="auto"/>
              </w:rPr>
              <w:t>–0.4</w:t>
            </w:r>
            <w:r w:rsidR="004F3568" w:rsidRPr="00FE7622">
              <w:rPr>
                <w:rFonts w:eastAsia="Calibri"/>
                <w:color w:val="auto"/>
              </w:rPr>
              <w:t xml:space="preserve"> </w:t>
            </w:r>
            <w:r w:rsidR="002903EE" w:rsidRPr="00FE7622">
              <w:rPr>
                <w:rFonts w:eastAsia="Calibri"/>
                <w:color w:val="auto"/>
              </w:rPr>
              <w:t>(–1.1 to 0.3)</w:t>
            </w:r>
          </w:p>
        </w:tc>
        <w:tc>
          <w:tcPr>
            <w:tcW w:w="0" w:type="auto"/>
            <w:vMerge w:val="restart"/>
            <w:shd w:val="clear" w:color="auto" w:fill="auto"/>
          </w:tcPr>
          <w:p w14:paraId="74C651B4" w14:textId="77777777" w:rsidR="00F026E8" w:rsidRPr="00FE7622" w:rsidRDefault="00F026E8" w:rsidP="00AF19CC">
            <w:pPr>
              <w:pStyle w:val="72TabletextTablesTableFigureBoxstyles"/>
              <w:rPr>
                <w:rFonts w:eastAsia="Calibri"/>
                <w:color w:val="auto"/>
              </w:rPr>
            </w:pPr>
            <w:r w:rsidRPr="00FE7622">
              <w:rPr>
                <w:rFonts w:eastAsia="Calibri"/>
                <w:color w:val="auto"/>
              </w:rPr>
              <w:t>0.27</w:t>
            </w:r>
          </w:p>
        </w:tc>
      </w:tr>
      <w:tr w:rsidR="004F3568" w:rsidRPr="00FE7622" w14:paraId="24830305" w14:textId="77777777" w:rsidTr="00AF19CC">
        <w:trPr>
          <w:cantSplit/>
        </w:trPr>
        <w:tc>
          <w:tcPr>
            <w:tcW w:w="0" w:type="auto"/>
            <w:vMerge/>
            <w:shd w:val="clear" w:color="auto" w:fill="auto"/>
          </w:tcPr>
          <w:p w14:paraId="7004E842" w14:textId="77777777" w:rsidR="00F026E8" w:rsidRPr="00FE7622" w:rsidRDefault="00F026E8" w:rsidP="00AF19CC">
            <w:pPr>
              <w:pStyle w:val="72TabletextTablesTableFigureBoxstyles"/>
              <w:rPr>
                <w:rFonts w:eastAsia="Calibri"/>
              </w:rPr>
            </w:pPr>
          </w:p>
        </w:tc>
        <w:tc>
          <w:tcPr>
            <w:tcW w:w="0" w:type="auto"/>
            <w:shd w:val="clear" w:color="auto" w:fill="auto"/>
          </w:tcPr>
          <w:p w14:paraId="074F0F43" w14:textId="4795217B"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7F092460" w14:textId="77777777" w:rsidR="00F026E8" w:rsidRPr="00FE7622" w:rsidRDefault="00F026E8" w:rsidP="00AF19CC">
            <w:pPr>
              <w:pStyle w:val="72TabletextTablesTableFigureBoxstyles"/>
              <w:rPr>
                <w:rFonts w:eastAsia="Calibri"/>
              </w:rPr>
            </w:pPr>
            <w:r w:rsidRPr="00FE7622">
              <w:rPr>
                <w:rFonts w:eastAsia="Calibri"/>
                <w:color w:val="auto"/>
              </w:rPr>
              <w:t>6.09 (54, 2.18)</w:t>
            </w:r>
          </w:p>
        </w:tc>
        <w:tc>
          <w:tcPr>
            <w:tcW w:w="0" w:type="auto"/>
            <w:shd w:val="clear" w:color="auto" w:fill="auto"/>
          </w:tcPr>
          <w:p w14:paraId="1CC56911" w14:textId="77777777" w:rsidR="00F026E8" w:rsidRPr="00FE7622" w:rsidRDefault="00F026E8" w:rsidP="00AF19CC">
            <w:pPr>
              <w:pStyle w:val="72TabletextTablesTableFigureBoxstyles"/>
              <w:rPr>
                <w:rFonts w:eastAsia="Calibri"/>
              </w:rPr>
            </w:pPr>
            <w:r w:rsidRPr="00FE7622">
              <w:rPr>
                <w:rFonts w:eastAsia="Calibri"/>
                <w:color w:val="auto"/>
              </w:rPr>
              <w:t>6.22 (58, 1.89)</w:t>
            </w:r>
          </w:p>
        </w:tc>
        <w:tc>
          <w:tcPr>
            <w:tcW w:w="0" w:type="auto"/>
            <w:vMerge/>
            <w:shd w:val="clear" w:color="auto" w:fill="auto"/>
          </w:tcPr>
          <w:p w14:paraId="5C5C841F"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64457605"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7CD9913"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5764007" w14:textId="77777777" w:rsidR="00F026E8" w:rsidRPr="00FE7622" w:rsidRDefault="00F026E8" w:rsidP="00AF19CC">
            <w:pPr>
              <w:pStyle w:val="72TabletextTablesTableFigureBoxstyles"/>
              <w:rPr>
                <w:rFonts w:eastAsia="Calibri"/>
                <w:color w:val="auto"/>
              </w:rPr>
            </w:pPr>
          </w:p>
        </w:tc>
      </w:tr>
      <w:tr w:rsidR="004F3568" w:rsidRPr="00FE7622" w14:paraId="5A236F48" w14:textId="77777777" w:rsidTr="00AF19CC">
        <w:trPr>
          <w:cantSplit/>
        </w:trPr>
        <w:tc>
          <w:tcPr>
            <w:tcW w:w="0" w:type="auto"/>
            <w:vMerge w:val="restart"/>
            <w:shd w:val="clear" w:color="auto" w:fill="auto"/>
          </w:tcPr>
          <w:p w14:paraId="51178C51" w14:textId="77777777" w:rsidR="00F026E8" w:rsidRPr="00FE7622" w:rsidRDefault="00F026E8" w:rsidP="00AF19CC">
            <w:pPr>
              <w:pStyle w:val="72TabletextTablesTableFigureBoxstyles"/>
              <w:rPr>
                <w:rFonts w:eastAsia="Calibri"/>
              </w:rPr>
            </w:pPr>
            <w:bookmarkStart w:id="93" w:name="_Hlk34816976"/>
            <w:r w:rsidRPr="00FE7622">
              <w:rPr>
                <w:rFonts w:eastAsia="Calibri"/>
                <w:color w:val="auto"/>
              </w:rPr>
              <w:t>Grip strength</w:t>
            </w:r>
          </w:p>
        </w:tc>
        <w:tc>
          <w:tcPr>
            <w:tcW w:w="0" w:type="auto"/>
            <w:shd w:val="clear" w:color="auto" w:fill="auto"/>
          </w:tcPr>
          <w:p w14:paraId="0F6ECD6E" w14:textId="3F3236FD"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28CBABCF" w14:textId="77777777" w:rsidR="00F026E8" w:rsidRPr="00FE7622" w:rsidRDefault="00F026E8" w:rsidP="00AF19CC">
            <w:pPr>
              <w:pStyle w:val="72TabletextTablesTableFigureBoxstyles"/>
              <w:rPr>
                <w:rFonts w:eastAsia="Calibri"/>
              </w:rPr>
            </w:pPr>
            <w:r w:rsidRPr="00FE7622">
              <w:rPr>
                <w:rFonts w:eastAsia="Calibri"/>
                <w:color w:val="auto"/>
              </w:rPr>
              <w:t>18.3 (73, 6.7)</w:t>
            </w:r>
          </w:p>
        </w:tc>
        <w:tc>
          <w:tcPr>
            <w:tcW w:w="0" w:type="auto"/>
            <w:shd w:val="clear" w:color="auto" w:fill="auto"/>
          </w:tcPr>
          <w:p w14:paraId="288AFC8B" w14:textId="77777777" w:rsidR="00F026E8" w:rsidRPr="00FE7622" w:rsidRDefault="00F026E8" w:rsidP="00AF19CC">
            <w:pPr>
              <w:pStyle w:val="72TabletextTablesTableFigureBoxstyles"/>
              <w:rPr>
                <w:rFonts w:eastAsia="Calibri"/>
              </w:rPr>
            </w:pPr>
            <w:r w:rsidRPr="00FE7622">
              <w:rPr>
                <w:rFonts w:eastAsia="Calibri"/>
                <w:color w:val="auto"/>
              </w:rPr>
              <w:t>17.8 (72, 6.9)</w:t>
            </w:r>
          </w:p>
        </w:tc>
        <w:tc>
          <w:tcPr>
            <w:tcW w:w="0" w:type="auto"/>
            <w:vMerge w:val="restart"/>
            <w:shd w:val="clear" w:color="auto" w:fill="auto"/>
          </w:tcPr>
          <w:p w14:paraId="66791EE9" w14:textId="1F3B9B97" w:rsidR="00F026E8" w:rsidRPr="00FE7622" w:rsidRDefault="00F026E8" w:rsidP="00AF19CC">
            <w:pPr>
              <w:pStyle w:val="72TabletextTablesTableFigureBoxstyles"/>
              <w:rPr>
                <w:rFonts w:eastAsia="Calibri"/>
              </w:rPr>
            </w:pPr>
            <w:r w:rsidRPr="00FE7622">
              <w:rPr>
                <w:rFonts w:eastAsia="Calibri"/>
                <w:color w:val="auto"/>
              </w:rPr>
              <w:t>0.8</w:t>
            </w:r>
            <w:r w:rsidR="004F3568" w:rsidRPr="00FE7622">
              <w:rPr>
                <w:rFonts w:eastAsia="Calibri"/>
                <w:color w:val="auto"/>
              </w:rPr>
              <w:t xml:space="preserve"> </w:t>
            </w:r>
            <w:r w:rsidR="00810E66" w:rsidRPr="00FE7622">
              <w:rPr>
                <w:rFonts w:eastAsia="Calibri"/>
                <w:color w:val="auto"/>
              </w:rPr>
              <w:t>(–1.5 to 3.0)</w:t>
            </w:r>
          </w:p>
        </w:tc>
        <w:tc>
          <w:tcPr>
            <w:tcW w:w="0" w:type="auto"/>
            <w:vMerge w:val="restart"/>
            <w:shd w:val="clear" w:color="auto" w:fill="auto"/>
          </w:tcPr>
          <w:p w14:paraId="4FA3BDD0" w14:textId="77777777" w:rsidR="00F026E8" w:rsidRPr="00FE7622" w:rsidRDefault="00F026E8" w:rsidP="00AF19CC">
            <w:pPr>
              <w:pStyle w:val="72TabletextTablesTableFigureBoxstyles"/>
              <w:rPr>
                <w:rFonts w:eastAsia="Calibri"/>
              </w:rPr>
            </w:pPr>
            <w:r w:rsidRPr="00FE7622">
              <w:rPr>
                <w:rFonts w:eastAsia="Calibri"/>
                <w:color w:val="auto"/>
              </w:rPr>
              <w:t>0.50</w:t>
            </w:r>
          </w:p>
        </w:tc>
        <w:tc>
          <w:tcPr>
            <w:tcW w:w="0" w:type="auto"/>
            <w:vMerge w:val="restart"/>
            <w:shd w:val="clear" w:color="auto" w:fill="auto"/>
          </w:tcPr>
          <w:p w14:paraId="73ADAC05" w14:textId="7FFE9056" w:rsidR="00F026E8" w:rsidRPr="00FE7622" w:rsidRDefault="00F026E8" w:rsidP="00AF19CC">
            <w:pPr>
              <w:pStyle w:val="72TabletextTablesTableFigureBoxstyles"/>
              <w:rPr>
                <w:rFonts w:eastAsia="Calibri"/>
              </w:rPr>
            </w:pPr>
            <w:r w:rsidRPr="00FE7622">
              <w:rPr>
                <w:rFonts w:eastAsia="Calibri"/>
                <w:color w:val="auto"/>
              </w:rPr>
              <w:t>0.2</w:t>
            </w:r>
            <w:r w:rsidR="004F3568" w:rsidRPr="00FE7622">
              <w:rPr>
                <w:rFonts w:eastAsia="Calibri"/>
                <w:color w:val="auto"/>
              </w:rPr>
              <w:t xml:space="preserve"> </w:t>
            </w:r>
            <w:r w:rsidR="002903EE" w:rsidRPr="00FE7622">
              <w:rPr>
                <w:rFonts w:eastAsia="Calibri"/>
                <w:color w:val="auto"/>
              </w:rPr>
              <w:t>(–0.9 to 1.2)</w:t>
            </w:r>
          </w:p>
        </w:tc>
        <w:tc>
          <w:tcPr>
            <w:tcW w:w="0" w:type="auto"/>
            <w:vMerge w:val="restart"/>
            <w:shd w:val="clear" w:color="auto" w:fill="auto"/>
          </w:tcPr>
          <w:p w14:paraId="68AD4455" w14:textId="77777777" w:rsidR="00F026E8" w:rsidRPr="00FE7622" w:rsidRDefault="00F026E8" w:rsidP="00AF19CC">
            <w:pPr>
              <w:pStyle w:val="72TabletextTablesTableFigureBoxstyles"/>
              <w:rPr>
                <w:rFonts w:eastAsia="Calibri"/>
                <w:color w:val="auto"/>
              </w:rPr>
            </w:pPr>
            <w:r w:rsidRPr="00FE7622">
              <w:rPr>
                <w:rFonts w:eastAsia="Calibri"/>
                <w:color w:val="auto"/>
              </w:rPr>
              <w:t>0.74</w:t>
            </w:r>
          </w:p>
        </w:tc>
      </w:tr>
      <w:tr w:rsidR="004F3568" w:rsidRPr="00FE7622" w14:paraId="3F3578ED" w14:textId="77777777" w:rsidTr="00AF19CC">
        <w:trPr>
          <w:cantSplit/>
        </w:trPr>
        <w:tc>
          <w:tcPr>
            <w:tcW w:w="0" w:type="auto"/>
            <w:vMerge/>
            <w:shd w:val="clear" w:color="auto" w:fill="auto"/>
          </w:tcPr>
          <w:p w14:paraId="1C710768" w14:textId="77777777" w:rsidR="00F026E8" w:rsidRPr="00FE7622" w:rsidRDefault="00F026E8" w:rsidP="00AF19CC">
            <w:pPr>
              <w:pStyle w:val="72TabletextTablesTableFigureBoxstyles"/>
              <w:rPr>
                <w:rFonts w:eastAsia="Calibri"/>
              </w:rPr>
            </w:pPr>
          </w:p>
        </w:tc>
        <w:tc>
          <w:tcPr>
            <w:tcW w:w="0" w:type="auto"/>
            <w:shd w:val="clear" w:color="auto" w:fill="auto"/>
          </w:tcPr>
          <w:p w14:paraId="3735E9FD" w14:textId="04745072" w:rsidR="00F026E8" w:rsidRPr="00FE7622" w:rsidRDefault="00F026E8" w:rsidP="00AF19CC">
            <w:pPr>
              <w:pStyle w:val="72TabletextTablesTableFigureBoxstyles"/>
              <w:rPr>
                <w:rFonts w:eastAsia="Calibri"/>
              </w:rPr>
            </w:pPr>
            <w:r w:rsidRPr="00FE7622">
              <w:rPr>
                <w:rFonts w:eastAsia="Calibri"/>
                <w:color w:val="auto"/>
              </w:rPr>
              <w:t xml:space="preserve">6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2A5E5425" w14:textId="77777777" w:rsidR="00F026E8" w:rsidRPr="00FE7622" w:rsidRDefault="00F026E8" w:rsidP="00AF19CC">
            <w:pPr>
              <w:pStyle w:val="72TabletextTablesTableFigureBoxstyles"/>
              <w:rPr>
                <w:rFonts w:eastAsia="Calibri"/>
              </w:rPr>
            </w:pPr>
            <w:r w:rsidRPr="00FE7622">
              <w:rPr>
                <w:rFonts w:eastAsia="Calibri"/>
                <w:color w:val="auto"/>
              </w:rPr>
              <w:t>19.9 (56, 7.0)</w:t>
            </w:r>
          </w:p>
        </w:tc>
        <w:tc>
          <w:tcPr>
            <w:tcW w:w="0" w:type="auto"/>
            <w:shd w:val="clear" w:color="auto" w:fill="auto"/>
          </w:tcPr>
          <w:p w14:paraId="7FCEE2FC" w14:textId="77777777" w:rsidR="00F026E8" w:rsidRPr="00FE7622" w:rsidRDefault="00F026E8" w:rsidP="00AF19CC">
            <w:pPr>
              <w:pStyle w:val="72TabletextTablesTableFigureBoxstyles"/>
              <w:rPr>
                <w:rFonts w:eastAsia="Calibri"/>
              </w:rPr>
            </w:pPr>
            <w:r w:rsidRPr="00FE7622">
              <w:rPr>
                <w:rFonts w:eastAsia="Calibri"/>
                <w:color w:val="auto"/>
              </w:rPr>
              <w:t>18.0 (65, 7.5)</w:t>
            </w:r>
          </w:p>
        </w:tc>
        <w:tc>
          <w:tcPr>
            <w:tcW w:w="0" w:type="auto"/>
            <w:vMerge/>
            <w:shd w:val="clear" w:color="auto" w:fill="auto"/>
          </w:tcPr>
          <w:p w14:paraId="3EE6CBB1"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37211FBD"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CCB78B8"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74E2E343" w14:textId="77777777" w:rsidR="00F026E8" w:rsidRPr="00FE7622" w:rsidRDefault="00F026E8" w:rsidP="00AF19CC">
            <w:pPr>
              <w:pStyle w:val="72TabletextTablesTableFigureBoxstyles"/>
              <w:rPr>
                <w:rFonts w:eastAsia="Calibri"/>
                <w:color w:val="auto"/>
              </w:rPr>
            </w:pPr>
          </w:p>
        </w:tc>
      </w:tr>
      <w:tr w:rsidR="004F3568" w:rsidRPr="00FE7622" w14:paraId="27EAAE06" w14:textId="77777777" w:rsidTr="00AF19CC">
        <w:trPr>
          <w:cantSplit/>
        </w:trPr>
        <w:tc>
          <w:tcPr>
            <w:tcW w:w="0" w:type="auto"/>
            <w:vMerge/>
            <w:shd w:val="clear" w:color="auto" w:fill="auto"/>
          </w:tcPr>
          <w:p w14:paraId="016CF20B" w14:textId="77777777" w:rsidR="00F026E8" w:rsidRPr="00FE7622" w:rsidRDefault="00F026E8" w:rsidP="00AF19CC">
            <w:pPr>
              <w:pStyle w:val="72TabletextTablesTableFigureBoxstyles"/>
              <w:rPr>
                <w:rFonts w:eastAsia="Calibri"/>
              </w:rPr>
            </w:pPr>
          </w:p>
        </w:tc>
        <w:tc>
          <w:tcPr>
            <w:tcW w:w="0" w:type="auto"/>
            <w:shd w:val="clear" w:color="auto" w:fill="auto"/>
          </w:tcPr>
          <w:p w14:paraId="4B8E5095" w14:textId="7D3ED24B"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2DB65400" w14:textId="77777777" w:rsidR="00F026E8" w:rsidRPr="00FE7622" w:rsidRDefault="00F026E8" w:rsidP="00AF19CC">
            <w:pPr>
              <w:pStyle w:val="72TabletextTablesTableFigureBoxstyles"/>
              <w:rPr>
                <w:rFonts w:eastAsia="Calibri"/>
              </w:rPr>
            </w:pPr>
            <w:r w:rsidRPr="00FE7622">
              <w:rPr>
                <w:rFonts w:eastAsia="Calibri"/>
                <w:color w:val="auto"/>
              </w:rPr>
              <w:t>20.4 (50, 6.7)</w:t>
            </w:r>
          </w:p>
        </w:tc>
        <w:tc>
          <w:tcPr>
            <w:tcW w:w="0" w:type="auto"/>
            <w:shd w:val="clear" w:color="auto" w:fill="auto"/>
          </w:tcPr>
          <w:p w14:paraId="46C14A35" w14:textId="77777777" w:rsidR="00F026E8" w:rsidRPr="00FE7622" w:rsidRDefault="00F026E8" w:rsidP="00AF19CC">
            <w:pPr>
              <w:pStyle w:val="72TabletextTablesTableFigureBoxstyles"/>
              <w:rPr>
                <w:rFonts w:eastAsia="Calibri"/>
              </w:rPr>
            </w:pPr>
            <w:r w:rsidRPr="00FE7622">
              <w:rPr>
                <w:rFonts w:eastAsia="Calibri"/>
                <w:color w:val="auto"/>
              </w:rPr>
              <w:t>19.0 (55, 6.9)</w:t>
            </w:r>
          </w:p>
        </w:tc>
        <w:tc>
          <w:tcPr>
            <w:tcW w:w="0" w:type="auto"/>
            <w:vMerge/>
            <w:shd w:val="clear" w:color="auto" w:fill="auto"/>
          </w:tcPr>
          <w:p w14:paraId="0048B4AA"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0479655"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55EF3AD"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36B70FEC" w14:textId="77777777" w:rsidR="00F026E8" w:rsidRPr="00FE7622" w:rsidRDefault="00F026E8" w:rsidP="00AF19CC">
            <w:pPr>
              <w:pStyle w:val="72TabletextTablesTableFigureBoxstyles"/>
              <w:rPr>
                <w:rFonts w:eastAsia="Calibri"/>
                <w:color w:val="auto"/>
              </w:rPr>
            </w:pPr>
          </w:p>
        </w:tc>
      </w:tr>
      <w:tr w:rsidR="004F3568" w:rsidRPr="00FE7622" w14:paraId="78C835FC" w14:textId="77777777" w:rsidTr="00AF19CC">
        <w:trPr>
          <w:cantSplit/>
        </w:trPr>
        <w:tc>
          <w:tcPr>
            <w:tcW w:w="0" w:type="auto"/>
            <w:vMerge w:val="restart"/>
            <w:shd w:val="clear" w:color="auto" w:fill="auto"/>
          </w:tcPr>
          <w:p w14:paraId="7122D51F" w14:textId="77777777" w:rsidR="00F026E8" w:rsidRPr="00FE7622" w:rsidRDefault="00F026E8" w:rsidP="00AF19CC">
            <w:pPr>
              <w:pStyle w:val="72TabletextTablesTableFigureBoxstyles"/>
              <w:rPr>
                <w:rFonts w:eastAsia="Calibri"/>
              </w:rPr>
            </w:pPr>
            <w:bookmarkStart w:id="94" w:name="_Hlk34817869"/>
            <w:bookmarkEnd w:id="93"/>
            <w:r w:rsidRPr="00FE7622">
              <w:rPr>
                <w:rFonts w:eastAsia="Calibri"/>
                <w:color w:val="auto"/>
              </w:rPr>
              <w:t>Quadriceps strength (kg)</w:t>
            </w:r>
          </w:p>
        </w:tc>
        <w:tc>
          <w:tcPr>
            <w:tcW w:w="0" w:type="auto"/>
            <w:shd w:val="clear" w:color="auto" w:fill="auto"/>
          </w:tcPr>
          <w:p w14:paraId="60570843" w14:textId="6E167FE1"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05E4D1E1" w14:textId="77777777" w:rsidR="00F026E8" w:rsidRPr="00FE7622" w:rsidRDefault="00F026E8" w:rsidP="00AF19CC">
            <w:pPr>
              <w:pStyle w:val="72TabletextTablesTableFigureBoxstyles"/>
              <w:rPr>
                <w:rFonts w:eastAsia="Calibri"/>
              </w:rPr>
            </w:pPr>
            <w:r w:rsidRPr="00FE7622">
              <w:rPr>
                <w:rFonts w:eastAsia="Calibri"/>
                <w:color w:val="auto"/>
              </w:rPr>
              <w:t>12.7 (67, 6.4)</w:t>
            </w:r>
          </w:p>
        </w:tc>
        <w:tc>
          <w:tcPr>
            <w:tcW w:w="0" w:type="auto"/>
            <w:shd w:val="clear" w:color="auto" w:fill="auto"/>
          </w:tcPr>
          <w:p w14:paraId="3654488E" w14:textId="77777777" w:rsidR="00F026E8" w:rsidRPr="00FE7622" w:rsidRDefault="00F026E8" w:rsidP="00AF19CC">
            <w:pPr>
              <w:pStyle w:val="72TabletextTablesTableFigureBoxstyles"/>
              <w:rPr>
                <w:rFonts w:eastAsia="Calibri"/>
                <w:color w:val="auto"/>
              </w:rPr>
            </w:pPr>
            <w:r w:rsidRPr="00FE7622">
              <w:rPr>
                <w:rFonts w:eastAsia="Calibri"/>
                <w:color w:val="auto"/>
              </w:rPr>
              <w:t>13.53 (68, 6.8)</w:t>
            </w:r>
          </w:p>
        </w:tc>
        <w:tc>
          <w:tcPr>
            <w:tcW w:w="0" w:type="auto"/>
            <w:vMerge w:val="restart"/>
            <w:shd w:val="clear" w:color="auto" w:fill="auto"/>
          </w:tcPr>
          <w:p w14:paraId="1FBAF7E9" w14:textId="723D358A" w:rsidR="00F026E8" w:rsidRPr="00FE7622" w:rsidRDefault="00F026E8" w:rsidP="00AF19CC">
            <w:pPr>
              <w:pStyle w:val="72TabletextTablesTableFigureBoxstyles"/>
              <w:rPr>
                <w:rFonts w:eastAsia="Calibri"/>
              </w:rPr>
            </w:pPr>
            <w:r w:rsidRPr="00FE7622">
              <w:rPr>
                <w:rFonts w:eastAsia="Calibri"/>
                <w:color w:val="auto"/>
              </w:rPr>
              <w:t>–0.1</w:t>
            </w:r>
            <w:r w:rsidR="004F3568" w:rsidRPr="00FE7622">
              <w:rPr>
                <w:rFonts w:eastAsia="Calibri"/>
                <w:color w:val="auto"/>
              </w:rPr>
              <w:t xml:space="preserve"> </w:t>
            </w:r>
            <w:r w:rsidR="00810E66" w:rsidRPr="00FE7622">
              <w:rPr>
                <w:rFonts w:eastAsia="Calibri"/>
                <w:color w:val="auto"/>
              </w:rPr>
              <w:t>(–2.1 to 1.9)</w:t>
            </w:r>
          </w:p>
        </w:tc>
        <w:tc>
          <w:tcPr>
            <w:tcW w:w="0" w:type="auto"/>
            <w:vMerge w:val="restart"/>
            <w:shd w:val="clear" w:color="auto" w:fill="auto"/>
          </w:tcPr>
          <w:p w14:paraId="62C5724B" w14:textId="77777777" w:rsidR="00F026E8" w:rsidRPr="00FE7622" w:rsidRDefault="00F026E8" w:rsidP="00AF19CC">
            <w:pPr>
              <w:pStyle w:val="72TabletextTablesTableFigureBoxstyles"/>
              <w:rPr>
                <w:rFonts w:eastAsia="Calibri"/>
              </w:rPr>
            </w:pPr>
            <w:r w:rsidRPr="00FE7622">
              <w:rPr>
                <w:rFonts w:eastAsia="Calibri"/>
                <w:color w:val="auto"/>
              </w:rPr>
              <w:t>0.91</w:t>
            </w:r>
          </w:p>
        </w:tc>
        <w:tc>
          <w:tcPr>
            <w:tcW w:w="0" w:type="auto"/>
            <w:vMerge w:val="restart"/>
            <w:shd w:val="clear" w:color="auto" w:fill="auto"/>
          </w:tcPr>
          <w:p w14:paraId="6B1F6479" w14:textId="137F4DA4" w:rsidR="00F026E8" w:rsidRPr="00FE7622" w:rsidRDefault="00F026E8" w:rsidP="00AF19CC">
            <w:pPr>
              <w:pStyle w:val="72TabletextTablesTableFigureBoxstyles"/>
              <w:rPr>
                <w:rFonts w:eastAsia="Calibri"/>
              </w:rPr>
            </w:pPr>
            <w:r w:rsidRPr="00FE7622">
              <w:rPr>
                <w:rFonts w:eastAsia="Calibri"/>
                <w:color w:val="auto"/>
              </w:rPr>
              <w:t>0.6</w:t>
            </w:r>
            <w:r w:rsidR="006A6DF9" w:rsidRPr="00FE7622">
              <w:rPr>
                <w:rFonts w:eastAsia="Calibri"/>
                <w:color w:val="auto"/>
              </w:rPr>
              <w:t xml:space="preserve"> </w:t>
            </w:r>
            <w:r w:rsidR="002903EE" w:rsidRPr="00FE7622">
              <w:rPr>
                <w:rFonts w:eastAsia="Calibri"/>
                <w:color w:val="auto"/>
              </w:rPr>
              <w:t>(–3.0 to 4.1)</w:t>
            </w:r>
          </w:p>
        </w:tc>
        <w:tc>
          <w:tcPr>
            <w:tcW w:w="0" w:type="auto"/>
            <w:vMerge w:val="restart"/>
            <w:shd w:val="clear" w:color="auto" w:fill="auto"/>
          </w:tcPr>
          <w:p w14:paraId="2E5E7556" w14:textId="77777777" w:rsidR="00F026E8" w:rsidRPr="00FE7622" w:rsidRDefault="00F026E8" w:rsidP="00AF19CC">
            <w:pPr>
              <w:pStyle w:val="72TabletextTablesTableFigureBoxstyles"/>
              <w:rPr>
                <w:rFonts w:eastAsia="Calibri"/>
                <w:color w:val="auto"/>
              </w:rPr>
            </w:pPr>
            <w:r w:rsidRPr="00FE7622">
              <w:rPr>
                <w:rFonts w:eastAsia="Calibri"/>
                <w:color w:val="auto"/>
              </w:rPr>
              <w:t>0.75</w:t>
            </w:r>
          </w:p>
        </w:tc>
      </w:tr>
      <w:tr w:rsidR="004F3568" w:rsidRPr="00FE7622" w14:paraId="69CD336E" w14:textId="77777777" w:rsidTr="00AF19CC">
        <w:trPr>
          <w:cantSplit/>
        </w:trPr>
        <w:tc>
          <w:tcPr>
            <w:tcW w:w="0" w:type="auto"/>
            <w:vMerge/>
            <w:shd w:val="clear" w:color="auto" w:fill="auto"/>
          </w:tcPr>
          <w:p w14:paraId="33CC0B45" w14:textId="77777777" w:rsidR="00F026E8" w:rsidRPr="00FE7622" w:rsidRDefault="00F026E8" w:rsidP="00AF19CC">
            <w:pPr>
              <w:pStyle w:val="72TabletextTablesTableFigureBoxstyles"/>
              <w:rPr>
                <w:rFonts w:eastAsia="Calibri"/>
              </w:rPr>
            </w:pPr>
          </w:p>
        </w:tc>
        <w:tc>
          <w:tcPr>
            <w:tcW w:w="0" w:type="auto"/>
            <w:shd w:val="clear" w:color="auto" w:fill="auto"/>
          </w:tcPr>
          <w:p w14:paraId="35D92052" w14:textId="7034C5A9" w:rsidR="00F026E8" w:rsidRPr="00FE7622" w:rsidRDefault="00F026E8" w:rsidP="00AF19CC">
            <w:pPr>
              <w:pStyle w:val="72TabletextTablesTableFigureBoxstyles"/>
              <w:rPr>
                <w:rFonts w:eastAsia="Calibri"/>
              </w:rPr>
            </w:pPr>
            <w:r w:rsidRPr="00FE7622">
              <w:rPr>
                <w:rFonts w:eastAsia="Calibri"/>
                <w:color w:val="auto"/>
              </w:rPr>
              <w:t xml:space="preserve">6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65B9C3DA" w14:textId="77777777" w:rsidR="00F026E8" w:rsidRPr="00FE7622" w:rsidRDefault="00F026E8" w:rsidP="00AF19CC">
            <w:pPr>
              <w:pStyle w:val="72TabletextTablesTableFigureBoxstyles"/>
              <w:rPr>
                <w:rFonts w:eastAsia="Calibri"/>
              </w:rPr>
            </w:pPr>
            <w:r w:rsidRPr="00FE7622">
              <w:rPr>
                <w:rFonts w:eastAsia="Calibri"/>
                <w:color w:val="auto"/>
              </w:rPr>
              <w:t>14.5 (53, 8.3)</w:t>
            </w:r>
          </w:p>
        </w:tc>
        <w:tc>
          <w:tcPr>
            <w:tcW w:w="0" w:type="auto"/>
            <w:shd w:val="clear" w:color="auto" w:fill="auto"/>
          </w:tcPr>
          <w:p w14:paraId="229B68C6" w14:textId="77777777" w:rsidR="00F026E8" w:rsidRPr="00FE7622" w:rsidRDefault="00F026E8" w:rsidP="00AF19CC">
            <w:pPr>
              <w:pStyle w:val="72TabletextTablesTableFigureBoxstyles"/>
              <w:rPr>
                <w:rFonts w:eastAsia="Calibri"/>
              </w:rPr>
            </w:pPr>
            <w:r w:rsidRPr="00FE7622">
              <w:rPr>
                <w:rFonts w:eastAsia="Calibri"/>
                <w:color w:val="auto"/>
              </w:rPr>
              <w:t>12.40 (58, 5.4)</w:t>
            </w:r>
          </w:p>
        </w:tc>
        <w:tc>
          <w:tcPr>
            <w:tcW w:w="0" w:type="auto"/>
            <w:vMerge/>
            <w:shd w:val="clear" w:color="auto" w:fill="auto"/>
          </w:tcPr>
          <w:p w14:paraId="3F0F40F5"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73BC65A"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B35523F"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7A115C7" w14:textId="77777777" w:rsidR="00F026E8" w:rsidRPr="00FE7622" w:rsidRDefault="00F026E8" w:rsidP="00AF19CC">
            <w:pPr>
              <w:pStyle w:val="72TabletextTablesTableFigureBoxstyles"/>
              <w:rPr>
                <w:rFonts w:eastAsia="Calibri"/>
                <w:color w:val="auto"/>
              </w:rPr>
            </w:pPr>
          </w:p>
        </w:tc>
      </w:tr>
      <w:tr w:rsidR="004F3568" w:rsidRPr="00FE7622" w14:paraId="02B8A829" w14:textId="77777777" w:rsidTr="00AF19CC">
        <w:trPr>
          <w:cantSplit/>
        </w:trPr>
        <w:tc>
          <w:tcPr>
            <w:tcW w:w="0" w:type="auto"/>
            <w:vMerge/>
            <w:shd w:val="clear" w:color="auto" w:fill="auto"/>
          </w:tcPr>
          <w:p w14:paraId="003AEF63" w14:textId="77777777" w:rsidR="00F026E8" w:rsidRPr="00FE7622" w:rsidRDefault="00F026E8" w:rsidP="00AF19CC">
            <w:pPr>
              <w:pStyle w:val="72TabletextTablesTableFigureBoxstyles"/>
              <w:rPr>
                <w:rFonts w:eastAsia="Calibri"/>
              </w:rPr>
            </w:pPr>
          </w:p>
        </w:tc>
        <w:tc>
          <w:tcPr>
            <w:tcW w:w="0" w:type="auto"/>
            <w:shd w:val="clear" w:color="auto" w:fill="auto"/>
          </w:tcPr>
          <w:p w14:paraId="6FFE5612" w14:textId="338FC607"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0B38D7B8" w14:textId="77777777" w:rsidR="00F026E8" w:rsidRPr="00FE7622" w:rsidRDefault="00F026E8" w:rsidP="00AF19CC">
            <w:pPr>
              <w:pStyle w:val="72TabletextTablesTableFigureBoxstyles"/>
              <w:rPr>
                <w:rFonts w:eastAsia="Calibri"/>
              </w:rPr>
            </w:pPr>
            <w:r w:rsidRPr="00FE7622">
              <w:rPr>
                <w:rFonts w:eastAsia="Calibri"/>
                <w:color w:val="auto"/>
              </w:rPr>
              <w:t>13.6 (40, 6.2)</w:t>
            </w:r>
          </w:p>
        </w:tc>
        <w:tc>
          <w:tcPr>
            <w:tcW w:w="0" w:type="auto"/>
            <w:shd w:val="clear" w:color="auto" w:fill="auto"/>
          </w:tcPr>
          <w:p w14:paraId="1EB8745B" w14:textId="77777777" w:rsidR="00F026E8" w:rsidRPr="00FE7622" w:rsidRDefault="00F026E8" w:rsidP="00AF19CC">
            <w:pPr>
              <w:pStyle w:val="72TabletextTablesTableFigureBoxstyles"/>
              <w:rPr>
                <w:rFonts w:eastAsia="Calibri"/>
              </w:rPr>
            </w:pPr>
            <w:r w:rsidRPr="00FE7622">
              <w:rPr>
                <w:rFonts w:eastAsia="Calibri"/>
                <w:color w:val="auto"/>
              </w:rPr>
              <w:t>14.36 (48, 7.3)</w:t>
            </w:r>
          </w:p>
        </w:tc>
        <w:tc>
          <w:tcPr>
            <w:tcW w:w="0" w:type="auto"/>
            <w:vMerge/>
            <w:shd w:val="clear" w:color="auto" w:fill="auto"/>
          </w:tcPr>
          <w:p w14:paraId="2554779D"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347D907C"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01CC5B4"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7AD9705D" w14:textId="77777777" w:rsidR="00F026E8" w:rsidRPr="00FE7622" w:rsidRDefault="00F026E8" w:rsidP="00AF19CC">
            <w:pPr>
              <w:pStyle w:val="72TabletextTablesTableFigureBoxstyles"/>
              <w:rPr>
                <w:rFonts w:eastAsia="Calibri"/>
                <w:color w:val="auto"/>
              </w:rPr>
            </w:pPr>
          </w:p>
        </w:tc>
      </w:tr>
      <w:bookmarkEnd w:id="94"/>
      <w:tr w:rsidR="004F3568" w:rsidRPr="00FE7622" w14:paraId="2A5D6197" w14:textId="77777777" w:rsidTr="00AF19CC">
        <w:trPr>
          <w:cantSplit/>
        </w:trPr>
        <w:tc>
          <w:tcPr>
            <w:tcW w:w="0" w:type="auto"/>
            <w:vMerge w:val="restart"/>
            <w:shd w:val="clear" w:color="auto" w:fill="auto"/>
          </w:tcPr>
          <w:p w14:paraId="0117D07D" w14:textId="48C0CAA6" w:rsidR="00F026E8" w:rsidRPr="00FE7622" w:rsidRDefault="00F026E8" w:rsidP="00AF19CC">
            <w:pPr>
              <w:pStyle w:val="72TabletextTablesTableFigureBoxstyles"/>
              <w:rPr>
                <w:rFonts w:eastAsia="Calibri"/>
              </w:rPr>
            </w:pPr>
            <w:r w:rsidRPr="00FE7622">
              <w:rPr>
                <w:rFonts w:eastAsia="Calibri"/>
                <w:color w:val="auto"/>
              </w:rPr>
              <w:t>Six</w:t>
            </w:r>
            <w:r w:rsidR="004F3568" w:rsidRPr="00FE7622">
              <w:rPr>
                <w:rFonts w:eastAsia="Calibri"/>
                <w:color w:val="auto"/>
              </w:rPr>
              <w:t>-</w:t>
            </w:r>
            <w:r w:rsidRPr="00FE7622">
              <w:rPr>
                <w:rFonts w:eastAsia="Calibri"/>
                <w:color w:val="auto"/>
              </w:rPr>
              <w:t>min</w:t>
            </w:r>
            <w:r w:rsidR="004F3568" w:rsidRPr="00FE7622">
              <w:rPr>
                <w:rFonts w:eastAsia="Calibri"/>
                <w:color w:val="auto"/>
              </w:rPr>
              <w:t>ute</w:t>
            </w:r>
            <w:r w:rsidRPr="00FE7622">
              <w:rPr>
                <w:rFonts w:eastAsia="Calibri"/>
                <w:color w:val="auto"/>
              </w:rPr>
              <w:t xml:space="preserve"> walk (m)</w:t>
            </w:r>
          </w:p>
        </w:tc>
        <w:tc>
          <w:tcPr>
            <w:tcW w:w="0" w:type="auto"/>
            <w:shd w:val="clear" w:color="auto" w:fill="auto"/>
          </w:tcPr>
          <w:p w14:paraId="09A6099B" w14:textId="22172831"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41CB40A4" w14:textId="77777777" w:rsidR="00F026E8" w:rsidRPr="00FE7622" w:rsidRDefault="00F026E8" w:rsidP="00AF19CC">
            <w:pPr>
              <w:pStyle w:val="72TabletextTablesTableFigureBoxstyles"/>
              <w:rPr>
                <w:rFonts w:eastAsia="Calibri"/>
              </w:rPr>
            </w:pPr>
            <w:r w:rsidRPr="00FE7622">
              <w:rPr>
                <w:rFonts w:eastAsia="Calibri"/>
                <w:color w:val="auto"/>
              </w:rPr>
              <w:t>298 (73, 109)</w:t>
            </w:r>
          </w:p>
        </w:tc>
        <w:tc>
          <w:tcPr>
            <w:tcW w:w="0" w:type="auto"/>
            <w:shd w:val="clear" w:color="auto" w:fill="auto"/>
          </w:tcPr>
          <w:p w14:paraId="2D7BA947" w14:textId="77777777" w:rsidR="00F026E8" w:rsidRPr="00FE7622" w:rsidRDefault="00F026E8" w:rsidP="00AF19CC">
            <w:pPr>
              <w:pStyle w:val="72TabletextTablesTableFigureBoxstyles"/>
              <w:rPr>
                <w:rFonts w:eastAsia="Calibri"/>
                <w:color w:val="auto"/>
              </w:rPr>
            </w:pPr>
            <w:r w:rsidRPr="00FE7622">
              <w:rPr>
                <w:rFonts w:eastAsia="Calibri"/>
                <w:color w:val="auto"/>
              </w:rPr>
              <w:t>313 (71, 111)</w:t>
            </w:r>
          </w:p>
        </w:tc>
        <w:tc>
          <w:tcPr>
            <w:tcW w:w="0" w:type="auto"/>
            <w:vMerge w:val="restart"/>
            <w:shd w:val="clear" w:color="auto" w:fill="auto"/>
          </w:tcPr>
          <w:p w14:paraId="081B1266" w14:textId="7B32F25E" w:rsidR="00F026E8" w:rsidRPr="00FE7622" w:rsidRDefault="00F026E8" w:rsidP="00AF19CC">
            <w:pPr>
              <w:pStyle w:val="72TabletextTablesTableFigureBoxstyles"/>
              <w:rPr>
                <w:rFonts w:eastAsia="Calibri"/>
              </w:rPr>
            </w:pPr>
            <w:r w:rsidRPr="00FE7622">
              <w:rPr>
                <w:rFonts w:eastAsia="Calibri"/>
                <w:color w:val="auto"/>
              </w:rPr>
              <w:t>–7</w:t>
            </w:r>
            <w:r w:rsidR="004F3568" w:rsidRPr="00FE7622">
              <w:rPr>
                <w:rFonts w:eastAsia="Calibri"/>
                <w:color w:val="auto"/>
              </w:rPr>
              <w:t xml:space="preserve"> </w:t>
            </w:r>
            <w:r w:rsidR="00810E66" w:rsidRPr="00FE7622">
              <w:rPr>
                <w:rFonts w:eastAsia="Calibri"/>
                <w:color w:val="auto"/>
              </w:rPr>
              <w:t>(–40 to 26)</w:t>
            </w:r>
          </w:p>
        </w:tc>
        <w:tc>
          <w:tcPr>
            <w:tcW w:w="0" w:type="auto"/>
            <w:vMerge w:val="restart"/>
            <w:shd w:val="clear" w:color="auto" w:fill="auto"/>
          </w:tcPr>
          <w:p w14:paraId="119D820A" w14:textId="77777777" w:rsidR="00F026E8" w:rsidRPr="00FE7622" w:rsidRDefault="00F026E8" w:rsidP="00AF19CC">
            <w:pPr>
              <w:pStyle w:val="72TabletextTablesTableFigureBoxstyles"/>
              <w:rPr>
                <w:rFonts w:eastAsia="Calibri"/>
                <w:color w:val="auto"/>
              </w:rPr>
            </w:pPr>
            <w:r w:rsidRPr="00FE7622">
              <w:rPr>
                <w:rFonts w:eastAsia="Calibri"/>
                <w:color w:val="auto"/>
              </w:rPr>
              <w:t>0.66</w:t>
            </w:r>
          </w:p>
        </w:tc>
        <w:tc>
          <w:tcPr>
            <w:tcW w:w="0" w:type="auto"/>
            <w:vMerge w:val="restart"/>
            <w:shd w:val="clear" w:color="auto" w:fill="auto"/>
          </w:tcPr>
          <w:p w14:paraId="25CCC438" w14:textId="678ADD90" w:rsidR="00F026E8" w:rsidRPr="00FE7622" w:rsidRDefault="00F026E8" w:rsidP="00AF19CC">
            <w:pPr>
              <w:pStyle w:val="72TabletextTablesTableFigureBoxstyles"/>
              <w:rPr>
                <w:rFonts w:eastAsia="Calibri"/>
              </w:rPr>
            </w:pPr>
            <w:r w:rsidRPr="00FE7622">
              <w:rPr>
                <w:rFonts w:eastAsia="Calibri"/>
                <w:color w:val="auto"/>
              </w:rPr>
              <w:t>–32</w:t>
            </w:r>
            <w:r w:rsidR="006A6DF9" w:rsidRPr="00FE7622">
              <w:rPr>
                <w:rFonts w:eastAsia="Calibri"/>
                <w:color w:val="auto"/>
              </w:rPr>
              <w:t xml:space="preserve"> </w:t>
            </w:r>
            <w:r w:rsidR="002903EE" w:rsidRPr="00FE7622">
              <w:rPr>
                <w:rFonts w:eastAsia="Calibri"/>
                <w:color w:val="auto"/>
              </w:rPr>
              <w:t>(–75 to 12)</w:t>
            </w:r>
          </w:p>
        </w:tc>
        <w:tc>
          <w:tcPr>
            <w:tcW w:w="0" w:type="auto"/>
            <w:vMerge w:val="restart"/>
            <w:shd w:val="clear" w:color="auto" w:fill="auto"/>
          </w:tcPr>
          <w:p w14:paraId="3B905017" w14:textId="77777777" w:rsidR="00F026E8" w:rsidRPr="00FE7622" w:rsidRDefault="00F026E8" w:rsidP="00AF19CC">
            <w:pPr>
              <w:pStyle w:val="72TabletextTablesTableFigureBoxstyles"/>
              <w:rPr>
                <w:rFonts w:eastAsia="Calibri"/>
                <w:color w:val="auto"/>
              </w:rPr>
            </w:pPr>
            <w:r w:rsidRPr="00FE7622">
              <w:rPr>
                <w:rFonts w:eastAsia="Calibri"/>
                <w:color w:val="auto"/>
              </w:rPr>
              <w:t>0.15</w:t>
            </w:r>
          </w:p>
        </w:tc>
      </w:tr>
      <w:tr w:rsidR="004F3568" w:rsidRPr="00FE7622" w14:paraId="26822BBA" w14:textId="77777777" w:rsidTr="00AF19CC">
        <w:trPr>
          <w:cantSplit/>
        </w:trPr>
        <w:tc>
          <w:tcPr>
            <w:tcW w:w="0" w:type="auto"/>
            <w:vMerge/>
            <w:shd w:val="clear" w:color="auto" w:fill="auto"/>
          </w:tcPr>
          <w:p w14:paraId="5B75B286" w14:textId="77777777" w:rsidR="00F026E8" w:rsidRPr="00FE7622" w:rsidRDefault="00F026E8" w:rsidP="00AF19CC">
            <w:pPr>
              <w:pStyle w:val="72TabletextTablesTableFigureBoxstyles"/>
              <w:rPr>
                <w:rFonts w:eastAsia="Calibri"/>
              </w:rPr>
            </w:pPr>
          </w:p>
        </w:tc>
        <w:tc>
          <w:tcPr>
            <w:tcW w:w="0" w:type="auto"/>
            <w:shd w:val="clear" w:color="auto" w:fill="auto"/>
          </w:tcPr>
          <w:p w14:paraId="4D4EA242" w14:textId="6D6DAF13" w:rsidR="00F026E8" w:rsidRPr="00FE7622" w:rsidRDefault="00F026E8" w:rsidP="00AF19CC">
            <w:pPr>
              <w:pStyle w:val="72TabletextTablesTableFigureBoxstyles"/>
              <w:rPr>
                <w:rFonts w:eastAsia="Calibri"/>
              </w:rPr>
            </w:pPr>
            <w:r w:rsidRPr="00FE7622">
              <w:rPr>
                <w:rFonts w:eastAsia="Calibri"/>
                <w:color w:val="auto"/>
              </w:rPr>
              <w:t xml:space="preserve">6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5CB3A72D" w14:textId="77777777" w:rsidR="00F026E8" w:rsidRPr="00FE7622" w:rsidRDefault="00F026E8" w:rsidP="00AF19CC">
            <w:pPr>
              <w:pStyle w:val="72TabletextTablesTableFigureBoxstyles"/>
              <w:rPr>
                <w:rFonts w:eastAsia="Calibri"/>
              </w:rPr>
            </w:pPr>
            <w:r w:rsidRPr="00FE7622">
              <w:rPr>
                <w:rFonts w:eastAsia="Calibri"/>
                <w:color w:val="auto"/>
              </w:rPr>
              <w:t>328 (54, 103)</w:t>
            </w:r>
          </w:p>
        </w:tc>
        <w:tc>
          <w:tcPr>
            <w:tcW w:w="0" w:type="auto"/>
            <w:shd w:val="clear" w:color="auto" w:fill="auto"/>
          </w:tcPr>
          <w:p w14:paraId="73214415" w14:textId="77777777" w:rsidR="00F026E8" w:rsidRPr="00FE7622" w:rsidRDefault="00F026E8" w:rsidP="00AF19CC">
            <w:pPr>
              <w:pStyle w:val="72TabletextTablesTableFigureBoxstyles"/>
              <w:rPr>
                <w:rFonts w:eastAsia="Calibri"/>
              </w:rPr>
            </w:pPr>
            <w:r w:rsidRPr="00FE7622">
              <w:rPr>
                <w:rFonts w:eastAsia="Calibri"/>
                <w:color w:val="auto"/>
              </w:rPr>
              <w:t>321 (60, 111)</w:t>
            </w:r>
          </w:p>
        </w:tc>
        <w:tc>
          <w:tcPr>
            <w:tcW w:w="0" w:type="auto"/>
            <w:vMerge/>
            <w:shd w:val="clear" w:color="auto" w:fill="auto"/>
          </w:tcPr>
          <w:p w14:paraId="5E3DD88E"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5A9B467"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A7A8DB6"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A9B6519" w14:textId="77777777" w:rsidR="00F026E8" w:rsidRPr="00FE7622" w:rsidRDefault="00F026E8" w:rsidP="00AF19CC">
            <w:pPr>
              <w:pStyle w:val="72TabletextTablesTableFigureBoxstyles"/>
              <w:rPr>
                <w:rFonts w:eastAsia="Calibri"/>
                <w:color w:val="auto"/>
              </w:rPr>
            </w:pPr>
          </w:p>
        </w:tc>
      </w:tr>
      <w:tr w:rsidR="004F3568" w:rsidRPr="00FE7622" w14:paraId="4D516C89" w14:textId="77777777" w:rsidTr="00AF19CC">
        <w:trPr>
          <w:cantSplit/>
        </w:trPr>
        <w:tc>
          <w:tcPr>
            <w:tcW w:w="0" w:type="auto"/>
            <w:vMerge/>
            <w:shd w:val="clear" w:color="auto" w:fill="auto"/>
          </w:tcPr>
          <w:p w14:paraId="6AD44886" w14:textId="77777777" w:rsidR="00F026E8" w:rsidRPr="00FE7622" w:rsidRDefault="00F026E8" w:rsidP="00AF19CC">
            <w:pPr>
              <w:pStyle w:val="72TabletextTablesTableFigureBoxstyles"/>
              <w:rPr>
                <w:rFonts w:eastAsia="Calibri"/>
              </w:rPr>
            </w:pPr>
          </w:p>
        </w:tc>
        <w:tc>
          <w:tcPr>
            <w:tcW w:w="0" w:type="auto"/>
            <w:shd w:val="clear" w:color="auto" w:fill="auto"/>
          </w:tcPr>
          <w:p w14:paraId="6CEF213B" w14:textId="23E24C7D"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2CDACBA5" w14:textId="77777777" w:rsidR="00F026E8" w:rsidRPr="00FE7622" w:rsidRDefault="00F026E8" w:rsidP="00AF19CC">
            <w:pPr>
              <w:pStyle w:val="72TabletextTablesTableFigureBoxstyles"/>
              <w:rPr>
                <w:rFonts w:eastAsia="Calibri"/>
              </w:rPr>
            </w:pPr>
            <w:r w:rsidRPr="00FE7622">
              <w:rPr>
                <w:rFonts w:eastAsia="Calibri"/>
                <w:color w:val="auto"/>
              </w:rPr>
              <w:t>338 (46, 97)</w:t>
            </w:r>
          </w:p>
        </w:tc>
        <w:tc>
          <w:tcPr>
            <w:tcW w:w="0" w:type="auto"/>
            <w:shd w:val="clear" w:color="auto" w:fill="auto"/>
          </w:tcPr>
          <w:p w14:paraId="60C3527B" w14:textId="77777777" w:rsidR="00F026E8" w:rsidRPr="00FE7622" w:rsidRDefault="00F026E8" w:rsidP="00AF19CC">
            <w:pPr>
              <w:pStyle w:val="72TabletextTablesTableFigureBoxstyles"/>
              <w:rPr>
                <w:rFonts w:eastAsia="Calibri"/>
              </w:rPr>
            </w:pPr>
            <w:r w:rsidRPr="00FE7622">
              <w:rPr>
                <w:rFonts w:eastAsia="Calibri"/>
                <w:color w:val="auto"/>
              </w:rPr>
              <w:t>324 (54, 115)</w:t>
            </w:r>
          </w:p>
        </w:tc>
        <w:tc>
          <w:tcPr>
            <w:tcW w:w="0" w:type="auto"/>
            <w:vMerge/>
            <w:shd w:val="clear" w:color="auto" w:fill="auto"/>
          </w:tcPr>
          <w:p w14:paraId="404014D8"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756C8C57"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6050D8B2"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895FE81" w14:textId="77777777" w:rsidR="00F026E8" w:rsidRPr="00FE7622" w:rsidRDefault="00F026E8" w:rsidP="00AF19CC">
            <w:pPr>
              <w:pStyle w:val="72TabletextTablesTableFigureBoxstyles"/>
              <w:rPr>
                <w:rFonts w:eastAsia="Calibri"/>
                <w:color w:val="auto"/>
              </w:rPr>
            </w:pPr>
          </w:p>
        </w:tc>
      </w:tr>
      <w:tr w:rsidR="004F3568" w:rsidRPr="00FE7622" w14:paraId="736FEDC8" w14:textId="77777777" w:rsidTr="00AF19CC">
        <w:trPr>
          <w:cantSplit/>
        </w:trPr>
        <w:tc>
          <w:tcPr>
            <w:tcW w:w="0" w:type="auto"/>
            <w:vMerge w:val="restart"/>
            <w:shd w:val="clear" w:color="auto" w:fill="auto"/>
          </w:tcPr>
          <w:p w14:paraId="47BD9D29" w14:textId="25CB8AD9" w:rsidR="00F026E8" w:rsidRPr="00FE7622" w:rsidRDefault="00F026E8" w:rsidP="00AF19CC">
            <w:pPr>
              <w:pStyle w:val="72TabletextTablesTableFigureBoxstyles"/>
              <w:rPr>
                <w:rFonts w:eastAsia="Calibri"/>
              </w:rPr>
            </w:pPr>
            <w:r w:rsidRPr="00FE7622">
              <w:rPr>
                <w:rFonts w:eastAsia="Calibri"/>
                <w:color w:val="auto"/>
              </w:rPr>
              <w:t>Gait speed (m/s</w:t>
            </w:r>
            <w:r w:rsidR="004F3568" w:rsidRPr="00FE7622">
              <w:rPr>
                <w:rFonts w:eastAsia="Calibri"/>
                <w:color w:val="auto"/>
              </w:rPr>
              <w:t>econd</w:t>
            </w:r>
            <w:r w:rsidRPr="00FE7622">
              <w:rPr>
                <w:rFonts w:eastAsia="Calibri"/>
                <w:color w:val="auto"/>
              </w:rPr>
              <w:t>)</w:t>
            </w:r>
          </w:p>
        </w:tc>
        <w:tc>
          <w:tcPr>
            <w:tcW w:w="0" w:type="auto"/>
            <w:shd w:val="clear" w:color="auto" w:fill="auto"/>
          </w:tcPr>
          <w:p w14:paraId="5042FC1E" w14:textId="3B9D1022"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34CEFD04" w14:textId="77777777" w:rsidR="00F026E8" w:rsidRPr="00FE7622" w:rsidRDefault="00F026E8" w:rsidP="00AF19CC">
            <w:pPr>
              <w:pStyle w:val="72TabletextTablesTableFigureBoxstyles"/>
              <w:rPr>
                <w:rFonts w:eastAsia="Calibri"/>
              </w:rPr>
            </w:pPr>
            <w:r w:rsidRPr="00FE7622">
              <w:rPr>
                <w:rFonts w:eastAsia="Calibri"/>
                <w:color w:val="auto"/>
              </w:rPr>
              <w:t>0.73 (73, 0.21)</w:t>
            </w:r>
          </w:p>
        </w:tc>
        <w:tc>
          <w:tcPr>
            <w:tcW w:w="0" w:type="auto"/>
            <w:shd w:val="clear" w:color="auto" w:fill="auto"/>
          </w:tcPr>
          <w:p w14:paraId="03CD4E6F" w14:textId="77777777" w:rsidR="00F026E8" w:rsidRPr="00FE7622" w:rsidRDefault="00F026E8" w:rsidP="00AF19CC">
            <w:pPr>
              <w:pStyle w:val="72TabletextTablesTableFigureBoxstyles"/>
              <w:rPr>
                <w:rFonts w:eastAsia="Calibri"/>
                <w:color w:val="auto"/>
              </w:rPr>
            </w:pPr>
            <w:r w:rsidRPr="00FE7622">
              <w:rPr>
                <w:rFonts w:eastAsia="Calibri"/>
                <w:color w:val="auto"/>
              </w:rPr>
              <w:t>0.76 (72, 0.25)</w:t>
            </w:r>
          </w:p>
        </w:tc>
        <w:tc>
          <w:tcPr>
            <w:tcW w:w="0" w:type="auto"/>
            <w:vMerge w:val="restart"/>
            <w:shd w:val="clear" w:color="auto" w:fill="auto"/>
          </w:tcPr>
          <w:p w14:paraId="1147DCFE" w14:textId="78B387A9" w:rsidR="00F026E8" w:rsidRPr="00FE7622" w:rsidRDefault="00F026E8" w:rsidP="00AF19CC">
            <w:pPr>
              <w:pStyle w:val="72TabletextTablesTableFigureBoxstyles"/>
              <w:rPr>
                <w:rFonts w:eastAsia="Calibri"/>
              </w:rPr>
            </w:pPr>
            <w:r w:rsidRPr="00FE7622">
              <w:rPr>
                <w:rFonts w:eastAsia="Calibri"/>
                <w:color w:val="auto"/>
              </w:rPr>
              <w:t>–0.06</w:t>
            </w:r>
            <w:r w:rsidR="004F3568" w:rsidRPr="00FE7622">
              <w:rPr>
                <w:rFonts w:eastAsia="Calibri"/>
                <w:color w:val="auto"/>
              </w:rPr>
              <w:t xml:space="preserve"> </w:t>
            </w:r>
            <w:r w:rsidR="00810E66" w:rsidRPr="00FE7622">
              <w:rPr>
                <w:rFonts w:eastAsia="Calibri"/>
                <w:color w:val="auto"/>
              </w:rPr>
              <w:t>(–0.19 to 0.07)</w:t>
            </w:r>
          </w:p>
        </w:tc>
        <w:tc>
          <w:tcPr>
            <w:tcW w:w="0" w:type="auto"/>
            <w:vMerge w:val="restart"/>
            <w:shd w:val="clear" w:color="auto" w:fill="auto"/>
          </w:tcPr>
          <w:p w14:paraId="0CF5AB8E" w14:textId="77777777" w:rsidR="00F026E8" w:rsidRPr="00FE7622" w:rsidRDefault="00F026E8" w:rsidP="00AF19CC">
            <w:pPr>
              <w:pStyle w:val="72TabletextTablesTableFigureBoxstyles"/>
              <w:rPr>
                <w:rFonts w:eastAsia="Calibri"/>
              </w:rPr>
            </w:pPr>
            <w:r w:rsidRPr="00FE7622">
              <w:rPr>
                <w:rFonts w:eastAsia="Calibri"/>
                <w:color w:val="auto"/>
              </w:rPr>
              <w:t>0.35</w:t>
            </w:r>
          </w:p>
        </w:tc>
        <w:tc>
          <w:tcPr>
            <w:tcW w:w="0" w:type="auto"/>
            <w:vMerge w:val="restart"/>
            <w:shd w:val="clear" w:color="auto" w:fill="auto"/>
          </w:tcPr>
          <w:p w14:paraId="265520C0" w14:textId="6DA2F60F" w:rsidR="00F026E8" w:rsidRPr="00FE7622" w:rsidRDefault="00F026E8" w:rsidP="00AF19CC">
            <w:pPr>
              <w:pStyle w:val="72TabletextTablesTableFigureBoxstyles"/>
              <w:rPr>
                <w:rFonts w:eastAsia="Calibri"/>
              </w:rPr>
            </w:pPr>
            <w:r w:rsidRPr="00FE7622">
              <w:rPr>
                <w:rFonts w:eastAsia="Calibri"/>
                <w:color w:val="auto"/>
              </w:rPr>
              <w:t>0.01</w:t>
            </w:r>
            <w:r w:rsidR="006A6DF9" w:rsidRPr="00FE7622">
              <w:rPr>
                <w:rFonts w:eastAsia="Calibri"/>
                <w:color w:val="auto"/>
              </w:rPr>
              <w:t xml:space="preserve"> </w:t>
            </w:r>
            <w:r w:rsidR="002903EE" w:rsidRPr="00FE7622">
              <w:rPr>
                <w:rFonts w:eastAsia="Calibri"/>
                <w:color w:val="auto"/>
              </w:rPr>
              <w:t>(–0.18 to 0.19)</w:t>
            </w:r>
          </w:p>
        </w:tc>
        <w:tc>
          <w:tcPr>
            <w:tcW w:w="0" w:type="auto"/>
            <w:vMerge w:val="restart"/>
            <w:shd w:val="clear" w:color="auto" w:fill="auto"/>
          </w:tcPr>
          <w:p w14:paraId="2AD61EFF" w14:textId="77777777" w:rsidR="00F026E8" w:rsidRPr="00FE7622" w:rsidRDefault="00F026E8" w:rsidP="00AF19CC">
            <w:pPr>
              <w:pStyle w:val="72TabletextTablesTableFigureBoxstyles"/>
              <w:rPr>
                <w:rFonts w:eastAsia="Calibri"/>
                <w:color w:val="auto"/>
              </w:rPr>
            </w:pPr>
            <w:r w:rsidRPr="00FE7622">
              <w:rPr>
                <w:rFonts w:eastAsia="Calibri"/>
                <w:color w:val="auto"/>
              </w:rPr>
              <w:t>0.96</w:t>
            </w:r>
          </w:p>
        </w:tc>
      </w:tr>
      <w:tr w:rsidR="004F3568" w:rsidRPr="00FE7622" w14:paraId="10D42E21" w14:textId="77777777" w:rsidTr="00AF19CC">
        <w:trPr>
          <w:cantSplit/>
        </w:trPr>
        <w:tc>
          <w:tcPr>
            <w:tcW w:w="0" w:type="auto"/>
            <w:vMerge/>
            <w:shd w:val="clear" w:color="auto" w:fill="auto"/>
          </w:tcPr>
          <w:p w14:paraId="280206FF" w14:textId="77777777" w:rsidR="00F026E8" w:rsidRPr="00FE7622" w:rsidRDefault="00F026E8" w:rsidP="00AF19CC">
            <w:pPr>
              <w:pStyle w:val="72TabletextTablesTableFigureBoxstyles"/>
              <w:rPr>
                <w:rFonts w:eastAsia="Calibri"/>
              </w:rPr>
            </w:pPr>
          </w:p>
        </w:tc>
        <w:tc>
          <w:tcPr>
            <w:tcW w:w="0" w:type="auto"/>
            <w:shd w:val="clear" w:color="auto" w:fill="auto"/>
          </w:tcPr>
          <w:p w14:paraId="70D3297E" w14:textId="1380AF16" w:rsidR="00F026E8" w:rsidRPr="00FE7622" w:rsidRDefault="00F026E8" w:rsidP="00AF19CC">
            <w:pPr>
              <w:pStyle w:val="72TabletextTablesTableFigureBoxstyles"/>
              <w:rPr>
                <w:rFonts w:eastAsia="Calibri"/>
              </w:rPr>
            </w:pPr>
            <w:r w:rsidRPr="00FE7622">
              <w:rPr>
                <w:rFonts w:eastAsia="Calibri"/>
                <w:color w:val="auto"/>
              </w:rPr>
              <w:t xml:space="preserve">6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6FEBC433" w14:textId="77777777" w:rsidR="00F026E8" w:rsidRPr="00FE7622" w:rsidRDefault="00F026E8" w:rsidP="00AF19CC">
            <w:pPr>
              <w:pStyle w:val="72TabletextTablesTableFigureBoxstyles"/>
              <w:rPr>
                <w:rFonts w:eastAsia="Calibri"/>
              </w:rPr>
            </w:pPr>
            <w:r w:rsidRPr="00FE7622">
              <w:rPr>
                <w:rFonts w:eastAsia="Calibri"/>
                <w:color w:val="auto"/>
              </w:rPr>
              <w:t>0.85 (55, 0.28)</w:t>
            </w:r>
          </w:p>
        </w:tc>
        <w:tc>
          <w:tcPr>
            <w:tcW w:w="0" w:type="auto"/>
            <w:shd w:val="clear" w:color="auto" w:fill="auto"/>
          </w:tcPr>
          <w:p w14:paraId="42D2DB6D" w14:textId="77777777" w:rsidR="00F026E8" w:rsidRPr="00FE7622" w:rsidRDefault="00F026E8" w:rsidP="00AF19CC">
            <w:pPr>
              <w:pStyle w:val="72TabletextTablesTableFigureBoxstyles"/>
              <w:rPr>
                <w:rFonts w:eastAsia="Calibri"/>
              </w:rPr>
            </w:pPr>
            <w:r w:rsidRPr="00FE7622">
              <w:rPr>
                <w:rFonts w:eastAsia="Calibri"/>
                <w:color w:val="auto"/>
              </w:rPr>
              <w:t>0.86 (61, 0.43)</w:t>
            </w:r>
          </w:p>
        </w:tc>
        <w:tc>
          <w:tcPr>
            <w:tcW w:w="0" w:type="auto"/>
            <w:vMerge/>
            <w:shd w:val="clear" w:color="auto" w:fill="auto"/>
          </w:tcPr>
          <w:p w14:paraId="2E38CB07"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3D18AA2"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8C04072"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727515DA" w14:textId="77777777" w:rsidR="00F026E8" w:rsidRPr="00FE7622" w:rsidRDefault="00F026E8" w:rsidP="00AF19CC">
            <w:pPr>
              <w:pStyle w:val="72TabletextTablesTableFigureBoxstyles"/>
              <w:rPr>
                <w:rFonts w:eastAsia="Calibri"/>
                <w:color w:val="auto"/>
              </w:rPr>
            </w:pPr>
          </w:p>
        </w:tc>
      </w:tr>
      <w:tr w:rsidR="004F3568" w:rsidRPr="00FE7622" w14:paraId="1C113BFF" w14:textId="77777777" w:rsidTr="00AF19CC">
        <w:trPr>
          <w:cantSplit/>
        </w:trPr>
        <w:tc>
          <w:tcPr>
            <w:tcW w:w="0" w:type="auto"/>
            <w:vMerge/>
            <w:shd w:val="clear" w:color="auto" w:fill="auto"/>
          </w:tcPr>
          <w:p w14:paraId="36FA6B0D" w14:textId="77777777" w:rsidR="00F026E8" w:rsidRPr="00FE7622" w:rsidRDefault="00F026E8" w:rsidP="00AF19CC">
            <w:pPr>
              <w:pStyle w:val="72TabletextTablesTableFigureBoxstyles"/>
              <w:rPr>
                <w:rFonts w:eastAsia="Calibri"/>
              </w:rPr>
            </w:pPr>
          </w:p>
        </w:tc>
        <w:tc>
          <w:tcPr>
            <w:tcW w:w="0" w:type="auto"/>
            <w:shd w:val="clear" w:color="auto" w:fill="auto"/>
          </w:tcPr>
          <w:p w14:paraId="3FE99B01" w14:textId="4AC9A473"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7FEC4190" w14:textId="77777777" w:rsidR="00F026E8" w:rsidRPr="00FE7622" w:rsidRDefault="00F026E8" w:rsidP="00AF19CC">
            <w:pPr>
              <w:pStyle w:val="72TabletextTablesTableFigureBoxstyles"/>
              <w:rPr>
                <w:rFonts w:eastAsia="Calibri"/>
              </w:rPr>
            </w:pPr>
            <w:r w:rsidRPr="00FE7622">
              <w:rPr>
                <w:rFonts w:eastAsia="Calibri"/>
                <w:color w:val="auto"/>
              </w:rPr>
              <w:t>0.84 (49, 0.25)</w:t>
            </w:r>
          </w:p>
        </w:tc>
        <w:tc>
          <w:tcPr>
            <w:tcW w:w="0" w:type="auto"/>
            <w:shd w:val="clear" w:color="auto" w:fill="auto"/>
          </w:tcPr>
          <w:p w14:paraId="259C271A" w14:textId="77777777" w:rsidR="00F026E8" w:rsidRPr="00FE7622" w:rsidRDefault="00F026E8" w:rsidP="00AF19CC">
            <w:pPr>
              <w:pStyle w:val="72TabletextTablesTableFigureBoxstyles"/>
              <w:rPr>
                <w:rFonts w:eastAsia="Calibri"/>
              </w:rPr>
            </w:pPr>
            <w:r w:rsidRPr="00FE7622">
              <w:rPr>
                <w:rFonts w:eastAsia="Calibri"/>
                <w:color w:val="auto"/>
              </w:rPr>
              <w:t>1.00 (56, 1.11)</w:t>
            </w:r>
          </w:p>
        </w:tc>
        <w:tc>
          <w:tcPr>
            <w:tcW w:w="0" w:type="auto"/>
            <w:vMerge/>
            <w:shd w:val="clear" w:color="auto" w:fill="auto"/>
          </w:tcPr>
          <w:p w14:paraId="7294D899"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34662B6"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E45C725"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65F5A6EA" w14:textId="77777777" w:rsidR="00F026E8" w:rsidRPr="00FE7622" w:rsidRDefault="00F026E8" w:rsidP="00AF19CC">
            <w:pPr>
              <w:pStyle w:val="72TabletextTablesTableFigureBoxstyles"/>
              <w:rPr>
                <w:rFonts w:eastAsia="Calibri"/>
                <w:color w:val="auto"/>
              </w:rPr>
            </w:pPr>
          </w:p>
        </w:tc>
      </w:tr>
      <w:tr w:rsidR="004F3568" w:rsidRPr="00FE7622" w14:paraId="6924D6ED" w14:textId="77777777" w:rsidTr="00AF19CC">
        <w:trPr>
          <w:cantSplit/>
        </w:trPr>
        <w:tc>
          <w:tcPr>
            <w:tcW w:w="0" w:type="auto"/>
            <w:vMerge w:val="restart"/>
            <w:shd w:val="clear" w:color="auto" w:fill="auto"/>
          </w:tcPr>
          <w:p w14:paraId="5C376912" w14:textId="1E6C9EC4" w:rsidR="00F026E8" w:rsidRPr="00FE7622" w:rsidRDefault="00F026E8" w:rsidP="00AF19CC">
            <w:pPr>
              <w:pStyle w:val="72TabletextTablesTableFigureBoxstyles"/>
              <w:rPr>
                <w:rFonts w:eastAsia="Calibri"/>
              </w:rPr>
            </w:pPr>
            <w:r w:rsidRPr="00FE7622">
              <w:rPr>
                <w:rFonts w:eastAsia="Calibri"/>
                <w:color w:val="auto"/>
              </w:rPr>
              <w:t>Chair stand time (s</w:t>
            </w:r>
            <w:r w:rsidR="004B1FFD" w:rsidRPr="00FE7622">
              <w:rPr>
                <w:rFonts w:eastAsia="Calibri"/>
                <w:color w:val="auto"/>
              </w:rPr>
              <w:t>econds</w:t>
            </w:r>
            <w:r w:rsidRPr="00FE7622">
              <w:rPr>
                <w:rFonts w:eastAsia="Calibri"/>
                <w:color w:val="auto"/>
              </w:rPr>
              <w:t>)</w:t>
            </w:r>
          </w:p>
        </w:tc>
        <w:tc>
          <w:tcPr>
            <w:tcW w:w="0" w:type="auto"/>
            <w:shd w:val="clear" w:color="auto" w:fill="auto"/>
          </w:tcPr>
          <w:p w14:paraId="54C6C3A9" w14:textId="34B6B83A"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684D085A" w14:textId="77777777" w:rsidR="00F026E8" w:rsidRPr="00FE7622" w:rsidRDefault="00F026E8" w:rsidP="00AF19CC">
            <w:pPr>
              <w:pStyle w:val="72TabletextTablesTableFigureBoxstyles"/>
              <w:rPr>
                <w:rFonts w:eastAsia="Calibri"/>
              </w:rPr>
            </w:pPr>
            <w:r w:rsidRPr="00FE7622">
              <w:rPr>
                <w:rFonts w:eastAsia="Calibri"/>
                <w:color w:val="auto"/>
              </w:rPr>
              <w:t>24.1 (58, 9.3)</w:t>
            </w:r>
          </w:p>
        </w:tc>
        <w:tc>
          <w:tcPr>
            <w:tcW w:w="0" w:type="auto"/>
            <w:shd w:val="clear" w:color="auto" w:fill="auto"/>
          </w:tcPr>
          <w:p w14:paraId="6E465C5A" w14:textId="77777777" w:rsidR="00F026E8" w:rsidRPr="00FE7622" w:rsidRDefault="00F026E8" w:rsidP="00AF19CC">
            <w:pPr>
              <w:pStyle w:val="72TabletextTablesTableFigureBoxstyles"/>
              <w:rPr>
                <w:rFonts w:eastAsia="Calibri"/>
                <w:color w:val="auto"/>
              </w:rPr>
            </w:pPr>
            <w:r w:rsidRPr="00FE7622">
              <w:rPr>
                <w:rFonts w:eastAsia="Calibri"/>
                <w:color w:val="auto"/>
              </w:rPr>
              <w:t>24.2 (53, 11.8)</w:t>
            </w:r>
          </w:p>
        </w:tc>
        <w:tc>
          <w:tcPr>
            <w:tcW w:w="0" w:type="auto"/>
            <w:vMerge w:val="restart"/>
            <w:shd w:val="clear" w:color="auto" w:fill="auto"/>
          </w:tcPr>
          <w:p w14:paraId="0DD66BED" w14:textId="22B9BF14" w:rsidR="00F026E8" w:rsidRPr="00FE7622" w:rsidRDefault="00F026E8" w:rsidP="00AF19CC">
            <w:pPr>
              <w:pStyle w:val="72TabletextTablesTableFigureBoxstyles"/>
              <w:rPr>
                <w:rFonts w:eastAsia="Calibri"/>
              </w:rPr>
            </w:pPr>
            <w:r w:rsidRPr="00FE7622">
              <w:rPr>
                <w:rFonts w:eastAsia="Calibri"/>
                <w:color w:val="auto"/>
              </w:rPr>
              <w:t>–1.1</w:t>
            </w:r>
            <w:r w:rsidR="004F3568" w:rsidRPr="00FE7622">
              <w:rPr>
                <w:rFonts w:eastAsia="Calibri"/>
                <w:color w:val="auto"/>
              </w:rPr>
              <w:t xml:space="preserve"> </w:t>
            </w:r>
            <w:r w:rsidR="00810E66" w:rsidRPr="00FE7622">
              <w:rPr>
                <w:rFonts w:eastAsia="Calibri"/>
                <w:color w:val="auto"/>
              </w:rPr>
              <w:t>(–4.6 to 2.5)</w:t>
            </w:r>
          </w:p>
        </w:tc>
        <w:tc>
          <w:tcPr>
            <w:tcW w:w="0" w:type="auto"/>
            <w:vMerge w:val="restart"/>
            <w:shd w:val="clear" w:color="auto" w:fill="auto"/>
          </w:tcPr>
          <w:p w14:paraId="75F72CF9" w14:textId="77777777" w:rsidR="00F026E8" w:rsidRPr="00FE7622" w:rsidRDefault="00F026E8" w:rsidP="00AF19CC">
            <w:pPr>
              <w:pStyle w:val="72TabletextTablesTableFigureBoxstyles"/>
              <w:rPr>
                <w:rFonts w:eastAsia="Calibri"/>
                <w:color w:val="auto"/>
              </w:rPr>
            </w:pPr>
            <w:r w:rsidRPr="00FE7622">
              <w:rPr>
                <w:rFonts w:eastAsia="Calibri"/>
                <w:color w:val="auto"/>
              </w:rPr>
              <w:t>0.55</w:t>
            </w:r>
          </w:p>
        </w:tc>
        <w:tc>
          <w:tcPr>
            <w:tcW w:w="0" w:type="auto"/>
            <w:vMerge w:val="restart"/>
            <w:shd w:val="clear" w:color="auto" w:fill="auto"/>
          </w:tcPr>
          <w:p w14:paraId="636A7AAC" w14:textId="7D810832" w:rsidR="00F026E8" w:rsidRPr="00FE7622" w:rsidRDefault="00F026E8" w:rsidP="00AF19CC">
            <w:pPr>
              <w:pStyle w:val="72TabletextTablesTableFigureBoxstyles"/>
              <w:rPr>
                <w:rFonts w:eastAsia="Calibri"/>
              </w:rPr>
            </w:pPr>
            <w:r w:rsidRPr="00FE7622">
              <w:rPr>
                <w:rFonts w:eastAsia="Calibri"/>
                <w:color w:val="auto"/>
              </w:rPr>
              <w:t>–1.7</w:t>
            </w:r>
            <w:r w:rsidR="006A6DF9" w:rsidRPr="00FE7622">
              <w:rPr>
                <w:rFonts w:eastAsia="Calibri"/>
                <w:color w:val="auto"/>
              </w:rPr>
              <w:t xml:space="preserve"> </w:t>
            </w:r>
            <w:r w:rsidR="002903EE" w:rsidRPr="00FE7622">
              <w:rPr>
                <w:rFonts w:eastAsia="Calibri"/>
                <w:color w:val="auto"/>
              </w:rPr>
              <w:t>(–8.7 to 5.3)</w:t>
            </w:r>
          </w:p>
        </w:tc>
        <w:tc>
          <w:tcPr>
            <w:tcW w:w="0" w:type="auto"/>
            <w:vMerge w:val="restart"/>
            <w:shd w:val="clear" w:color="auto" w:fill="auto"/>
          </w:tcPr>
          <w:p w14:paraId="06F110F9" w14:textId="77777777" w:rsidR="00F026E8" w:rsidRPr="00FE7622" w:rsidRDefault="00F026E8" w:rsidP="00AF19CC">
            <w:pPr>
              <w:pStyle w:val="72TabletextTablesTableFigureBoxstyles"/>
              <w:rPr>
                <w:rFonts w:eastAsia="Calibri"/>
                <w:color w:val="auto"/>
              </w:rPr>
            </w:pPr>
            <w:r w:rsidRPr="00FE7622">
              <w:rPr>
                <w:rFonts w:eastAsia="Calibri"/>
                <w:color w:val="auto"/>
              </w:rPr>
              <w:t>0.64</w:t>
            </w:r>
          </w:p>
        </w:tc>
      </w:tr>
      <w:tr w:rsidR="004F3568" w:rsidRPr="00FE7622" w14:paraId="42CCAB64" w14:textId="77777777" w:rsidTr="00AF19CC">
        <w:trPr>
          <w:cantSplit/>
        </w:trPr>
        <w:tc>
          <w:tcPr>
            <w:tcW w:w="0" w:type="auto"/>
            <w:vMerge/>
            <w:shd w:val="clear" w:color="auto" w:fill="auto"/>
          </w:tcPr>
          <w:p w14:paraId="45564453" w14:textId="77777777" w:rsidR="00F026E8" w:rsidRPr="00FE7622" w:rsidRDefault="00F026E8" w:rsidP="00AF19CC">
            <w:pPr>
              <w:pStyle w:val="72TabletextTablesTableFigureBoxstyles"/>
              <w:rPr>
                <w:rFonts w:eastAsia="Calibri"/>
              </w:rPr>
            </w:pPr>
          </w:p>
        </w:tc>
        <w:tc>
          <w:tcPr>
            <w:tcW w:w="0" w:type="auto"/>
            <w:shd w:val="clear" w:color="auto" w:fill="auto"/>
          </w:tcPr>
          <w:p w14:paraId="1987F228" w14:textId="60C66ADA" w:rsidR="00F026E8" w:rsidRPr="00FE7622" w:rsidRDefault="00F026E8" w:rsidP="00AF19CC">
            <w:pPr>
              <w:pStyle w:val="72TabletextTablesTableFigureBoxstyles"/>
              <w:rPr>
                <w:rFonts w:eastAsia="Calibri"/>
              </w:rPr>
            </w:pPr>
            <w:r w:rsidRPr="00FE7622">
              <w:rPr>
                <w:rFonts w:eastAsia="Calibri"/>
                <w:color w:val="auto"/>
              </w:rPr>
              <w:t xml:space="preserve">6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0F619F62" w14:textId="77777777" w:rsidR="00F026E8" w:rsidRPr="00FE7622" w:rsidRDefault="00F026E8" w:rsidP="00AF19CC">
            <w:pPr>
              <w:pStyle w:val="72TabletextTablesTableFigureBoxstyles"/>
              <w:rPr>
                <w:rFonts w:eastAsia="Calibri"/>
              </w:rPr>
            </w:pPr>
            <w:r w:rsidRPr="00FE7622">
              <w:rPr>
                <w:rFonts w:eastAsia="Calibri"/>
                <w:color w:val="auto"/>
              </w:rPr>
              <w:t>22.1 (44, 9.0)</w:t>
            </w:r>
          </w:p>
        </w:tc>
        <w:tc>
          <w:tcPr>
            <w:tcW w:w="0" w:type="auto"/>
            <w:shd w:val="clear" w:color="auto" w:fill="auto"/>
          </w:tcPr>
          <w:p w14:paraId="2F2C2495" w14:textId="77777777" w:rsidR="00F026E8" w:rsidRPr="00FE7622" w:rsidRDefault="00F026E8" w:rsidP="00AF19CC">
            <w:pPr>
              <w:pStyle w:val="72TabletextTablesTableFigureBoxstyles"/>
              <w:rPr>
                <w:rFonts w:eastAsia="Calibri"/>
              </w:rPr>
            </w:pPr>
            <w:r w:rsidRPr="00FE7622">
              <w:rPr>
                <w:rFonts w:eastAsia="Calibri"/>
                <w:color w:val="auto"/>
              </w:rPr>
              <w:t>22.5 (51, 10.3)</w:t>
            </w:r>
          </w:p>
        </w:tc>
        <w:tc>
          <w:tcPr>
            <w:tcW w:w="0" w:type="auto"/>
            <w:vMerge/>
            <w:shd w:val="clear" w:color="auto" w:fill="auto"/>
          </w:tcPr>
          <w:p w14:paraId="4B842186"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706F0C4"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04F55EF"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EA09DA6" w14:textId="77777777" w:rsidR="00F026E8" w:rsidRPr="00FE7622" w:rsidRDefault="00F026E8" w:rsidP="00AF19CC">
            <w:pPr>
              <w:pStyle w:val="72TabletextTablesTableFigureBoxstyles"/>
              <w:rPr>
                <w:rFonts w:eastAsia="Calibri"/>
                <w:color w:val="auto"/>
              </w:rPr>
            </w:pPr>
          </w:p>
        </w:tc>
      </w:tr>
      <w:tr w:rsidR="004F3568" w:rsidRPr="00FE7622" w14:paraId="74226309" w14:textId="77777777" w:rsidTr="00AF19CC">
        <w:trPr>
          <w:cantSplit/>
        </w:trPr>
        <w:tc>
          <w:tcPr>
            <w:tcW w:w="0" w:type="auto"/>
            <w:vMerge/>
            <w:shd w:val="clear" w:color="auto" w:fill="auto"/>
          </w:tcPr>
          <w:p w14:paraId="40D7FD1C" w14:textId="77777777" w:rsidR="00F026E8" w:rsidRPr="00FE7622" w:rsidRDefault="00F026E8" w:rsidP="00AF19CC">
            <w:pPr>
              <w:pStyle w:val="72TabletextTablesTableFigureBoxstyles"/>
              <w:rPr>
                <w:rFonts w:eastAsia="Calibri"/>
              </w:rPr>
            </w:pPr>
          </w:p>
        </w:tc>
        <w:tc>
          <w:tcPr>
            <w:tcW w:w="0" w:type="auto"/>
            <w:shd w:val="clear" w:color="auto" w:fill="auto"/>
          </w:tcPr>
          <w:p w14:paraId="3915F696" w14:textId="36FE089C"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1AA1A30C" w14:textId="77777777" w:rsidR="00F026E8" w:rsidRPr="00FE7622" w:rsidRDefault="00F026E8" w:rsidP="00AF19CC">
            <w:pPr>
              <w:pStyle w:val="72TabletextTablesTableFigureBoxstyles"/>
              <w:rPr>
                <w:rFonts w:eastAsia="Calibri"/>
              </w:rPr>
            </w:pPr>
            <w:r w:rsidRPr="00FE7622">
              <w:rPr>
                <w:rFonts w:eastAsia="Calibri"/>
                <w:color w:val="auto"/>
              </w:rPr>
              <w:t>21.3 (38, 12.9)</w:t>
            </w:r>
          </w:p>
        </w:tc>
        <w:tc>
          <w:tcPr>
            <w:tcW w:w="0" w:type="auto"/>
            <w:shd w:val="clear" w:color="auto" w:fill="auto"/>
          </w:tcPr>
          <w:p w14:paraId="45F8D2EF" w14:textId="77777777" w:rsidR="00F026E8" w:rsidRPr="00FE7622" w:rsidRDefault="00F026E8" w:rsidP="00AF19CC">
            <w:pPr>
              <w:pStyle w:val="72TabletextTablesTableFigureBoxstyles"/>
              <w:rPr>
                <w:rFonts w:eastAsia="Calibri"/>
              </w:rPr>
            </w:pPr>
            <w:r w:rsidRPr="00FE7622">
              <w:rPr>
                <w:rFonts w:eastAsia="Calibri"/>
                <w:color w:val="auto"/>
              </w:rPr>
              <w:t>22.4 (47, 10.9)</w:t>
            </w:r>
          </w:p>
        </w:tc>
        <w:tc>
          <w:tcPr>
            <w:tcW w:w="0" w:type="auto"/>
            <w:vMerge/>
            <w:shd w:val="clear" w:color="auto" w:fill="auto"/>
          </w:tcPr>
          <w:p w14:paraId="75C0F0EA"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5E735E6"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20B79D2"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5D4D28C8" w14:textId="77777777" w:rsidR="00F026E8" w:rsidRPr="00FE7622" w:rsidRDefault="00F026E8" w:rsidP="00AF19CC">
            <w:pPr>
              <w:pStyle w:val="72TabletextTablesTableFigureBoxstyles"/>
              <w:rPr>
                <w:rFonts w:eastAsia="Calibri"/>
                <w:color w:val="auto"/>
              </w:rPr>
            </w:pPr>
          </w:p>
        </w:tc>
      </w:tr>
      <w:tr w:rsidR="004F3568" w:rsidRPr="00FE7622" w14:paraId="21AE34E1" w14:textId="77777777" w:rsidTr="00AF19CC">
        <w:trPr>
          <w:cantSplit/>
        </w:trPr>
        <w:tc>
          <w:tcPr>
            <w:tcW w:w="0" w:type="auto"/>
            <w:vMerge w:val="restart"/>
            <w:shd w:val="clear" w:color="auto" w:fill="auto"/>
          </w:tcPr>
          <w:p w14:paraId="663E3D10" w14:textId="77777777" w:rsidR="00F026E8" w:rsidRPr="00FE7622" w:rsidRDefault="00F026E8" w:rsidP="00AF19CC">
            <w:pPr>
              <w:pStyle w:val="72TabletextTablesTableFigureBoxstyles"/>
              <w:rPr>
                <w:rFonts w:eastAsia="Calibri"/>
              </w:rPr>
            </w:pPr>
            <w:r w:rsidRPr="00FE7622">
              <w:rPr>
                <w:rFonts w:eastAsia="Calibri"/>
                <w:color w:val="auto"/>
              </w:rPr>
              <w:t>NEADL</w:t>
            </w:r>
          </w:p>
        </w:tc>
        <w:tc>
          <w:tcPr>
            <w:tcW w:w="0" w:type="auto"/>
            <w:shd w:val="clear" w:color="auto" w:fill="auto"/>
          </w:tcPr>
          <w:p w14:paraId="7CB9851F" w14:textId="4A9D133A"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7434EF31" w14:textId="77777777" w:rsidR="00F026E8" w:rsidRPr="00FE7622" w:rsidRDefault="00F026E8" w:rsidP="00AF19CC">
            <w:pPr>
              <w:pStyle w:val="72TabletextTablesTableFigureBoxstyles"/>
              <w:rPr>
                <w:rFonts w:eastAsia="Calibri"/>
              </w:rPr>
            </w:pPr>
            <w:r w:rsidRPr="00FE7622">
              <w:rPr>
                <w:rFonts w:eastAsia="Calibri"/>
                <w:color w:val="auto"/>
              </w:rPr>
              <w:t>55.3 (73, 9.0)</w:t>
            </w:r>
          </w:p>
        </w:tc>
        <w:tc>
          <w:tcPr>
            <w:tcW w:w="0" w:type="auto"/>
            <w:shd w:val="clear" w:color="auto" w:fill="auto"/>
          </w:tcPr>
          <w:p w14:paraId="2DC93199" w14:textId="77777777" w:rsidR="00F026E8" w:rsidRPr="00FE7622" w:rsidRDefault="00F026E8" w:rsidP="00AF19CC">
            <w:pPr>
              <w:pStyle w:val="72TabletextTablesTableFigureBoxstyles"/>
              <w:rPr>
                <w:rFonts w:eastAsia="Calibri"/>
              </w:rPr>
            </w:pPr>
            <w:r w:rsidRPr="00FE7622">
              <w:rPr>
                <w:rFonts w:eastAsia="Calibri"/>
                <w:color w:val="auto"/>
              </w:rPr>
              <w:t>54.3 (72, 11.1)</w:t>
            </w:r>
          </w:p>
        </w:tc>
        <w:tc>
          <w:tcPr>
            <w:tcW w:w="0" w:type="auto"/>
            <w:vMerge w:val="restart"/>
            <w:shd w:val="clear" w:color="auto" w:fill="auto"/>
          </w:tcPr>
          <w:p w14:paraId="507D53E8" w14:textId="219EEC70" w:rsidR="00F026E8" w:rsidRPr="00FE7622" w:rsidRDefault="00F026E8" w:rsidP="00AF19CC">
            <w:pPr>
              <w:pStyle w:val="72TabletextTablesTableFigureBoxstyles"/>
              <w:rPr>
                <w:rFonts w:eastAsia="Calibri"/>
              </w:rPr>
            </w:pPr>
            <w:r w:rsidRPr="00FE7622">
              <w:rPr>
                <w:rFonts w:eastAsia="Calibri"/>
                <w:color w:val="auto"/>
              </w:rPr>
              <w:t>0.8</w:t>
            </w:r>
            <w:r w:rsidR="004F3568" w:rsidRPr="00FE7622">
              <w:rPr>
                <w:rFonts w:eastAsia="Calibri"/>
                <w:color w:val="auto"/>
              </w:rPr>
              <w:t xml:space="preserve"> </w:t>
            </w:r>
            <w:r w:rsidR="00810E66" w:rsidRPr="00FE7622">
              <w:rPr>
                <w:rFonts w:eastAsia="Calibri"/>
                <w:color w:val="auto"/>
              </w:rPr>
              <w:t>(–2.3 to 3.9)</w:t>
            </w:r>
          </w:p>
        </w:tc>
        <w:tc>
          <w:tcPr>
            <w:tcW w:w="0" w:type="auto"/>
            <w:vMerge w:val="restart"/>
            <w:shd w:val="clear" w:color="auto" w:fill="auto"/>
          </w:tcPr>
          <w:p w14:paraId="7308D65A" w14:textId="77777777" w:rsidR="00F026E8" w:rsidRPr="00FE7622" w:rsidRDefault="00F026E8" w:rsidP="00AF19CC">
            <w:pPr>
              <w:pStyle w:val="72TabletextTablesTableFigureBoxstyles"/>
              <w:rPr>
                <w:rFonts w:eastAsia="Calibri"/>
                <w:color w:val="auto"/>
              </w:rPr>
            </w:pPr>
            <w:r w:rsidRPr="00FE7622">
              <w:rPr>
                <w:rFonts w:eastAsia="Calibri"/>
                <w:color w:val="auto"/>
              </w:rPr>
              <w:t>0.61</w:t>
            </w:r>
          </w:p>
        </w:tc>
        <w:tc>
          <w:tcPr>
            <w:tcW w:w="0" w:type="auto"/>
            <w:vMerge w:val="restart"/>
            <w:shd w:val="clear" w:color="auto" w:fill="auto"/>
          </w:tcPr>
          <w:p w14:paraId="61A35811" w14:textId="09758B56" w:rsidR="00F026E8" w:rsidRPr="00FE7622" w:rsidRDefault="00F026E8" w:rsidP="00AF19CC">
            <w:pPr>
              <w:pStyle w:val="72TabletextTablesTableFigureBoxstyles"/>
              <w:rPr>
                <w:rFonts w:eastAsia="Calibri"/>
              </w:rPr>
            </w:pPr>
            <w:r w:rsidRPr="00FE7622">
              <w:rPr>
                <w:rFonts w:eastAsia="Calibri"/>
                <w:color w:val="auto"/>
              </w:rPr>
              <w:t>–1.6</w:t>
            </w:r>
            <w:r w:rsidR="006A6DF9" w:rsidRPr="00FE7622">
              <w:rPr>
                <w:rFonts w:eastAsia="Calibri"/>
                <w:color w:val="auto"/>
              </w:rPr>
              <w:t xml:space="preserve"> </w:t>
            </w:r>
            <w:r w:rsidR="002903EE" w:rsidRPr="00FE7622">
              <w:rPr>
                <w:rFonts w:eastAsia="Calibri"/>
                <w:color w:val="auto"/>
              </w:rPr>
              <w:t>(–7.4 to 4.2)</w:t>
            </w:r>
          </w:p>
        </w:tc>
        <w:tc>
          <w:tcPr>
            <w:tcW w:w="0" w:type="auto"/>
            <w:vMerge w:val="restart"/>
            <w:shd w:val="clear" w:color="auto" w:fill="auto"/>
          </w:tcPr>
          <w:p w14:paraId="52765BD7" w14:textId="77777777" w:rsidR="00F026E8" w:rsidRPr="00FE7622" w:rsidRDefault="00F026E8" w:rsidP="00AF19CC">
            <w:pPr>
              <w:pStyle w:val="72TabletextTablesTableFigureBoxstyles"/>
              <w:rPr>
                <w:rFonts w:eastAsia="Calibri"/>
                <w:color w:val="auto"/>
              </w:rPr>
            </w:pPr>
            <w:r w:rsidRPr="00FE7622">
              <w:rPr>
                <w:rFonts w:eastAsia="Calibri"/>
                <w:color w:val="auto"/>
              </w:rPr>
              <w:t>0.58</w:t>
            </w:r>
          </w:p>
        </w:tc>
      </w:tr>
      <w:tr w:rsidR="004F3568" w:rsidRPr="00FE7622" w14:paraId="4E9D68AB" w14:textId="77777777" w:rsidTr="00AF19CC">
        <w:trPr>
          <w:cantSplit/>
        </w:trPr>
        <w:tc>
          <w:tcPr>
            <w:tcW w:w="0" w:type="auto"/>
            <w:vMerge/>
            <w:shd w:val="clear" w:color="auto" w:fill="auto"/>
          </w:tcPr>
          <w:p w14:paraId="332F5330" w14:textId="77777777" w:rsidR="00F026E8" w:rsidRPr="00FE7622" w:rsidRDefault="00F026E8" w:rsidP="00AF19CC">
            <w:pPr>
              <w:pStyle w:val="72TabletextTablesTableFigureBoxstyles"/>
              <w:rPr>
                <w:rFonts w:eastAsia="Calibri"/>
              </w:rPr>
            </w:pPr>
          </w:p>
        </w:tc>
        <w:tc>
          <w:tcPr>
            <w:tcW w:w="0" w:type="auto"/>
            <w:shd w:val="clear" w:color="auto" w:fill="auto"/>
          </w:tcPr>
          <w:p w14:paraId="39971BCC" w14:textId="06F767A6" w:rsidR="00F026E8" w:rsidRPr="00FE7622" w:rsidRDefault="00F026E8" w:rsidP="00AF19CC">
            <w:pPr>
              <w:pStyle w:val="72TabletextTablesTableFigureBoxstyles"/>
              <w:rPr>
                <w:rFonts w:eastAsia="Calibri"/>
              </w:rPr>
            </w:pPr>
            <w:r w:rsidRPr="00FE7622">
              <w:rPr>
                <w:rFonts w:eastAsia="Calibri"/>
                <w:color w:val="auto"/>
              </w:rPr>
              <w:t xml:space="preserve">6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75124642" w14:textId="77777777" w:rsidR="00F026E8" w:rsidRPr="00FE7622" w:rsidRDefault="00F026E8" w:rsidP="00AF19CC">
            <w:pPr>
              <w:pStyle w:val="72TabletextTablesTableFigureBoxstyles"/>
              <w:rPr>
                <w:rFonts w:eastAsia="Calibri"/>
              </w:rPr>
            </w:pPr>
            <w:r w:rsidRPr="00FE7622">
              <w:rPr>
                <w:rFonts w:eastAsia="Calibri"/>
                <w:color w:val="auto"/>
              </w:rPr>
              <w:t>56.6 (56, 8.0)</w:t>
            </w:r>
          </w:p>
        </w:tc>
        <w:tc>
          <w:tcPr>
            <w:tcW w:w="0" w:type="auto"/>
            <w:shd w:val="clear" w:color="auto" w:fill="auto"/>
          </w:tcPr>
          <w:p w14:paraId="591E5A6B" w14:textId="77777777" w:rsidR="00F026E8" w:rsidRPr="00FE7622" w:rsidRDefault="00F026E8" w:rsidP="00AF19CC">
            <w:pPr>
              <w:pStyle w:val="72TabletextTablesTableFigureBoxstyles"/>
              <w:rPr>
                <w:rFonts w:eastAsia="Calibri"/>
              </w:rPr>
            </w:pPr>
            <w:r w:rsidRPr="00FE7622">
              <w:rPr>
                <w:rFonts w:eastAsia="Calibri"/>
                <w:color w:val="auto"/>
              </w:rPr>
              <w:t>54.3 (65, 11.2)</w:t>
            </w:r>
          </w:p>
        </w:tc>
        <w:tc>
          <w:tcPr>
            <w:tcW w:w="0" w:type="auto"/>
            <w:vMerge/>
            <w:shd w:val="clear" w:color="auto" w:fill="auto"/>
          </w:tcPr>
          <w:p w14:paraId="7C7FB23A"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9E568D6"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0F3A6B3"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E4EC30C" w14:textId="77777777" w:rsidR="00F026E8" w:rsidRPr="00FE7622" w:rsidRDefault="00F026E8" w:rsidP="00AF19CC">
            <w:pPr>
              <w:pStyle w:val="72TabletextTablesTableFigureBoxstyles"/>
              <w:rPr>
                <w:rFonts w:eastAsia="Calibri"/>
                <w:color w:val="auto"/>
              </w:rPr>
            </w:pPr>
          </w:p>
        </w:tc>
      </w:tr>
      <w:tr w:rsidR="004F3568" w:rsidRPr="00FE7622" w14:paraId="0AB6D7D3" w14:textId="77777777" w:rsidTr="00AF19CC">
        <w:trPr>
          <w:cantSplit/>
        </w:trPr>
        <w:tc>
          <w:tcPr>
            <w:tcW w:w="0" w:type="auto"/>
            <w:vMerge/>
            <w:shd w:val="clear" w:color="auto" w:fill="auto"/>
          </w:tcPr>
          <w:p w14:paraId="07C54E24" w14:textId="77777777" w:rsidR="00F026E8" w:rsidRPr="00FE7622" w:rsidRDefault="00F026E8" w:rsidP="00AF19CC">
            <w:pPr>
              <w:pStyle w:val="72TabletextTablesTableFigureBoxstyles"/>
              <w:rPr>
                <w:rFonts w:eastAsia="Calibri"/>
              </w:rPr>
            </w:pPr>
          </w:p>
        </w:tc>
        <w:tc>
          <w:tcPr>
            <w:tcW w:w="0" w:type="auto"/>
            <w:shd w:val="clear" w:color="auto" w:fill="auto"/>
          </w:tcPr>
          <w:p w14:paraId="375366FD" w14:textId="5C4FFB08"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15A2BC53" w14:textId="77777777" w:rsidR="00F026E8" w:rsidRPr="00FE7622" w:rsidRDefault="00F026E8" w:rsidP="00AF19CC">
            <w:pPr>
              <w:pStyle w:val="72TabletextTablesTableFigureBoxstyles"/>
              <w:rPr>
                <w:rFonts w:eastAsia="Calibri"/>
              </w:rPr>
            </w:pPr>
            <w:r w:rsidRPr="00FE7622">
              <w:rPr>
                <w:rFonts w:eastAsia="Calibri"/>
                <w:color w:val="auto"/>
              </w:rPr>
              <w:t>56.2 (51, 10.6)</w:t>
            </w:r>
          </w:p>
        </w:tc>
        <w:tc>
          <w:tcPr>
            <w:tcW w:w="0" w:type="auto"/>
            <w:shd w:val="clear" w:color="auto" w:fill="auto"/>
          </w:tcPr>
          <w:p w14:paraId="1F1F6969" w14:textId="77777777" w:rsidR="00F026E8" w:rsidRPr="00FE7622" w:rsidRDefault="00F026E8" w:rsidP="00AF19CC">
            <w:pPr>
              <w:pStyle w:val="72TabletextTablesTableFigureBoxstyles"/>
              <w:rPr>
                <w:rFonts w:eastAsia="Calibri"/>
              </w:rPr>
            </w:pPr>
            <w:r w:rsidRPr="00FE7622">
              <w:rPr>
                <w:rFonts w:eastAsia="Calibri"/>
                <w:color w:val="auto"/>
              </w:rPr>
              <w:t>55.3 (55, 10.5)</w:t>
            </w:r>
          </w:p>
        </w:tc>
        <w:tc>
          <w:tcPr>
            <w:tcW w:w="0" w:type="auto"/>
            <w:vMerge/>
            <w:shd w:val="clear" w:color="auto" w:fill="auto"/>
          </w:tcPr>
          <w:p w14:paraId="131BAFE6"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837BA5C"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7CF530E9"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65626483" w14:textId="77777777" w:rsidR="00F026E8" w:rsidRPr="00FE7622" w:rsidRDefault="00F026E8" w:rsidP="00AF19CC">
            <w:pPr>
              <w:pStyle w:val="72TabletextTablesTableFigureBoxstyles"/>
              <w:rPr>
                <w:rFonts w:eastAsia="Calibri"/>
                <w:color w:val="auto"/>
              </w:rPr>
            </w:pPr>
          </w:p>
        </w:tc>
      </w:tr>
      <w:tr w:rsidR="004F3568" w:rsidRPr="00FE7622" w14:paraId="5AD56BF0" w14:textId="77777777" w:rsidTr="00AF19CC">
        <w:trPr>
          <w:cantSplit/>
        </w:trPr>
        <w:tc>
          <w:tcPr>
            <w:tcW w:w="0" w:type="auto"/>
            <w:vMerge w:val="restart"/>
            <w:shd w:val="clear" w:color="auto" w:fill="auto"/>
          </w:tcPr>
          <w:p w14:paraId="23827226" w14:textId="0C9A6DDE" w:rsidR="00F026E8" w:rsidRPr="00FE7622" w:rsidRDefault="00F026E8" w:rsidP="00AF19CC">
            <w:pPr>
              <w:pStyle w:val="72TabletextTablesTableFigureBoxstyles"/>
              <w:rPr>
                <w:rFonts w:eastAsia="Calibri"/>
              </w:rPr>
            </w:pPr>
            <w:r w:rsidRPr="00842651">
              <w:rPr>
                <w:rFonts w:eastAsia="Calibri"/>
                <w:color w:val="auto"/>
              </w:rPr>
              <w:t>EQ</w:t>
            </w:r>
            <w:r w:rsidR="004F3568" w:rsidRPr="00842651">
              <w:rPr>
                <w:rFonts w:eastAsia="Calibri"/>
                <w:color w:val="auto"/>
              </w:rPr>
              <w:t>-</w:t>
            </w:r>
            <w:r w:rsidRPr="00842651">
              <w:rPr>
                <w:rFonts w:eastAsia="Calibri"/>
                <w:color w:val="auto"/>
              </w:rPr>
              <w:t>5D</w:t>
            </w:r>
            <w:r w:rsidRPr="00FE7622">
              <w:rPr>
                <w:rFonts w:eastAsia="Calibri"/>
                <w:color w:val="auto"/>
              </w:rPr>
              <w:t xml:space="preserve"> main</w:t>
            </w:r>
          </w:p>
        </w:tc>
        <w:tc>
          <w:tcPr>
            <w:tcW w:w="0" w:type="auto"/>
            <w:shd w:val="clear" w:color="auto" w:fill="auto"/>
          </w:tcPr>
          <w:p w14:paraId="5E61F3FE" w14:textId="035E56CC"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6EDA4F75" w14:textId="77777777" w:rsidR="00F026E8" w:rsidRPr="00FE7622" w:rsidRDefault="00F026E8" w:rsidP="00AF19CC">
            <w:pPr>
              <w:pStyle w:val="72TabletextTablesTableFigureBoxstyles"/>
              <w:rPr>
                <w:rFonts w:eastAsia="Calibri"/>
              </w:rPr>
            </w:pPr>
            <w:r w:rsidRPr="00FE7622">
              <w:rPr>
                <w:rFonts w:eastAsia="Calibri"/>
                <w:color w:val="auto"/>
              </w:rPr>
              <w:t>0.77 (70, 0.11)</w:t>
            </w:r>
          </w:p>
        </w:tc>
        <w:tc>
          <w:tcPr>
            <w:tcW w:w="0" w:type="auto"/>
            <w:shd w:val="clear" w:color="auto" w:fill="auto"/>
          </w:tcPr>
          <w:p w14:paraId="482722D4" w14:textId="77777777" w:rsidR="00F026E8" w:rsidRPr="00FE7622" w:rsidRDefault="00F026E8" w:rsidP="00AF19CC">
            <w:pPr>
              <w:pStyle w:val="72TabletextTablesTableFigureBoxstyles"/>
              <w:rPr>
                <w:rFonts w:eastAsia="Calibri"/>
                <w:color w:val="auto"/>
              </w:rPr>
            </w:pPr>
            <w:r w:rsidRPr="00FE7622">
              <w:rPr>
                <w:rFonts w:eastAsia="Calibri"/>
                <w:color w:val="auto"/>
              </w:rPr>
              <w:t>0.77 (70, 0.10)</w:t>
            </w:r>
          </w:p>
        </w:tc>
        <w:tc>
          <w:tcPr>
            <w:tcW w:w="0" w:type="auto"/>
            <w:vMerge w:val="restart"/>
            <w:shd w:val="clear" w:color="auto" w:fill="auto"/>
          </w:tcPr>
          <w:p w14:paraId="05739B29" w14:textId="2123088D" w:rsidR="00F026E8" w:rsidRPr="00FE7622" w:rsidRDefault="00F026E8" w:rsidP="00AF19CC">
            <w:pPr>
              <w:pStyle w:val="72TabletextTablesTableFigureBoxstyles"/>
              <w:rPr>
                <w:rFonts w:eastAsia="Calibri"/>
              </w:rPr>
            </w:pPr>
            <w:r w:rsidRPr="00FE7622">
              <w:rPr>
                <w:rFonts w:eastAsia="Calibri"/>
                <w:color w:val="auto"/>
              </w:rPr>
              <w:t>–0.02</w:t>
            </w:r>
            <w:r w:rsidR="004F3568" w:rsidRPr="00FE7622">
              <w:rPr>
                <w:rFonts w:eastAsia="Calibri"/>
                <w:color w:val="auto"/>
              </w:rPr>
              <w:t xml:space="preserve"> </w:t>
            </w:r>
            <w:r w:rsidR="00810E66" w:rsidRPr="00FE7622">
              <w:rPr>
                <w:rFonts w:eastAsia="Calibri"/>
                <w:color w:val="auto"/>
              </w:rPr>
              <w:t>(–0.05 to 0.01)</w:t>
            </w:r>
          </w:p>
        </w:tc>
        <w:tc>
          <w:tcPr>
            <w:tcW w:w="0" w:type="auto"/>
            <w:vMerge w:val="restart"/>
            <w:shd w:val="clear" w:color="auto" w:fill="auto"/>
          </w:tcPr>
          <w:p w14:paraId="3F1434B5" w14:textId="77777777" w:rsidR="00F026E8" w:rsidRPr="00FE7622" w:rsidRDefault="00F026E8" w:rsidP="00AF19CC">
            <w:pPr>
              <w:pStyle w:val="72TabletextTablesTableFigureBoxstyles"/>
              <w:rPr>
                <w:rFonts w:eastAsia="Calibri"/>
                <w:color w:val="auto"/>
              </w:rPr>
            </w:pPr>
            <w:r w:rsidRPr="00FE7622">
              <w:rPr>
                <w:rFonts w:eastAsia="Calibri"/>
                <w:color w:val="auto"/>
              </w:rPr>
              <w:t>0.24</w:t>
            </w:r>
          </w:p>
        </w:tc>
        <w:tc>
          <w:tcPr>
            <w:tcW w:w="0" w:type="auto"/>
            <w:vMerge w:val="restart"/>
            <w:shd w:val="clear" w:color="auto" w:fill="auto"/>
          </w:tcPr>
          <w:p w14:paraId="258F3A01" w14:textId="1932FF42" w:rsidR="00F026E8" w:rsidRPr="00FE7622" w:rsidRDefault="00F026E8" w:rsidP="00AF19CC">
            <w:pPr>
              <w:pStyle w:val="72TabletextTablesTableFigureBoxstyles"/>
              <w:rPr>
                <w:rFonts w:eastAsia="Calibri"/>
              </w:rPr>
            </w:pPr>
            <w:r w:rsidRPr="00FE7622">
              <w:rPr>
                <w:rFonts w:eastAsia="Calibri"/>
                <w:color w:val="auto"/>
              </w:rPr>
              <w:t>–0.04</w:t>
            </w:r>
            <w:r w:rsidR="006A6DF9" w:rsidRPr="00FE7622">
              <w:rPr>
                <w:rFonts w:eastAsia="Calibri"/>
                <w:color w:val="auto"/>
              </w:rPr>
              <w:t xml:space="preserve"> </w:t>
            </w:r>
            <w:r w:rsidR="002903EE" w:rsidRPr="00FE7622">
              <w:rPr>
                <w:rFonts w:eastAsia="Calibri"/>
                <w:color w:val="auto"/>
              </w:rPr>
              <w:t>(–0.10 to 0.02)</w:t>
            </w:r>
          </w:p>
        </w:tc>
        <w:tc>
          <w:tcPr>
            <w:tcW w:w="0" w:type="auto"/>
            <w:vMerge w:val="restart"/>
            <w:shd w:val="clear" w:color="auto" w:fill="auto"/>
          </w:tcPr>
          <w:p w14:paraId="02B0FC8D" w14:textId="77777777" w:rsidR="00F026E8" w:rsidRPr="00FE7622" w:rsidRDefault="00F026E8" w:rsidP="00AF19CC">
            <w:pPr>
              <w:pStyle w:val="72TabletextTablesTableFigureBoxstyles"/>
              <w:rPr>
                <w:rFonts w:eastAsia="Calibri"/>
                <w:color w:val="auto"/>
              </w:rPr>
            </w:pPr>
            <w:r w:rsidRPr="00FE7622">
              <w:rPr>
                <w:rFonts w:eastAsia="Calibri"/>
                <w:color w:val="auto"/>
              </w:rPr>
              <w:t>0.23</w:t>
            </w:r>
          </w:p>
        </w:tc>
      </w:tr>
      <w:tr w:rsidR="004F3568" w:rsidRPr="00FE7622" w14:paraId="11A645C4" w14:textId="77777777" w:rsidTr="00AF19CC">
        <w:trPr>
          <w:cantSplit/>
        </w:trPr>
        <w:tc>
          <w:tcPr>
            <w:tcW w:w="0" w:type="auto"/>
            <w:vMerge/>
            <w:shd w:val="clear" w:color="auto" w:fill="auto"/>
          </w:tcPr>
          <w:p w14:paraId="489AB14D" w14:textId="77777777" w:rsidR="00F026E8" w:rsidRPr="00FE7622" w:rsidRDefault="00F026E8" w:rsidP="00AF19CC">
            <w:pPr>
              <w:pStyle w:val="72TabletextTablesTableFigureBoxstyles"/>
              <w:rPr>
                <w:rFonts w:eastAsia="Calibri"/>
              </w:rPr>
            </w:pPr>
          </w:p>
        </w:tc>
        <w:tc>
          <w:tcPr>
            <w:tcW w:w="0" w:type="auto"/>
            <w:shd w:val="clear" w:color="auto" w:fill="auto"/>
          </w:tcPr>
          <w:p w14:paraId="7190C304" w14:textId="77777777" w:rsidR="00F026E8" w:rsidRPr="00FE7622" w:rsidRDefault="00F026E8" w:rsidP="00AF19CC">
            <w:pPr>
              <w:pStyle w:val="72TabletextTablesTableFigureBoxstyles"/>
              <w:rPr>
                <w:rFonts w:eastAsia="Calibri"/>
              </w:rPr>
            </w:pPr>
            <w:r w:rsidRPr="00FE7622">
              <w:rPr>
                <w:rFonts w:eastAsia="Calibri"/>
                <w:color w:val="auto"/>
              </w:rPr>
              <w:t xml:space="preserve">6 months (N, </w:t>
            </w:r>
            <w:r w:rsidRPr="00842651">
              <w:rPr>
                <w:rFonts w:eastAsia="Calibri"/>
                <w:color w:val="auto"/>
              </w:rPr>
              <w:t>SD</w:t>
            </w:r>
            <w:r w:rsidRPr="00FE7622">
              <w:rPr>
                <w:rFonts w:eastAsia="Calibri"/>
                <w:color w:val="auto"/>
              </w:rPr>
              <w:t>)</w:t>
            </w:r>
          </w:p>
        </w:tc>
        <w:tc>
          <w:tcPr>
            <w:tcW w:w="0" w:type="auto"/>
            <w:shd w:val="clear" w:color="auto" w:fill="auto"/>
          </w:tcPr>
          <w:p w14:paraId="59966DCF" w14:textId="77777777" w:rsidR="00F026E8" w:rsidRPr="00FE7622" w:rsidRDefault="00F026E8" w:rsidP="00AF19CC">
            <w:pPr>
              <w:pStyle w:val="72TabletextTablesTableFigureBoxstyles"/>
              <w:rPr>
                <w:rFonts w:eastAsia="Calibri"/>
              </w:rPr>
            </w:pPr>
            <w:r w:rsidRPr="00FE7622">
              <w:rPr>
                <w:rFonts w:eastAsia="Calibri"/>
                <w:color w:val="auto"/>
              </w:rPr>
              <w:t>0.79 (53, 0.11)</w:t>
            </w:r>
          </w:p>
        </w:tc>
        <w:tc>
          <w:tcPr>
            <w:tcW w:w="0" w:type="auto"/>
            <w:shd w:val="clear" w:color="auto" w:fill="auto"/>
          </w:tcPr>
          <w:p w14:paraId="7AFF73B0" w14:textId="77777777" w:rsidR="00F026E8" w:rsidRPr="00FE7622" w:rsidRDefault="00F026E8" w:rsidP="00AF19CC">
            <w:pPr>
              <w:pStyle w:val="72TabletextTablesTableFigureBoxstyles"/>
              <w:rPr>
                <w:rFonts w:eastAsia="Calibri"/>
              </w:rPr>
            </w:pPr>
            <w:r w:rsidRPr="00FE7622">
              <w:rPr>
                <w:rFonts w:eastAsia="Calibri"/>
                <w:color w:val="auto"/>
              </w:rPr>
              <w:t>0.82 (64, 0.13)</w:t>
            </w:r>
          </w:p>
        </w:tc>
        <w:tc>
          <w:tcPr>
            <w:tcW w:w="0" w:type="auto"/>
            <w:vMerge/>
            <w:shd w:val="clear" w:color="auto" w:fill="auto"/>
          </w:tcPr>
          <w:p w14:paraId="350630CE"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98B3111"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7BE63808"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A008976" w14:textId="77777777" w:rsidR="00F026E8" w:rsidRPr="00FE7622" w:rsidRDefault="00F026E8" w:rsidP="00AF19CC">
            <w:pPr>
              <w:pStyle w:val="72TabletextTablesTableFigureBoxstyles"/>
              <w:rPr>
                <w:rFonts w:eastAsia="Calibri"/>
                <w:color w:val="auto"/>
              </w:rPr>
            </w:pPr>
          </w:p>
        </w:tc>
      </w:tr>
      <w:tr w:rsidR="004F3568" w:rsidRPr="00FE7622" w14:paraId="1CFA13AA" w14:textId="77777777" w:rsidTr="00AF19CC">
        <w:trPr>
          <w:cantSplit/>
        </w:trPr>
        <w:tc>
          <w:tcPr>
            <w:tcW w:w="0" w:type="auto"/>
            <w:vMerge/>
            <w:shd w:val="clear" w:color="auto" w:fill="auto"/>
          </w:tcPr>
          <w:p w14:paraId="32CF3823" w14:textId="77777777" w:rsidR="00F026E8" w:rsidRPr="00FE7622" w:rsidRDefault="00F026E8" w:rsidP="00AF19CC">
            <w:pPr>
              <w:pStyle w:val="72TabletextTablesTableFigureBoxstyles"/>
              <w:rPr>
                <w:rFonts w:eastAsia="Calibri"/>
              </w:rPr>
            </w:pPr>
          </w:p>
        </w:tc>
        <w:tc>
          <w:tcPr>
            <w:tcW w:w="0" w:type="auto"/>
            <w:shd w:val="clear" w:color="auto" w:fill="auto"/>
          </w:tcPr>
          <w:p w14:paraId="52A95893" w14:textId="77777777" w:rsidR="00F026E8" w:rsidRPr="00FE7622" w:rsidRDefault="00F026E8" w:rsidP="00AF19CC">
            <w:pPr>
              <w:pStyle w:val="72TabletextTablesTableFigureBoxstyles"/>
              <w:rPr>
                <w:rFonts w:eastAsia="Calibri"/>
              </w:rPr>
            </w:pPr>
            <w:r w:rsidRPr="00FE7622">
              <w:rPr>
                <w:rFonts w:eastAsia="Calibri"/>
                <w:color w:val="auto"/>
              </w:rPr>
              <w:t xml:space="preserve">12 months (N, </w:t>
            </w:r>
            <w:r w:rsidRPr="00842651">
              <w:rPr>
                <w:rFonts w:eastAsia="Calibri"/>
                <w:color w:val="auto"/>
              </w:rPr>
              <w:t>SD</w:t>
            </w:r>
            <w:r w:rsidRPr="00FE7622">
              <w:rPr>
                <w:rFonts w:eastAsia="Calibri"/>
                <w:color w:val="auto"/>
              </w:rPr>
              <w:t>)</w:t>
            </w:r>
          </w:p>
        </w:tc>
        <w:tc>
          <w:tcPr>
            <w:tcW w:w="0" w:type="auto"/>
            <w:shd w:val="clear" w:color="auto" w:fill="auto"/>
          </w:tcPr>
          <w:p w14:paraId="45B7F2A4" w14:textId="77777777" w:rsidR="00F026E8" w:rsidRPr="00FE7622" w:rsidRDefault="00F026E8" w:rsidP="00AF19CC">
            <w:pPr>
              <w:pStyle w:val="72TabletextTablesTableFigureBoxstyles"/>
              <w:rPr>
                <w:rFonts w:eastAsia="Calibri"/>
              </w:rPr>
            </w:pPr>
            <w:r w:rsidRPr="00FE7622">
              <w:rPr>
                <w:rFonts w:eastAsia="Calibri"/>
                <w:color w:val="auto"/>
              </w:rPr>
              <w:t>0.77 (50, 0.10)</w:t>
            </w:r>
          </w:p>
        </w:tc>
        <w:tc>
          <w:tcPr>
            <w:tcW w:w="0" w:type="auto"/>
            <w:shd w:val="clear" w:color="auto" w:fill="auto"/>
          </w:tcPr>
          <w:p w14:paraId="3CE4655B" w14:textId="77777777" w:rsidR="00F026E8" w:rsidRPr="00FE7622" w:rsidRDefault="00F026E8" w:rsidP="00AF19CC">
            <w:pPr>
              <w:pStyle w:val="72TabletextTablesTableFigureBoxstyles"/>
              <w:rPr>
                <w:rFonts w:eastAsia="Calibri"/>
              </w:rPr>
            </w:pPr>
            <w:r w:rsidRPr="00FE7622">
              <w:rPr>
                <w:rFonts w:eastAsia="Calibri"/>
                <w:color w:val="auto"/>
              </w:rPr>
              <w:t>0.81 (56, 0.13)</w:t>
            </w:r>
          </w:p>
        </w:tc>
        <w:tc>
          <w:tcPr>
            <w:tcW w:w="0" w:type="auto"/>
            <w:vMerge/>
            <w:shd w:val="clear" w:color="auto" w:fill="auto"/>
          </w:tcPr>
          <w:p w14:paraId="21111D7E"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8A51E8D"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6191CE67"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31A834B0" w14:textId="77777777" w:rsidR="00F026E8" w:rsidRPr="00FE7622" w:rsidRDefault="00F026E8" w:rsidP="00AF19CC">
            <w:pPr>
              <w:pStyle w:val="72TabletextTablesTableFigureBoxstyles"/>
              <w:rPr>
                <w:rFonts w:eastAsia="Calibri"/>
                <w:color w:val="auto"/>
              </w:rPr>
            </w:pPr>
          </w:p>
        </w:tc>
      </w:tr>
      <w:tr w:rsidR="004F3568" w:rsidRPr="00FE7622" w14:paraId="30C28305" w14:textId="77777777" w:rsidTr="00AF19CC">
        <w:trPr>
          <w:cantSplit/>
        </w:trPr>
        <w:tc>
          <w:tcPr>
            <w:tcW w:w="0" w:type="auto"/>
            <w:vMerge w:val="restart"/>
            <w:shd w:val="clear" w:color="auto" w:fill="auto"/>
          </w:tcPr>
          <w:p w14:paraId="40D11E6D" w14:textId="1B75989F" w:rsidR="00F026E8" w:rsidRPr="00CE1907" w:rsidRDefault="00F026E8" w:rsidP="00AF19CC">
            <w:pPr>
              <w:pStyle w:val="72TabletextTablesTableFigureBoxstyles"/>
              <w:rPr>
                <w:rFonts w:eastAsia="Calibri"/>
              </w:rPr>
            </w:pPr>
            <w:r w:rsidRPr="00842651">
              <w:rPr>
                <w:rFonts w:eastAsia="Calibri"/>
                <w:color w:val="auto"/>
              </w:rPr>
              <w:t>EQ</w:t>
            </w:r>
            <w:r w:rsidR="004F3568" w:rsidRPr="00842651">
              <w:rPr>
                <w:rFonts w:eastAsia="Calibri"/>
                <w:color w:val="auto"/>
              </w:rPr>
              <w:t>-</w:t>
            </w:r>
            <w:r w:rsidRPr="00842651">
              <w:rPr>
                <w:rFonts w:eastAsia="Calibri"/>
                <w:color w:val="auto"/>
              </w:rPr>
              <w:t>5D</w:t>
            </w:r>
            <w:r w:rsidRPr="00CE1907">
              <w:rPr>
                <w:rFonts w:eastAsia="Calibri"/>
                <w:color w:val="auto"/>
              </w:rPr>
              <w:t xml:space="preserve"> thermometer</w:t>
            </w:r>
          </w:p>
        </w:tc>
        <w:tc>
          <w:tcPr>
            <w:tcW w:w="0" w:type="auto"/>
            <w:shd w:val="clear" w:color="auto" w:fill="auto"/>
          </w:tcPr>
          <w:p w14:paraId="318901E2" w14:textId="77777777" w:rsidR="00F026E8" w:rsidRPr="00CE1907" w:rsidRDefault="00F026E8" w:rsidP="00AF19CC">
            <w:pPr>
              <w:pStyle w:val="72TabletextTablesTableFigureBoxstyles"/>
              <w:rPr>
                <w:rFonts w:eastAsia="Calibri"/>
              </w:rPr>
            </w:pPr>
            <w:r w:rsidRPr="00CE1907">
              <w:rPr>
                <w:rFonts w:eastAsia="Calibri"/>
                <w:color w:val="auto"/>
              </w:rPr>
              <w:t xml:space="preserve">Baseline (N, </w:t>
            </w:r>
            <w:r w:rsidRPr="00842651">
              <w:rPr>
                <w:rFonts w:eastAsia="Calibri"/>
                <w:color w:val="auto"/>
              </w:rPr>
              <w:t>SD</w:t>
            </w:r>
            <w:r w:rsidRPr="00CE1907">
              <w:rPr>
                <w:rFonts w:eastAsia="Calibri"/>
                <w:color w:val="auto"/>
              </w:rPr>
              <w:t>)</w:t>
            </w:r>
          </w:p>
        </w:tc>
        <w:tc>
          <w:tcPr>
            <w:tcW w:w="0" w:type="auto"/>
            <w:shd w:val="clear" w:color="auto" w:fill="auto"/>
          </w:tcPr>
          <w:p w14:paraId="7019FD1C" w14:textId="77777777" w:rsidR="00F026E8" w:rsidRPr="00FE7622" w:rsidRDefault="00F026E8" w:rsidP="00AF19CC">
            <w:pPr>
              <w:pStyle w:val="72TabletextTablesTableFigureBoxstyles"/>
              <w:rPr>
                <w:rFonts w:eastAsia="Calibri"/>
              </w:rPr>
            </w:pPr>
            <w:r w:rsidRPr="00FE7622">
              <w:rPr>
                <w:rFonts w:eastAsia="Calibri"/>
                <w:color w:val="auto"/>
              </w:rPr>
              <w:t>69 (71, 17)</w:t>
            </w:r>
          </w:p>
        </w:tc>
        <w:tc>
          <w:tcPr>
            <w:tcW w:w="0" w:type="auto"/>
            <w:shd w:val="clear" w:color="auto" w:fill="auto"/>
          </w:tcPr>
          <w:p w14:paraId="30101C59" w14:textId="77777777" w:rsidR="00F026E8" w:rsidRPr="00FE7622" w:rsidRDefault="00F026E8" w:rsidP="00AF19CC">
            <w:pPr>
              <w:pStyle w:val="72TabletextTablesTableFigureBoxstyles"/>
              <w:rPr>
                <w:rFonts w:eastAsia="Calibri"/>
                <w:color w:val="auto"/>
              </w:rPr>
            </w:pPr>
            <w:r w:rsidRPr="00FE7622">
              <w:rPr>
                <w:rFonts w:eastAsia="Calibri"/>
                <w:color w:val="auto"/>
              </w:rPr>
              <w:t>74 (71, 13)</w:t>
            </w:r>
          </w:p>
        </w:tc>
        <w:tc>
          <w:tcPr>
            <w:tcW w:w="0" w:type="auto"/>
            <w:vMerge w:val="restart"/>
            <w:shd w:val="clear" w:color="auto" w:fill="auto"/>
          </w:tcPr>
          <w:p w14:paraId="5CE34BD3" w14:textId="7C994035" w:rsidR="00F026E8" w:rsidRPr="00FE7622" w:rsidRDefault="00F026E8" w:rsidP="00AF19CC">
            <w:pPr>
              <w:pStyle w:val="72TabletextTablesTableFigureBoxstyles"/>
              <w:rPr>
                <w:rFonts w:eastAsia="Calibri"/>
              </w:rPr>
            </w:pPr>
            <w:r w:rsidRPr="00FE7622">
              <w:rPr>
                <w:rFonts w:eastAsia="Calibri"/>
                <w:color w:val="auto"/>
              </w:rPr>
              <w:t>–6</w:t>
            </w:r>
            <w:r w:rsidR="004F3568" w:rsidRPr="00FE7622">
              <w:rPr>
                <w:rFonts w:eastAsia="Calibri"/>
                <w:color w:val="auto"/>
              </w:rPr>
              <w:t xml:space="preserve"> </w:t>
            </w:r>
            <w:r w:rsidR="00810E66" w:rsidRPr="00FE7622">
              <w:rPr>
                <w:rFonts w:eastAsia="Calibri"/>
                <w:color w:val="auto"/>
              </w:rPr>
              <w:t>(–10 to –1)</w:t>
            </w:r>
          </w:p>
        </w:tc>
        <w:tc>
          <w:tcPr>
            <w:tcW w:w="0" w:type="auto"/>
            <w:vMerge w:val="restart"/>
            <w:shd w:val="clear" w:color="auto" w:fill="auto"/>
          </w:tcPr>
          <w:p w14:paraId="16E0D744" w14:textId="77777777" w:rsidR="00F026E8" w:rsidRPr="00FE7622" w:rsidRDefault="00F026E8" w:rsidP="00AF19CC">
            <w:pPr>
              <w:pStyle w:val="72TabletextTablesTableFigureBoxstyles"/>
              <w:rPr>
                <w:rFonts w:eastAsia="Calibri"/>
                <w:color w:val="auto"/>
              </w:rPr>
            </w:pPr>
            <w:r w:rsidRPr="00FE7622">
              <w:rPr>
                <w:rFonts w:eastAsia="Calibri"/>
                <w:color w:val="auto"/>
              </w:rPr>
              <w:t>0.01</w:t>
            </w:r>
          </w:p>
        </w:tc>
        <w:tc>
          <w:tcPr>
            <w:tcW w:w="0" w:type="auto"/>
            <w:vMerge w:val="restart"/>
            <w:shd w:val="clear" w:color="auto" w:fill="auto"/>
          </w:tcPr>
          <w:p w14:paraId="355E0672" w14:textId="6F02992F" w:rsidR="00F026E8" w:rsidRPr="00FE7622" w:rsidRDefault="00F026E8" w:rsidP="00AF19CC">
            <w:pPr>
              <w:pStyle w:val="72TabletextTablesTableFigureBoxstyles"/>
              <w:rPr>
                <w:rFonts w:eastAsia="Calibri"/>
              </w:rPr>
            </w:pPr>
            <w:r w:rsidRPr="00FE7622">
              <w:rPr>
                <w:rFonts w:eastAsia="Calibri"/>
                <w:color w:val="auto"/>
              </w:rPr>
              <w:t>–12</w:t>
            </w:r>
            <w:r w:rsidR="006A6DF9" w:rsidRPr="00FE7622">
              <w:rPr>
                <w:rFonts w:eastAsia="Calibri"/>
                <w:color w:val="auto"/>
              </w:rPr>
              <w:t xml:space="preserve"> </w:t>
            </w:r>
            <w:r w:rsidR="002903EE" w:rsidRPr="00FE7622">
              <w:rPr>
                <w:rFonts w:eastAsia="Calibri"/>
                <w:color w:val="auto"/>
              </w:rPr>
              <w:t>(–21 to –3)</w:t>
            </w:r>
          </w:p>
        </w:tc>
        <w:tc>
          <w:tcPr>
            <w:tcW w:w="0" w:type="auto"/>
            <w:vMerge w:val="restart"/>
            <w:shd w:val="clear" w:color="auto" w:fill="auto"/>
          </w:tcPr>
          <w:p w14:paraId="732A1708" w14:textId="77777777" w:rsidR="00F026E8" w:rsidRPr="00FE7622" w:rsidRDefault="00F026E8" w:rsidP="00AF19CC">
            <w:pPr>
              <w:pStyle w:val="72TabletextTablesTableFigureBoxstyles"/>
              <w:rPr>
                <w:rFonts w:eastAsia="Calibri"/>
                <w:color w:val="auto"/>
              </w:rPr>
            </w:pPr>
            <w:r w:rsidRPr="00FE7622">
              <w:rPr>
                <w:rFonts w:eastAsia="Calibri"/>
                <w:color w:val="auto"/>
              </w:rPr>
              <w:t>0.01</w:t>
            </w:r>
          </w:p>
        </w:tc>
      </w:tr>
      <w:tr w:rsidR="004F3568" w:rsidRPr="00FE7622" w14:paraId="4AFD07C9" w14:textId="77777777" w:rsidTr="00AF19CC">
        <w:trPr>
          <w:cantSplit/>
        </w:trPr>
        <w:tc>
          <w:tcPr>
            <w:tcW w:w="0" w:type="auto"/>
            <w:vMerge/>
            <w:shd w:val="clear" w:color="auto" w:fill="auto"/>
          </w:tcPr>
          <w:p w14:paraId="31292D0F" w14:textId="77777777" w:rsidR="00F026E8" w:rsidRPr="00CE1907" w:rsidRDefault="00F026E8" w:rsidP="00AF19CC">
            <w:pPr>
              <w:pStyle w:val="72TabletextTablesTableFigureBoxstyles"/>
              <w:rPr>
                <w:rFonts w:eastAsia="Calibri"/>
              </w:rPr>
            </w:pPr>
          </w:p>
        </w:tc>
        <w:tc>
          <w:tcPr>
            <w:tcW w:w="0" w:type="auto"/>
            <w:shd w:val="clear" w:color="auto" w:fill="auto"/>
          </w:tcPr>
          <w:p w14:paraId="13B274EA" w14:textId="5534915F" w:rsidR="00F026E8" w:rsidRPr="00CE1907" w:rsidRDefault="00F026E8" w:rsidP="00AF19CC">
            <w:pPr>
              <w:pStyle w:val="72TabletextTablesTableFigureBoxstyles"/>
              <w:rPr>
                <w:rFonts w:eastAsia="Calibri"/>
              </w:rPr>
            </w:pPr>
            <w:r w:rsidRPr="00CE1907">
              <w:rPr>
                <w:rFonts w:eastAsia="Calibri"/>
                <w:color w:val="auto"/>
              </w:rPr>
              <w:t>6 months (</w:t>
            </w:r>
            <w:r w:rsidR="00E038BF" w:rsidRPr="00CE1907">
              <w:rPr>
                <w:rFonts w:eastAsia="Calibri"/>
                <w:i/>
                <w:iCs/>
                <w:color w:val="auto"/>
              </w:rPr>
              <w:t>n</w:t>
            </w:r>
            <w:r w:rsidR="006A3280" w:rsidRPr="00CE1907">
              <w:rPr>
                <w:rFonts w:eastAsia="Calibri"/>
                <w:color w:val="auto"/>
              </w:rPr>
              <w:t xml:space="preserve">, </w:t>
            </w:r>
            <w:r w:rsidR="006A3280" w:rsidRPr="00842651">
              <w:rPr>
                <w:rFonts w:eastAsia="Calibri"/>
                <w:color w:val="auto"/>
              </w:rPr>
              <w:t>SD</w:t>
            </w:r>
            <w:r w:rsidR="006A3280" w:rsidRPr="00CE1907">
              <w:rPr>
                <w:rFonts w:eastAsia="Calibri"/>
                <w:color w:val="auto"/>
              </w:rPr>
              <w:t>)</w:t>
            </w:r>
          </w:p>
        </w:tc>
        <w:tc>
          <w:tcPr>
            <w:tcW w:w="0" w:type="auto"/>
            <w:shd w:val="clear" w:color="auto" w:fill="auto"/>
          </w:tcPr>
          <w:p w14:paraId="403BEE07" w14:textId="77777777" w:rsidR="00F026E8" w:rsidRPr="00FE7622" w:rsidRDefault="00F026E8" w:rsidP="00AF19CC">
            <w:pPr>
              <w:pStyle w:val="72TabletextTablesTableFigureBoxstyles"/>
              <w:rPr>
                <w:rFonts w:eastAsia="Calibri"/>
              </w:rPr>
            </w:pPr>
            <w:r w:rsidRPr="00FE7622">
              <w:rPr>
                <w:rFonts w:eastAsia="Calibri"/>
                <w:color w:val="auto"/>
              </w:rPr>
              <w:t>67 (55, 18)</w:t>
            </w:r>
          </w:p>
        </w:tc>
        <w:tc>
          <w:tcPr>
            <w:tcW w:w="0" w:type="auto"/>
            <w:shd w:val="clear" w:color="auto" w:fill="auto"/>
          </w:tcPr>
          <w:p w14:paraId="56276526" w14:textId="77777777" w:rsidR="00F026E8" w:rsidRPr="00FE7622" w:rsidRDefault="00F026E8" w:rsidP="00AF19CC">
            <w:pPr>
              <w:pStyle w:val="72TabletextTablesTableFigureBoxstyles"/>
              <w:rPr>
                <w:rFonts w:eastAsia="Calibri"/>
              </w:rPr>
            </w:pPr>
            <w:r w:rsidRPr="00FE7622">
              <w:rPr>
                <w:rFonts w:eastAsia="Calibri"/>
                <w:color w:val="auto"/>
              </w:rPr>
              <w:t>74 (65, 15)</w:t>
            </w:r>
          </w:p>
        </w:tc>
        <w:tc>
          <w:tcPr>
            <w:tcW w:w="0" w:type="auto"/>
            <w:vMerge/>
            <w:shd w:val="clear" w:color="auto" w:fill="auto"/>
          </w:tcPr>
          <w:p w14:paraId="40603E24"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73CD507"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3C5413E"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416496E1" w14:textId="77777777" w:rsidR="00F026E8" w:rsidRPr="00FE7622" w:rsidRDefault="00F026E8" w:rsidP="00AF19CC">
            <w:pPr>
              <w:pStyle w:val="72TabletextTablesTableFigureBoxstyles"/>
              <w:rPr>
                <w:rFonts w:eastAsia="Calibri"/>
                <w:color w:val="auto"/>
              </w:rPr>
            </w:pPr>
          </w:p>
        </w:tc>
      </w:tr>
      <w:tr w:rsidR="004F3568" w:rsidRPr="00FE7622" w14:paraId="50A095DE" w14:textId="77777777" w:rsidTr="00AF19CC">
        <w:trPr>
          <w:cantSplit/>
        </w:trPr>
        <w:tc>
          <w:tcPr>
            <w:tcW w:w="0" w:type="auto"/>
            <w:vMerge/>
            <w:shd w:val="clear" w:color="auto" w:fill="auto"/>
          </w:tcPr>
          <w:p w14:paraId="68207FE3" w14:textId="77777777" w:rsidR="00F026E8" w:rsidRPr="00FE7622" w:rsidRDefault="00F026E8" w:rsidP="00AF19CC">
            <w:pPr>
              <w:pStyle w:val="72TabletextTablesTableFigureBoxstyles"/>
              <w:rPr>
                <w:rFonts w:eastAsia="Calibri"/>
              </w:rPr>
            </w:pPr>
          </w:p>
        </w:tc>
        <w:tc>
          <w:tcPr>
            <w:tcW w:w="0" w:type="auto"/>
            <w:shd w:val="clear" w:color="auto" w:fill="auto"/>
          </w:tcPr>
          <w:p w14:paraId="41D70773" w14:textId="5CB9CB5E" w:rsidR="00F026E8" w:rsidRPr="00FE7622" w:rsidRDefault="00F026E8" w:rsidP="00AF19CC">
            <w:pPr>
              <w:pStyle w:val="72TabletextTablesTableFigureBoxstyles"/>
              <w:rPr>
                <w:rFonts w:eastAsia="Calibri"/>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71459466" w14:textId="77777777" w:rsidR="00F026E8" w:rsidRPr="00FE7622" w:rsidRDefault="00F026E8" w:rsidP="00AF19CC">
            <w:pPr>
              <w:pStyle w:val="72TabletextTablesTableFigureBoxstyles"/>
              <w:rPr>
                <w:rFonts w:eastAsia="Calibri"/>
              </w:rPr>
            </w:pPr>
            <w:r w:rsidRPr="00FE7622">
              <w:rPr>
                <w:rFonts w:eastAsia="Calibri"/>
                <w:color w:val="auto"/>
              </w:rPr>
              <w:t>69 (51, 18)</w:t>
            </w:r>
          </w:p>
        </w:tc>
        <w:tc>
          <w:tcPr>
            <w:tcW w:w="0" w:type="auto"/>
            <w:shd w:val="clear" w:color="auto" w:fill="auto"/>
          </w:tcPr>
          <w:p w14:paraId="155B1427" w14:textId="77777777" w:rsidR="00F026E8" w:rsidRPr="00FE7622" w:rsidRDefault="00F026E8" w:rsidP="00AF19CC">
            <w:pPr>
              <w:pStyle w:val="72TabletextTablesTableFigureBoxstyles"/>
              <w:rPr>
                <w:rFonts w:eastAsia="Calibri"/>
              </w:rPr>
            </w:pPr>
            <w:r w:rsidRPr="00FE7622">
              <w:rPr>
                <w:rFonts w:eastAsia="Calibri"/>
                <w:color w:val="auto"/>
              </w:rPr>
              <w:t>75 (56, 14)</w:t>
            </w:r>
          </w:p>
        </w:tc>
        <w:tc>
          <w:tcPr>
            <w:tcW w:w="0" w:type="auto"/>
            <w:vMerge/>
            <w:shd w:val="clear" w:color="auto" w:fill="auto"/>
          </w:tcPr>
          <w:p w14:paraId="6220E2D3"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22AA9D82"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06694A70"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05965BC" w14:textId="77777777" w:rsidR="00F026E8" w:rsidRPr="00FE7622" w:rsidRDefault="00F026E8" w:rsidP="00AF19CC">
            <w:pPr>
              <w:pStyle w:val="72TabletextTablesTableFigureBoxstyles"/>
              <w:rPr>
                <w:rFonts w:eastAsia="Calibri"/>
                <w:color w:val="auto"/>
              </w:rPr>
            </w:pPr>
          </w:p>
        </w:tc>
      </w:tr>
      <w:tr w:rsidR="004F3568" w:rsidRPr="00FE7622" w14:paraId="40E8AB8B" w14:textId="77777777" w:rsidTr="00AF19CC">
        <w:trPr>
          <w:cantSplit/>
        </w:trPr>
        <w:tc>
          <w:tcPr>
            <w:tcW w:w="0" w:type="auto"/>
            <w:vMerge w:val="restart"/>
            <w:shd w:val="clear" w:color="auto" w:fill="auto"/>
          </w:tcPr>
          <w:p w14:paraId="3BA244CF" w14:textId="49C8929F" w:rsidR="00F026E8" w:rsidRPr="00FE7622" w:rsidRDefault="00F026E8" w:rsidP="00AF19CC">
            <w:pPr>
              <w:pStyle w:val="72TabletextTablesTableFigureBoxstyles"/>
              <w:rPr>
                <w:rFonts w:eastAsia="Calibri"/>
              </w:rPr>
            </w:pPr>
            <w:r w:rsidRPr="00FE7622">
              <w:rPr>
                <w:rFonts w:eastAsia="Calibri"/>
                <w:color w:val="auto"/>
              </w:rPr>
              <w:t>Hip T</w:t>
            </w:r>
            <w:r w:rsidR="00CF1041" w:rsidRPr="00FE7622">
              <w:rPr>
                <w:rFonts w:eastAsia="Calibri"/>
                <w:color w:val="auto"/>
              </w:rPr>
              <w:t>-</w:t>
            </w:r>
            <w:r w:rsidRPr="00FE7622">
              <w:rPr>
                <w:rFonts w:eastAsia="Calibri"/>
                <w:color w:val="auto"/>
              </w:rPr>
              <w:t>score</w:t>
            </w:r>
          </w:p>
        </w:tc>
        <w:tc>
          <w:tcPr>
            <w:tcW w:w="0" w:type="auto"/>
            <w:shd w:val="clear" w:color="auto" w:fill="auto"/>
          </w:tcPr>
          <w:p w14:paraId="5B3686E6" w14:textId="5EBBB787" w:rsidR="00F026E8" w:rsidRPr="00FE7622" w:rsidRDefault="00F026E8" w:rsidP="00AF19CC">
            <w:pPr>
              <w:pStyle w:val="72TabletextTablesTableFigureBoxstyles"/>
              <w:rPr>
                <w:rFonts w:eastAsia="Calibri"/>
                <w:color w:val="auto"/>
              </w:rPr>
            </w:pPr>
            <w:r w:rsidRPr="00FE7622">
              <w:rPr>
                <w:rFonts w:eastAsia="Calibri"/>
                <w:color w:val="auto"/>
              </w:rPr>
              <w:t xml:space="preserve">Baseline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55E20D41" w14:textId="77777777" w:rsidR="00F026E8" w:rsidRPr="00FE7622" w:rsidRDefault="00F026E8" w:rsidP="00AF19CC">
            <w:pPr>
              <w:pStyle w:val="72TabletextTablesTableFigureBoxstyles"/>
              <w:rPr>
                <w:rFonts w:eastAsia="Calibri"/>
                <w:color w:val="auto"/>
              </w:rPr>
            </w:pPr>
            <w:r w:rsidRPr="00FE7622">
              <w:rPr>
                <w:rFonts w:eastAsia="Calibri"/>
                <w:color w:val="auto"/>
              </w:rPr>
              <w:t>–1.29 (64, 1.41)</w:t>
            </w:r>
          </w:p>
        </w:tc>
        <w:tc>
          <w:tcPr>
            <w:tcW w:w="0" w:type="auto"/>
            <w:shd w:val="clear" w:color="auto" w:fill="auto"/>
          </w:tcPr>
          <w:p w14:paraId="5C235F70" w14:textId="77777777" w:rsidR="00F026E8" w:rsidRPr="00FE7622" w:rsidRDefault="00F026E8" w:rsidP="00AF19CC">
            <w:pPr>
              <w:pStyle w:val="72TabletextTablesTableFigureBoxstyles"/>
              <w:rPr>
                <w:rFonts w:eastAsia="Calibri"/>
              </w:rPr>
            </w:pPr>
            <w:r w:rsidRPr="00FE7622">
              <w:rPr>
                <w:rFonts w:eastAsia="Calibri"/>
                <w:color w:val="auto"/>
              </w:rPr>
              <w:t>–1.36 (64, 1.06)</w:t>
            </w:r>
          </w:p>
        </w:tc>
        <w:tc>
          <w:tcPr>
            <w:tcW w:w="0" w:type="auto"/>
            <w:vMerge w:val="restart"/>
            <w:shd w:val="clear" w:color="auto" w:fill="auto"/>
          </w:tcPr>
          <w:p w14:paraId="31831616" w14:textId="014E0440" w:rsidR="00F026E8" w:rsidRPr="00FE7622" w:rsidRDefault="00F026E8" w:rsidP="00AF19CC">
            <w:pPr>
              <w:pStyle w:val="72TabletextTablesTableFigureBoxstyles"/>
              <w:rPr>
                <w:rFonts w:eastAsia="Calibri"/>
              </w:rPr>
            </w:pPr>
            <w:r w:rsidRPr="00FE7622">
              <w:rPr>
                <w:rFonts w:eastAsia="Calibri"/>
                <w:color w:val="auto"/>
              </w:rPr>
              <w:t>0.04</w:t>
            </w:r>
            <w:r w:rsidR="004F3568" w:rsidRPr="00FE7622">
              <w:rPr>
                <w:rFonts w:eastAsia="Calibri"/>
                <w:color w:val="auto"/>
              </w:rPr>
              <w:t xml:space="preserve"> </w:t>
            </w:r>
            <w:r w:rsidR="00810E66" w:rsidRPr="00FE7622">
              <w:rPr>
                <w:rFonts w:eastAsia="Calibri"/>
                <w:color w:val="auto"/>
              </w:rPr>
              <w:t>(–0.39 to 0.46)</w:t>
            </w:r>
          </w:p>
        </w:tc>
        <w:tc>
          <w:tcPr>
            <w:tcW w:w="0" w:type="auto"/>
            <w:vMerge w:val="restart"/>
            <w:shd w:val="clear" w:color="auto" w:fill="auto"/>
          </w:tcPr>
          <w:p w14:paraId="0CF3166C" w14:textId="77777777" w:rsidR="00F026E8" w:rsidRPr="00FE7622" w:rsidRDefault="00F026E8" w:rsidP="00AF19CC">
            <w:pPr>
              <w:pStyle w:val="72TabletextTablesTableFigureBoxstyles"/>
              <w:rPr>
                <w:rFonts w:eastAsia="Calibri"/>
              </w:rPr>
            </w:pPr>
            <w:r w:rsidRPr="00FE7622">
              <w:rPr>
                <w:rFonts w:eastAsia="Calibri"/>
                <w:color w:val="auto"/>
              </w:rPr>
              <w:t>0.87</w:t>
            </w:r>
          </w:p>
        </w:tc>
        <w:tc>
          <w:tcPr>
            <w:tcW w:w="0" w:type="auto"/>
            <w:vMerge w:val="restart"/>
            <w:shd w:val="clear" w:color="auto" w:fill="auto"/>
          </w:tcPr>
          <w:p w14:paraId="4BDEE5AF" w14:textId="7AE0B8FE" w:rsidR="00F026E8" w:rsidRPr="00FE7622" w:rsidRDefault="00F026E8" w:rsidP="00AF19CC">
            <w:pPr>
              <w:pStyle w:val="72TabletextTablesTableFigureBoxstyles"/>
              <w:rPr>
                <w:rFonts w:eastAsia="Calibri"/>
              </w:rPr>
            </w:pPr>
            <w:r w:rsidRPr="00FE7622">
              <w:rPr>
                <w:rFonts w:eastAsia="Calibri"/>
                <w:color w:val="auto"/>
              </w:rPr>
              <w:t>0.03</w:t>
            </w:r>
            <w:r w:rsidR="006A6DF9" w:rsidRPr="00FE7622">
              <w:rPr>
                <w:rFonts w:eastAsia="Calibri"/>
                <w:color w:val="auto"/>
              </w:rPr>
              <w:t xml:space="preserve"> </w:t>
            </w:r>
            <w:r w:rsidR="002903EE" w:rsidRPr="00FE7622">
              <w:rPr>
                <w:rFonts w:eastAsia="Calibri"/>
                <w:color w:val="auto"/>
              </w:rPr>
              <w:t>(–0.74 to 0.81)</w:t>
            </w:r>
          </w:p>
        </w:tc>
        <w:tc>
          <w:tcPr>
            <w:tcW w:w="0" w:type="auto"/>
            <w:vMerge w:val="restart"/>
            <w:shd w:val="clear" w:color="auto" w:fill="auto"/>
          </w:tcPr>
          <w:p w14:paraId="411E4277" w14:textId="77777777" w:rsidR="00F026E8" w:rsidRPr="00FE7622" w:rsidRDefault="00F026E8" w:rsidP="00AF19CC">
            <w:pPr>
              <w:pStyle w:val="72TabletextTablesTableFigureBoxstyles"/>
              <w:rPr>
                <w:rFonts w:eastAsia="Calibri"/>
                <w:color w:val="auto"/>
              </w:rPr>
            </w:pPr>
            <w:r w:rsidRPr="00FE7622">
              <w:rPr>
                <w:rFonts w:eastAsia="Calibri"/>
                <w:color w:val="auto"/>
              </w:rPr>
              <w:t>0.93</w:t>
            </w:r>
          </w:p>
        </w:tc>
      </w:tr>
      <w:tr w:rsidR="004F3568" w:rsidRPr="00FE7622" w14:paraId="3A033E5B" w14:textId="77777777" w:rsidTr="00AF19CC">
        <w:trPr>
          <w:cantSplit/>
        </w:trPr>
        <w:tc>
          <w:tcPr>
            <w:tcW w:w="0" w:type="auto"/>
            <w:vMerge/>
            <w:shd w:val="clear" w:color="auto" w:fill="auto"/>
          </w:tcPr>
          <w:p w14:paraId="3909C4F2" w14:textId="77777777" w:rsidR="00F026E8" w:rsidRPr="00FE7622" w:rsidRDefault="00F026E8" w:rsidP="00AF19CC">
            <w:pPr>
              <w:pStyle w:val="72TabletextTablesTableFigureBoxstyles"/>
              <w:rPr>
                <w:rFonts w:eastAsia="Calibri"/>
              </w:rPr>
            </w:pPr>
          </w:p>
        </w:tc>
        <w:tc>
          <w:tcPr>
            <w:tcW w:w="0" w:type="auto"/>
            <w:shd w:val="clear" w:color="auto" w:fill="auto"/>
          </w:tcPr>
          <w:p w14:paraId="46D53C66" w14:textId="627CA2D6" w:rsidR="00F026E8" w:rsidRPr="00FE7622" w:rsidRDefault="00F026E8" w:rsidP="00AF19CC">
            <w:pPr>
              <w:pStyle w:val="72TabletextTablesTableFigureBoxstyles"/>
              <w:rPr>
                <w:rFonts w:eastAsia="Calibri"/>
                <w:color w:val="auto"/>
              </w:rPr>
            </w:pPr>
            <w:r w:rsidRPr="00FE7622">
              <w:rPr>
                <w:rFonts w:eastAsia="Calibri"/>
                <w:color w:val="auto"/>
              </w:rPr>
              <w:t xml:space="preserve">12 months </w:t>
            </w:r>
            <w:r w:rsidR="006A3280" w:rsidRPr="00FE7622">
              <w:rPr>
                <w:rFonts w:eastAsia="Calibri"/>
                <w:color w:val="auto"/>
              </w:rPr>
              <w:t>(</w:t>
            </w:r>
            <w:r w:rsidR="00E038BF" w:rsidRPr="00FE7622">
              <w:rPr>
                <w:rFonts w:eastAsia="Calibri"/>
                <w:i/>
                <w:iCs/>
                <w:color w:val="auto"/>
              </w:rPr>
              <w:t>n</w:t>
            </w:r>
            <w:r w:rsidR="006A3280" w:rsidRPr="00FE7622">
              <w:rPr>
                <w:rFonts w:eastAsia="Calibri"/>
                <w:color w:val="auto"/>
              </w:rPr>
              <w:t xml:space="preserve">, </w:t>
            </w:r>
            <w:r w:rsidR="006A3280" w:rsidRPr="00842651">
              <w:rPr>
                <w:rFonts w:eastAsia="Calibri"/>
                <w:color w:val="auto"/>
              </w:rPr>
              <w:t>SD</w:t>
            </w:r>
            <w:r w:rsidR="006A3280" w:rsidRPr="00FE7622">
              <w:rPr>
                <w:rFonts w:eastAsia="Calibri"/>
                <w:color w:val="auto"/>
              </w:rPr>
              <w:t>)</w:t>
            </w:r>
          </w:p>
        </w:tc>
        <w:tc>
          <w:tcPr>
            <w:tcW w:w="0" w:type="auto"/>
            <w:shd w:val="clear" w:color="auto" w:fill="auto"/>
          </w:tcPr>
          <w:p w14:paraId="7D7AEFA4" w14:textId="77777777" w:rsidR="00F026E8" w:rsidRPr="00FE7622" w:rsidRDefault="00F026E8" w:rsidP="00AF19CC">
            <w:pPr>
              <w:pStyle w:val="72TabletextTablesTableFigureBoxstyles"/>
              <w:rPr>
                <w:rFonts w:eastAsia="Calibri"/>
                <w:color w:val="auto"/>
              </w:rPr>
            </w:pPr>
            <w:r w:rsidRPr="00FE7622">
              <w:rPr>
                <w:rFonts w:eastAsia="Calibri"/>
                <w:color w:val="auto"/>
              </w:rPr>
              <w:t>–1.00 (42, 1.31)</w:t>
            </w:r>
          </w:p>
        </w:tc>
        <w:tc>
          <w:tcPr>
            <w:tcW w:w="0" w:type="auto"/>
            <w:shd w:val="clear" w:color="auto" w:fill="auto"/>
          </w:tcPr>
          <w:p w14:paraId="70485791" w14:textId="77777777" w:rsidR="00F026E8" w:rsidRPr="00FE7622" w:rsidRDefault="00F026E8" w:rsidP="00AF19CC">
            <w:pPr>
              <w:pStyle w:val="72TabletextTablesTableFigureBoxstyles"/>
              <w:rPr>
                <w:rFonts w:eastAsia="Calibri"/>
              </w:rPr>
            </w:pPr>
            <w:r w:rsidRPr="00FE7622">
              <w:rPr>
                <w:rFonts w:eastAsia="Calibri"/>
                <w:color w:val="auto"/>
              </w:rPr>
              <w:t>–1.40 (50, 1.05)</w:t>
            </w:r>
          </w:p>
        </w:tc>
        <w:tc>
          <w:tcPr>
            <w:tcW w:w="0" w:type="auto"/>
            <w:vMerge/>
            <w:shd w:val="clear" w:color="auto" w:fill="auto"/>
          </w:tcPr>
          <w:p w14:paraId="22545295"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7F0F02E"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13AC438" w14:textId="77777777" w:rsidR="00F026E8" w:rsidRPr="00FE7622" w:rsidRDefault="00F026E8" w:rsidP="00AF19CC">
            <w:pPr>
              <w:pStyle w:val="72TabletextTablesTableFigureBoxstyles"/>
              <w:rPr>
                <w:rFonts w:eastAsia="Calibri"/>
              </w:rPr>
            </w:pPr>
          </w:p>
        </w:tc>
        <w:tc>
          <w:tcPr>
            <w:tcW w:w="0" w:type="auto"/>
            <w:vMerge/>
            <w:shd w:val="clear" w:color="auto" w:fill="auto"/>
          </w:tcPr>
          <w:p w14:paraId="168651F7" w14:textId="77777777" w:rsidR="00F026E8" w:rsidRPr="00FE7622" w:rsidRDefault="00F026E8" w:rsidP="00AF19CC">
            <w:pPr>
              <w:pStyle w:val="72TabletextTablesTableFigureBoxstyles"/>
              <w:rPr>
                <w:rFonts w:eastAsia="Calibri"/>
                <w:color w:val="auto"/>
              </w:rPr>
            </w:pPr>
          </w:p>
        </w:tc>
      </w:tr>
      <w:tr w:rsidR="004F3568" w:rsidRPr="00FE7622" w14:paraId="526CB0E8" w14:textId="77777777" w:rsidTr="00AF19CC">
        <w:trPr>
          <w:cantSplit/>
        </w:trPr>
        <w:tc>
          <w:tcPr>
            <w:tcW w:w="0" w:type="auto"/>
            <w:vMerge w:val="restart"/>
            <w:shd w:val="clear" w:color="auto" w:fill="auto"/>
          </w:tcPr>
          <w:p w14:paraId="297C09CB" w14:textId="17395BF5" w:rsidR="00F026E8" w:rsidRPr="00FE7622" w:rsidRDefault="00F026E8" w:rsidP="00AF19CC">
            <w:pPr>
              <w:pStyle w:val="72TabletextTablesTableFigureBoxstyles"/>
              <w:rPr>
                <w:rFonts w:eastAsia="Calibri"/>
              </w:rPr>
            </w:pPr>
            <w:r w:rsidRPr="00FE7622">
              <w:rPr>
                <w:color w:val="auto"/>
                <w:shd w:val="clear" w:color="auto" w:fill="FFFFFF"/>
              </w:rPr>
              <w:t xml:space="preserve">Median </w:t>
            </w:r>
            <w:r w:rsidRPr="00842651">
              <w:rPr>
                <w:color w:val="auto"/>
                <w:shd w:val="clear" w:color="auto" w:fill="FFFFFF"/>
              </w:rPr>
              <w:t>HOMA</w:t>
            </w:r>
            <w:r w:rsidR="00C35FF6" w:rsidRPr="00842651">
              <w:rPr>
                <w:color w:val="auto"/>
                <w:shd w:val="clear" w:color="auto" w:fill="FFFFFF"/>
              </w:rPr>
              <w:t>-</w:t>
            </w:r>
            <w:r w:rsidRPr="00842651">
              <w:rPr>
                <w:color w:val="auto"/>
                <w:shd w:val="clear" w:color="auto" w:fill="FFFFFF"/>
              </w:rPr>
              <w:t>IR</w:t>
            </w:r>
          </w:p>
        </w:tc>
        <w:tc>
          <w:tcPr>
            <w:tcW w:w="0" w:type="auto"/>
            <w:shd w:val="clear" w:color="auto" w:fill="auto"/>
          </w:tcPr>
          <w:p w14:paraId="16907755" w14:textId="627FE20D"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AA1C0D" w:rsidRPr="00FE7622">
              <w:rPr>
                <w:rFonts w:eastAsia="Calibri"/>
                <w:color w:val="auto"/>
              </w:rPr>
              <w:t>(</w:t>
            </w:r>
            <w:r w:rsidR="00E038BF" w:rsidRPr="00FE7622">
              <w:rPr>
                <w:rFonts w:eastAsia="Calibri"/>
                <w:i/>
                <w:color w:val="auto"/>
              </w:rPr>
              <w:t>n</w:t>
            </w:r>
            <w:r w:rsidRPr="00FE7622">
              <w:rPr>
                <w:rFonts w:eastAsia="Calibri"/>
                <w:color w:val="auto"/>
              </w:rPr>
              <w:t xml:space="preserve">, </w:t>
            </w:r>
            <w:r w:rsidRPr="00842651">
              <w:rPr>
                <w:rFonts w:eastAsia="Calibri"/>
                <w:color w:val="auto"/>
              </w:rPr>
              <w:t>IQR</w:t>
            </w:r>
            <w:r w:rsidR="00AA1C0D" w:rsidRPr="00FE7622">
              <w:rPr>
                <w:rFonts w:eastAsia="Calibri"/>
                <w:color w:val="auto"/>
              </w:rPr>
              <w:t>)</w:t>
            </w:r>
          </w:p>
        </w:tc>
        <w:tc>
          <w:tcPr>
            <w:tcW w:w="0" w:type="auto"/>
            <w:shd w:val="clear" w:color="auto" w:fill="auto"/>
          </w:tcPr>
          <w:p w14:paraId="3F3EAF67" w14:textId="77777777" w:rsidR="00F026E8" w:rsidRPr="00FE7622" w:rsidRDefault="00F026E8" w:rsidP="00AF19CC">
            <w:pPr>
              <w:pStyle w:val="72TabletextTablesTableFigureBoxstyles"/>
              <w:rPr>
                <w:rFonts w:eastAsia="Calibri"/>
              </w:rPr>
            </w:pPr>
            <w:r w:rsidRPr="00FE7622">
              <w:rPr>
                <w:rFonts w:eastAsia="Calibri"/>
                <w:color w:val="auto"/>
              </w:rPr>
              <w:t>2.9 [65, 2.2–4.1]</w:t>
            </w:r>
          </w:p>
        </w:tc>
        <w:tc>
          <w:tcPr>
            <w:tcW w:w="0" w:type="auto"/>
            <w:shd w:val="clear" w:color="auto" w:fill="auto"/>
          </w:tcPr>
          <w:p w14:paraId="62DBCCBF" w14:textId="77777777" w:rsidR="00F026E8" w:rsidRPr="00FE7622" w:rsidRDefault="00F026E8" w:rsidP="00AF19CC">
            <w:pPr>
              <w:pStyle w:val="72TabletextTablesTableFigureBoxstyles"/>
              <w:rPr>
                <w:rFonts w:eastAsia="Calibri"/>
                <w:color w:val="auto"/>
              </w:rPr>
            </w:pPr>
            <w:r w:rsidRPr="00FE7622">
              <w:rPr>
                <w:rFonts w:eastAsia="Calibri"/>
                <w:color w:val="auto"/>
              </w:rPr>
              <w:t>2.8 [62, 2.0, 4.8]</w:t>
            </w:r>
          </w:p>
        </w:tc>
        <w:tc>
          <w:tcPr>
            <w:tcW w:w="0" w:type="auto"/>
            <w:vMerge w:val="restart"/>
            <w:shd w:val="clear" w:color="auto" w:fill="auto"/>
          </w:tcPr>
          <w:p w14:paraId="3A5F9754" w14:textId="0D94F704" w:rsidR="00F026E8" w:rsidRPr="00FE7622" w:rsidRDefault="00F026E8" w:rsidP="00AF19CC">
            <w:pPr>
              <w:pStyle w:val="72TabletextTablesTableFigureBoxstyles"/>
              <w:rPr>
                <w:rFonts w:eastAsia="Calibri"/>
              </w:rPr>
            </w:pPr>
            <w:r w:rsidRPr="00FE7622">
              <w:rPr>
                <w:rFonts w:eastAsia="Calibri"/>
                <w:color w:val="auto"/>
              </w:rPr>
              <w:t>–1.1</w:t>
            </w:r>
            <w:r w:rsidR="006A6DF9" w:rsidRPr="00FE7622">
              <w:rPr>
                <w:rFonts w:eastAsia="Calibri"/>
                <w:color w:val="auto"/>
              </w:rPr>
              <w:t xml:space="preserve"> </w:t>
            </w:r>
            <w:r w:rsidR="00810E66" w:rsidRPr="00FE7622">
              <w:rPr>
                <w:rFonts w:eastAsia="Calibri"/>
                <w:color w:val="auto"/>
              </w:rPr>
              <w:t>(–2.7 to 0.5)</w:t>
            </w:r>
          </w:p>
        </w:tc>
        <w:tc>
          <w:tcPr>
            <w:tcW w:w="0" w:type="auto"/>
            <w:vMerge w:val="restart"/>
            <w:shd w:val="clear" w:color="auto" w:fill="auto"/>
          </w:tcPr>
          <w:p w14:paraId="003D3EEC" w14:textId="77777777" w:rsidR="00F026E8" w:rsidRPr="00FE7622" w:rsidRDefault="00F026E8" w:rsidP="00AF19CC">
            <w:pPr>
              <w:pStyle w:val="72TabletextTablesTableFigureBoxstyles"/>
              <w:rPr>
                <w:rFonts w:eastAsia="Calibri"/>
                <w:color w:val="auto"/>
              </w:rPr>
            </w:pPr>
            <w:r w:rsidRPr="00FE7622">
              <w:rPr>
                <w:rFonts w:eastAsia="Calibri"/>
                <w:color w:val="auto"/>
              </w:rPr>
              <w:t>0.18</w:t>
            </w:r>
          </w:p>
        </w:tc>
        <w:tc>
          <w:tcPr>
            <w:tcW w:w="0" w:type="auto"/>
            <w:vMerge w:val="restart"/>
            <w:shd w:val="clear" w:color="auto" w:fill="auto"/>
          </w:tcPr>
          <w:p w14:paraId="44D33C79" w14:textId="3E249D29" w:rsidR="00F026E8" w:rsidRPr="00FE7622" w:rsidRDefault="00F026E8" w:rsidP="00AF19CC">
            <w:pPr>
              <w:pStyle w:val="72TabletextTablesTableFigureBoxstyles"/>
              <w:rPr>
                <w:rFonts w:eastAsia="Calibri"/>
              </w:rPr>
            </w:pPr>
            <w:r w:rsidRPr="00FE7622">
              <w:rPr>
                <w:rFonts w:eastAsia="Calibri"/>
                <w:color w:val="auto"/>
              </w:rPr>
              <w:t>–1.8</w:t>
            </w:r>
            <w:r w:rsidR="006A6DF9" w:rsidRPr="00FE7622">
              <w:rPr>
                <w:rFonts w:eastAsia="Calibri"/>
                <w:color w:val="auto"/>
              </w:rPr>
              <w:t xml:space="preserve"> </w:t>
            </w:r>
            <w:r w:rsidR="002903EE" w:rsidRPr="00FE7622">
              <w:rPr>
                <w:rFonts w:eastAsia="Calibri"/>
                <w:color w:val="auto"/>
              </w:rPr>
              <w:t>(–5.1 to 1.4)</w:t>
            </w:r>
          </w:p>
        </w:tc>
        <w:tc>
          <w:tcPr>
            <w:tcW w:w="0" w:type="auto"/>
            <w:vMerge w:val="restart"/>
            <w:shd w:val="clear" w:color="auto" w:fill="auto"/>
          </w:tcPr>
          <w:p w14:paraId="76C3D91A" w14:textId="77777777" w:rsidR="00F026E8" w:rsidRPr="00FE7622" w:rsidRDefault="00F026E8" w:rsidP="00AF19CC">
            <w:pPr>
              <w:pStyle w:val="72TabletextTablesTableFigureBoxstyles"/>
              <w:rPr>
                <w:rFonts w:eastAsia="Calibri"/>
                <w:color w:val="auto"/>
              </w:rPr>
            </w:pPr>
            <w:r w:rsidRPr="00FE7622">
              <w:rPr>
                <w:rFonts w:eastAsia="Calibri"/>
                <w:color w:val="auto"/>
              </w:rPr>
              <w:t>0.26</w:t>
            </w:r>
          </w:p>
        </w:tc>
      </w:tr>
      <w:tr w:rsidR="004F3568" w:rsidRPr="00FE7622" w14:paraId="566917E0" w14:textId="77777777" w:rsidTr="00AF19CC">
        <w:trPr>
          <w:cantSplit/>
        </w:trPr>
        <w:tc>
          <w:tcPr>
            <w:tcW w:w="0" w:type="auto"/>
            <w:vMerge/>
            <w:shd w:val="clear" w:color="auto" w:fill="auto"/>
          </w:tcPr>
          <w:p w14:paraId="2ECB94DD" w14:textId="77777777" w:rsidR="00F026E8" w:rsidRPr="00FE7622" w:rsidRDefault="00F026E8" w:rsidP="00AF19CC">
            <w:pPr>
              <w:pStyle w:val="72TabletextTablesTableFigureBoxstyles"/>
              <w:rPr>
                <w:rFonts w:ascii="Courier New" w:hAnsi="Courier New" w:cs="Courier New"/>
                <w:color w:val="FF0000"/>
                <w:shd w:val="clear" w:color="auto" w:fill="FFFFFF"/>
              </w:rPr>
            </w:pPr>
          </w:p>
        </w:tc>
        <w:tc>
          <w:tcPr>
            <w:tcW w:w="0" w:type="auto"/>
            <w:shd w:val="clear" w:color="auto" w:fill="auto"/>
          </w:tcPr>
          <w:p w14:paraId="531AC14B" w14:textId="5F1005A8" w:rsidR="00F026E8" w:rsidRPr="00FE7622" w:rsidRDefault="00F026E8" w:rsidP="00AF19CC">
            <w:pPr>
              <w:pStyle w:val="72TabletextTablesTableFigureBoxstyles"/>
              <w:rPr>
                <w:rFonts w:ascii="Calibri" w:eastAsia="Calibri" w:hAnsi="Calibri"/>
                <w:color w:val="FF0000"/>
              </w:rPr>
            </w:pPr>
            <w:r w:rsidRPr="00FE7622">
              <w:rPr>
                <w:rFonts w:eastAsia="Calibri"/>
                <w:color w:val="auto"/>
              </w:rPr>
              <w:t xml:space="preserve">3 months </w:t>
            </w:r>
            <w:r w:rsidR="00AA1C0D" w:rsidRPr="00FE7622">
              <w:rPr>
                <w:rFonts w:eastAsia="Calibri"/>
                <w:color w:val="auto"/>
              </w:rPr>
              <w:t>(</w:t>
            </w:r>
            <w:r w:rsidR="00E038BF" w:rsidRPr="00FE7622">
              <w:rPr>
                <w:rFonts w:eastAsia="Calibri"/>
                <w:i/>
                <w:color w:val="auto"/>
              </w:rPr>
              <w:t>n</w:t>
            </w:r>
            <w:r w:rsidRPr="00FE7622">
              <w:rPr>
                <w:rFonts w:eastAsia="Calibri"/>
                <w:color w:val="auto"/>
              </w:rPr>
              <w:t xml:space="preserve">, </w:t>
            </w:r>
            <w:r w:rsidRPr="00842651">
              <w:rPr>
                <w:rFonts w:eastAsia="Calibri"/>
                <w:color w:val="auto"/>
              </w:rPr>
              <w:t>IQR</w:t>
            </w:r>
            <w:r w:rsidR="00AA1C0D" w:rsidRPr="00FE7622">
              <w:rPr>
                <w:rFonts w:eastAsia="Calibri"/>
                <w:color w:val="auto"/>
              </w:rPr>
              <w:t>)</w:t>
            </w:r>
          </w:p>
        </w:tc>
        <w:tc>
          <w:tcPr>
            <w:tcW w:w="0" w:type="auto"/>
            <w:shd w:val="clear" w:color="auto" w:fill="auto"/>
          </w:tcPr>
          <w:p w14:paraId="44764060" w14:textId="77777777" w:rsidR="00F026E8" w:rsidRPr="00FE7622" w:rsidRDefault="00F026E8" w:rsidP="00AF19CC">
            <w:pPr>
              <w:pStyle w:val="72TabletextTablesTableFigureBoxstyles"/>
              <w:rPr>
                <w:rFonts w:ascii="Calibri" w:eastAsia="Calibri" w:hAnsi="Calibri"/>
                <w:color w:val="FF0000"/>
              </w:rPr>
            </w:pPr>
            <w:r w:rsidRPr="00FE7622">
              <w:rPr>
                <w:rFonts w:eastAsia="Calibri"/>
                <w:color w:val="auto"/>
              </w:rPr>
              <w:t>2.9 [54, 1.9–4.9]</w:t>
            </w:r>
          </w:p>
        </w:tc>
        <w:tc>
          <w:tcPr>
            <w:tcW w:w="0" w:type="auto"/>
            <w:shd w:val="clear" w:color="auto" w:fill="auto"/>
          </w:tcPr>
          <w:p w14:paraId="07906C75" w14:textId="77777777" w:rsidR="00F026E8" w:rsidRPr="00FE7622" w:rsidRDefault="00F026E8" w:rsidP="00AF19CC">
            <w:pPr>
              <w:pStyle w:val="72TabletextTablesTableFigureBoxstyles"/>
              <w:rPr>
                <w:rFonts w:eastAsia="Calibri"/>
                <w:color w:val="auto"/>
              </w:rPr>
            </w:pPr>
            <w:r w:rsidRPr="00FE7622">
              <w:rPr>
                <w:rFonts w:eastAsia="Calibri"/>
                <w:color w:val="auto"/>
              </w:rPr>
              <w:t>3.4 [53, 1.7, 7.0]</w:t>
            </w:r>
          </w:p>
        </w:tc>
        <w:tc>
          <w:tcPr>
            <w:tcW w:w="0" w:type="auto"/>
            <w:vMerge/>
            <w:shd w:val="clear" w:color="auto" w:fill="auto"/>
          </w:tcPr>
          <w:p w14:paraId="4A9D8637" w14:textId="77777777" w:rsidR="00F026E8" w:rsidRPr="00FE7622" w:rsidRDefault="00F026E8" w:rsidP="00AF19CC">
            <w:pPr>
              <w:spacing w:line="360" w:lineRule="auto"/>
              <w:rPr>
                <w:rFonts w:eastAsia="Calibri" w:cs="Calibri"/>
                <w:sz w:val="16"/>
                <w:szCs w:val="16"/>
              </w:rPr>
            </w:pPr>
          </w:p>
        </w:tc>
        <w:tc>
          <w:tcPr>
            <w:tcW w:w="0" w:type="auto"/>
            <w:vMerge/>
            <w:shd w:val="clear" w:color="auto" w:fill="auto"/>
          </w:tcPr>
          <w:p w14:paraId="1832D149" w14:textId="77777777" w:rsidR="00F026E8" w:rsidRPr="00FE7622" w:rsidRDefault="00F026E8" w:rsidP="00AF19CC">
            <w:pPr>
              <w:spacing w:line="360" w:lineRule="auto"/>
              <w:rPr>
                <w:rFonts w:eastAsia="Calibri" w:cs="Calibri"/>
                <w:sz w:val="16"/>
                <w:szCs w:val="16"/>
              </w:rPr>
            </w:pPr>
          </w:p>
        </w:tc>
        <w:tc>
          <w:tcPr>
            <w:tcW w:w="0" w:type="auto"/>
            <w:vMerge/>
            <w:shd w:val="clear" w:color="auto" w:fill="auto"/>
          </w:tcPr>
          <w:p w14:paraId="7093A72C" w14:textId="77777777" w:rsidR="00F026E8" w:rsidRPr="00FE7622" w:rsidRDefault="00F026E8" w:rsidP="00AF19CC">
            <w:pPr>
              <w:spacing w:line="360" w:lineRule="auto"/>
              <w:rPr>
                <w:rFonts w:eastAsia="Calibri" w:cs="Calibri"/>
                <w:sz w:val="16"/>
                <w:szCs w:val="16"/>
              </w:rPr>
            </w:pPr>
          </w:p>
        </w:tc>
        <w:tc>
          <w:tcPr>
            <w:tcW w:w="0" w:type="auto"/>
            <w:vMerge/>
            <w:shd w:val="clear" w:color="auto" w:fill="auto"/>
          </w:tcPr>
          <w:p w14:paraId="6B813207" w14:textId="77777777" w:rsidR="00F026E8" w:rsidRPr="00FE7622" w:rsidRDefault="00F026E8" w:rsidP="00AF19CC">
            <w:pPr>
              <w:spacing w:line="360" w:lineRule="auto"/>
              <w:rPr>
                <w:rFonts w:eastAsia="Calibri" w:cs="Calibri"/>
                <w:sz w:val="16"/>
                <w:szCs w:val="16"/>
              </w:rPr>
            </w:pPr>
          </w:p>
        </w:tc>
      </w:tr>
      <w:tr w:rsidR="004F3568" w:rsidRPr="00FE7622" w14:paraId="7D67B46A" w14:textId="77777777" w:rsidTr="00AF19CC">
        <w:trPr>
          <w:cantSplit/>
        </w:trPr>
        <w:tc>
          <w:tcPr>
            <w:tcW w:w="0" w:type="auto"/>
            <w:vMerge/>
            <w:shd w:val="clear" w:color="auto" w:fill="auto"/>
          </w:tcPr>
          <w:p w14:paraId="18C5C46B" w14:textId="77777777" w:rsidR="00F026E8" w:rsidRPr="00FE7622" w:rsidRDefault="00F026E8" w:rsidP="00AF19CC">
            <w:pPr>
              <w:pStyle w:val="72TabletextTablesTableFigureBoxstyles"/>
              <w:rPr>
                <w:rFonts w:ascii="Courier New" w:hAnsi="Courier New" w:cs="Courier New"/>
                <w:color w:val="FF0000"/>
                <w:shd w:val="clear" w:color="auto" w:fill="FFFFFF"/>
              </w:rPr>
            </w:pPr>
          </w:p>
        </w:tc>
        <w:tc>
          <w:tcPr>
            <w:tcW w:w="0" w:type="auto"/>
            <w:shd w:val="clear" w:color="auto" w:fill="auto"/>
          </w:tcPr>
          <w:p w14:paraId="760D00C1" w14:textId="32083127" w:rsidR="00F026E8" w:rsidRPr="00FE7622" w:rsidRDefault="00F026E8" w:rsidP="00AF19CC">
            <w:pPr>
              <w:pStyle w:val="72TabletextTablesTableFigureBoxstyles"/>
              <w:rPr>
                <w:rFonts w:ascii="Calibri" w:eastAsia="Calibri" w:hAnsi="Calibri"/>
                <w:color w:val="FF0000"/>
              </w:rPr>
            </w:pPr>
            <w:r w:rsidRPr="00FE7622">
              <w:rPr>
                <w:rFonts w:eastAsia="Calibri"/>
                <w:color w:val="auto"/>
              </w:rPr>
              <w:t xml:space="preserve">12 months </w:t>
            </w:r>
            <w:r w:rsidR="00AA1C0D" w:rsidRPr="00FE7622">
              <w:rPr>
                <w:rFonts w:eastAsia="Calibri"/>
                <w:color w:val="auto"/>
              </w:rPr>
              <w:t>(</w:t>
            </w:r>
            <w:r w:rsidRPr="00842651">
              <w:rPr>
                <w:rFonts w:eastAsia="Calibri"/>
                <w:color w:val="auto"/>
              </w:rPr>
              <w:t>IQR</w:t>
            </w:r>
            <w:r w:rsidR="00AA1C0D" w:rsidRPr="00FE7622">
              <w:rPr>
                <w:rFonts w:eastAsia="Calibri"/>
                <w:color w:val="auto"/>
              </w:rPr>
              <w:t>)</w:t>
            </w:r>
          </w:p>
        </w:tc>
        <w:tc>
          <w:tcPr>
            <w:tcW w:w="0" w:type="auto"/>
            <w:shd w:val="clear" w:color="auto" w:fill="auto"/>
          </w:tcPr>
          <w:p w14:paraId="6BE2DBAE" w14:textId="77777777" w:rsidR="00F026E8" w:rsidRPr="00FE7622" w:rsidRDefault="00F026E8" w:rsidP="00AF19CC">
            <w:pPr>
              <w:pStyle w:val="72TabletextTablesTableFigureBoxstyles"/>
              <w:rPr>
                <w:rFonts w:ascii="Calibri" w:eastAsia="Calibri" w:hAnsi="Calibri"/>
                <w:color w:val="FF0000"/>
              </w:rPr>
            </w:pPr>
            <w:r w:rsidRPr="00FE7622">
              <w:rPr>
                <w:rFonts w:eastAsia="Calibri"/>
                <w:color w:val="auto"/>
              </w:rPr>
              <w:t>3.0 [49, 2.0–4.9]</w:t>
            </w:r>
          </w:p>
        </w:tc>
        <w:tc>
          <w:tcPr>
            <w:tcW w:w="0" w:type="auto"/>
            <w:shd w:val="clear" w:color="auto" w:fill="auto"/>
          </w:tcPr>
          <w:p w14:paraId="79128DE1" w14:textId="77777777" w:rsidR="00F026E8" w:rsidRPr="00FE7622" w:rsidRDefault="00F026E8" w:rsidP="00AF19CC">
            <w:pPr>
              <w:pStyle w:val="72TabletextTablesTableFigureBoxstyles"/>
              <w:rPr>
                <w:rFonts w:eastAsia="Calibri"/>
                <w:color w:val="auto"/>
              </w:rPr>
            </w:pPr>
            <w:r w:rsidRPr="00FE7622">
              <w:rPr>
                <w:rFonts w:eastAsia="Calibri"/>
                <w:color w:val="auto"/>
              </w:rPr>
              <w:t>2.6 [52, 1.6, 5.0]</w:t>
            </w:r>
          </w:p>
        </w:tc>
        <w:tc>
          <w:tcPr>
            <w:tcW w:w="0" w:type="auto"/>
            <w:vMerge/>
            <w:shd w:val="clear" w:color="auto" w:fill="auto"/>
          </w:tcPr>
          <w:p w14:paraId="57D9F1B0" w14:textId="77777777" w:rsidR="00F026E8" w:rsidRPr="00FE7622" w:rsidRDefault="00F026E8" w:rsidP="00AF19CC">
            <w:pPr>
              <w:spacing w:line="360" w:lineRule="auto"/>
              <w:rPr>
                <w:rFonts w:eastAsia="Calibri" w:cs="Calibri"/>
                <w:sz w:val="16"/>
                <w:szCs w:val="16"/>
              </w:rPr>
            </w:pPr>
          </w:p>
        </w:tc>
        <w:tc>
          <w:tcPr>
            <w:tcW w:w="0" w:type="auto"/>
            <w:vMerge/>
            <w:shd w:val="clear" w:color="auto" w:fill="auto"/>
          </w:tcPr>
          <w:p w14:paraId="5F19DE01" w14:textId="77777777" w:rsidR="00F026E8" w:rsidRPr="00FE7622" w:rsidRDefault="00F026E8" w:rsidP="00AF19CC">
            <w:pPr>
              <w:spacing w:line="360" w:lineRule="auto"/>
              <w:rPr>
                <w:rFonts w:eastAsia="Calibri" w:cs="Calibri"/>
                <w:sz w:val="16"/>
                <w:szCs w:val="16"/>
              </w:rPr>
            </w:pPr>
          </w:p>
        </w:tc>
        <w:tc>
          <w:tcPr>
            <w:tcW w:w="0" w:type="auto"/>
            <w:vMerge/>
            <w:shd w:val="clear" w:color="auto" w:fill="auto"/>
          </w:tcPr>
          <w:p w14:paraId="7E66A9DF" w14:textId="77777777" w:rsidR="00F026E8" w:rsidRPr="00FE7622" w:rsidRDefault="00F026E8" w:rsidP="00AF19CC">
            <w:pPr>
              <w:spacing w:line="360" w:lineRule="auto"/>
              <w:rPr>
                <w:rFonts w:eastAsia="Calibri" w:cs="Calibri"/>
                <w:sz w:val="16"/>
                <w:szCs w:val="16"/>
              </w:rPr>
            </w:pPr>
          </w:p>
        </w:tc>
        <w:tc>
          <w:tcPr>
            <w:tcW w:w="0" w:type="auto"/>
            <w:vMerge/>
            <w:shd w:val="clear" w:color="auto" w:fill="auto"/>
          </w:tcPr>
          <w:p w14:paraId="438FC43A" w14:textId="77777777" w:rsidR="00F026E8" w:rsidRPr="00FE7622" w:rsidRDefault="00F026E8" w:rsidP="00AF19CC">
            <w:pPr>
              <w:spacing w:line="360" w:lineRule="auto"/>
              <w:rPr>
                <w:rFonts w:eastAsia="Calibri" w:cs="Calibri"/>
                <w:sz w:val="16"/>
                <w:szCs w:val="16"/>
              </w:rPr>
            </w:pPr>
          </w:p>
        </w:tc>
      </w:tr>
      <w:tr w:rsidR="00F026E8" w:rsidRPr="00FE7622" w14:paraId="4EAEE181" w14:textId="77777777" w:rsidTr="00AF19CC">
        <w:trPr>
          <w:cantSplit/>
        </w:trPr>
        <w:tc>
          <w:tcPr>
            <w:tcW w:w="0" w:type="auto"/>
            <w:gridSpan w:val="8"/>
            <w:shd w:val="clear" w:color="auto" w:fill="auto"/>
          </w:tcPr>
          <w:p w14:paraId="2299FC07" w14:textId="6E487002" w:rsidR="00B048FE" w:rsidRPr="00FE7622" w:rsidRDefault="00F026E8" w:rsidP="00AF19CC">
            <w:pPr>
              <w:pStyle w:val="75TablenotesTablesTableFigureBoxstyles"/>
              <w:rPr>
                <w:lang w:val="en-GB"/>
              </w:rPr>
            </w:pPr>
            <w:bookmarkStart w:id="95" w:name="_Hlk69467479"/>
            <w:r w:rsidRPr="00FE7622">
              <w:rPr>
                <w:lang w:val="en-GB"/>
              </w:rPr>
              <w:t>NEADL</w:t>
            </w:r>
            <w:r w:rsidR="004804C9" w:rsidRPr="00FE7622">
              <w:rPr>
                <w:lang w:val="en-GB"/>
              </w:rPr>
              <w:t>,</w:t>
            </w:r>
            <w:r w:rsidRPr="00FE7622">
              <w:rPr>
                <w:lang w:val="en-GB"/>
              </w:rPr>
              <w:t xml:space="preserve"> Nottingham </w:t>
            </w:r>
            <w:r w:rsidR="00486FFA" w:rsidRPr="00FE7622">
              <w:rPr>
                <w:lang w:val="en-GB"/>
              </w:rPr>
              <w:t>Extended Activities of Daily Living</w:t>
            </w:r>
            <w:r w:rsidRPr="00FE7622">
              <w:rPr>
                <w:lang w:val="en-GB"/>
              </w:rPr>
              <w:t>.</w:t>
            </w:r>
          </w:p>
          <w:p w14:paraId="12908E46" w14:textId="76452C62" w:rsidR="00F026E8" w:rsidRPr="00FE7622" w:rsidRDefault="00F026E8" w:rsidP="00AF19CC">
            <w:pPr>
              <w:pStyle w:val="75TablenotesTablesTableFigureBoxstyles"/>
              <w:rPr>
                <w:rFonts w:eastAsia="Calibri" w:cs="Calibri"/>
                <w:sz w:val="16"/>
                <w:szCs w:val="16"/>
                <w:lang w:val="en-GB"/>
              </w:rPr>
            </w:pPr>
            <w:r w:rsidRPr="00FE7622">
              <w:rPr>
                <w:lang w:val="en-GB"/>
              </w:rPr>
              <w:t xml:space="preserve">Adjusted analyses adjusted for age, sex, </w:t>
            </w:r>
            <w:r w:rsidRPr="00842651">
              <w:rPr>
                <w:lang w:val="en-GB"/>
              </w:rPr>
              <w:t>SPPB</w:t>
            </w:r>
            <w:r w:rsidRPr="00FE7622">
              <w:rPr>
                <w:lang w:val="en-GB"/>
              </w:rPr>
              <w:t xml:space="preserve">, Charlson Comorbidity </w:t>
            </w:r>
            <w:r w:rsidR="0003188E" w:rsidRPr="00FE7622">
              <w:rPr>
                <w:lang w:val="en-GB"/>
              </w:rPr>
              <w:t>Index s</w:t>
            </w:r>
            <w:r w:rsidRPr="00FE7622">
              <w:rPr>
                <w:lang w:val="en-GB"/>
              </w:rPr>
              <w:t>core and baseline handgrip strength</w:t>
            </w:r>
            <w:bookmarkEnd w:id="95"/>
            <w:r w:rsidR="00E97D6F" w:rsidRPr="00FE7622">
              <w:rPr>
                <w:lang w:val="en-GB"/>
              </w:rPr>
              <w:t>.</w:t>
            </w:r>
          </w:p>
        </w:tc>
      </w:tr>
    </w:tbl>
    <w:p w14:paraId="69E012B7" w14:textId="2519A148" w:rsidR="00E038BF" w:rsidRPr="00FE7622" w:rsidRDefault="00E038BF" w:rsidP="00C20ABC">
      <w:pPr>
        <w:pStyle w:val="52AheadHeadingsHeadingstyles"/>
      </w:pPr>
      <w:bookmarkStart w:id="96" w:name="_Toc79684528"/>
      <w:r w:rsidRPr="00FE7622">
        <w:t>Safety measures and adverse events</w:t>
      </w:r>
      <w:bookmarkEnd w:id="96"/>
    </w:p>
    <w:p w14:paraId="00A4D838" w14:textId="0996752B" w:rsidR="00F026E8" w:rsidRPr="00FE7622" w:rsidRDefault="00E038BF" w:rsidP="00C20ABC">
      <w:pPr>
        <w:pStyle w:val="602TextfoTextstylesTextstyles"/>
        <w:rPr>
          <w:color w:val="auto"/>
        </w:rPr>
      </w:pPr>
      <w:bookmarkStart w:id="97" w:name="_Hlk64643697"/>
      <w:r w:rsidRPr="00FE7622">
        <w:rPr>
          <w:i/>
          <w:color w:val="FF0000"/>
        </w:rPr>
        <w:t>Table 9</w:t>
      </w:r>
      <w:r w:rsidR="00F026E8" w:rsidRPr="00FE7622">
        <w:rPr>
          <w:color w:val="auto"/>
        </w:rPr>
        <w:t xml:space="preserve"> shows </w:t>
      </w:r>
      <w:r w:rsidR="00D528EC" w:rsidRPr="00FE7622">
        <w:rPr>
          <w:color w:val="auto"/>
        </w:rPr>
        <w:t xml:space="preserve">the </w:t>
      </w:r>
      <w:r w:rsidR="00F026E8" w:rsidRPr="00FE7622">
        <w:rPr>
          <w:color w:val="auto"/>
        </w:rPr>
        <w:t xml:space="preserve">key prespecified adverse events for the </w:t>
      </w:r>
      <w:r w:rsidR="00D528EC" w:rsidRPr="00FE7622">
        <w:rPr>
          <w:color w:val="auto"/>
        </w:rPr>
        <w:t xml:space="preserve">analysis of </w:t>
      </w:r>
      <w:r w:rsidR="00F026E8" w:rsidRPr="00FE7622">
        <w:rPr>
          <w:color w:val="auto"/>
        </w:rPr>
        <w:t xml:space="preserve">perindopril </w:t>
      </w:r>
      <w:r w:rsidR="00D528EC" w:rsidRPr="00FE7622">
        <w:rPr>
          <w:color w:val="auto"/>
        </w:rPr>
        <w:t>compared with</w:t>
      </w:r>
      <w:r w:rsidR="00F026E8" w:rsidRPr="00FE7622">
        <w:rPr>
          <w:color w:val="auto"/>
        </w:rPr>
        <w:t xml:space="preserve"> placebo. One death (due to acute leukaemia) was noted in the perindopril arm. </w:t>
      </w:r>
      <w:r w:rsidRPr="00FE7622">
        <w:rPr>
          <w:i/>
          <w:color w:val="FF0000"/>
        </w:rPr>
        <w:t>Figure 8</w:t>
      </w:r>
      <w:r w:rsidR="00F026E8" w:rsidRPr="00FE7622">
        <w:rPr>
          <w:color w:val="auto"/>
        </w:rPr>
        <w:t xml:space="preserve"> shows changes in serum sodium, potassium and creatinine</w:t>
      </w:r>
      <w:r w:rsidR="00D528EC" w:rsidRPr="00FE7622">
        <w:rPr>
          <w:color w:val="auto"/>
        </w:rPr>
        <w:t xml:space="preserve"> levels</w:t>
      </w:r>
      <w:r w:rsidR="00F026E8" w:rsidRPr="00FE7622">
        <w:rPr>
          <w:color w:val="auto"/>
        </w:rPr>
        <w:t xml:space="preserve"> in the perindopril and placebo </w:t>
      </w:r>
      <w:r w:rsidR="00E821C7" w:rsidRPr="00FE7622">
        <w:rPr>
          <w:color w:val="auto"/>
        </w:rPr>
        <w:t>groups</w:t>
      </w:r>
      <w:r w:rsidR="00F026E8" w:rsidRPr="00FE7622">
        <w:rPr>
          <w:color w:val="auto"/>
        </w:rPr>
        <w:t xml:space="preserve">. A fall in sodium and a rise in potassium were noted in the first </w:t>
      </w:r>
      <w:r w:rsidR="004B1FFD" w:rsidRPr="00FE7622">
        <w:rPr>
          <w:color w:val="auto"/>
        </w:rPr>
        <w:t>3</w:t>
      </w:r>
      <w:r w:rsidR="00F026E8" w:rsidRPr="00FE7622">
        <w:rPr>
          <w:color w:val="auto"/>
        </w:rPr>
        <w:t xml:space="preserve"> months of treatment, consistent with the known effects of </w:t>
      </w:r>
      <w:r w:rsidR="00F026E8" w:rsidRPr="00842651">
        <w:rPr>
          <w:color w:val="auto"/>
        </w:rPr>
        <w:t>ACEi</w:t>
      </w:r>
      <w:r w:rsidR="00F026E8" w:rsidRPr="00FE7622">
        <w:rPr>
          <w:color w:val="auto"/>
        </w:rPr>
        <w:t>, but serum creatinine remained stable. Hyperkalemia and important rises in serum creatinine were infrequent, but seven participants in the perindopril group experienced hyponatremia on at least one test during the trial.</w:t>
      </w:r>
      <w:bookmarkEnd w:id="97"/>
    </w:p>
    <w:p w14:paraId="4F07961D" w14:textId="667107B9" w:rsidR="00F026E8" w:rsidRPr="00FE7622" w:rsidRDefault="00E038BF" w:rsidP="00F026E8">
      <w:pPr>
        <w:pStyle w:val="70TablelegendTablesTableFigureBoxstyles"/>
        <w:rPr>
          <w:lang w:val="en-GB"/>
        </w:rPr>
      </w:pPr>
      <w:r w:rsidRPr="00FE7622">
        <w:rPr>
          <w:b/>
        </w:rPr>
        <w:t>TABLE 9</w:t>
      </w:r>
      <w:r w:rsidRPr="00FE7622">
        <w:rPr>
          <w:b/>
        </w:rPr>
        <w:t> </w:t>
      </w:r>
      <w:r w:rsidRPr="00E038BF">
        <w:rPr>
          <w:b/>
          <w:color w:val="FF00FF"/>
          <w:sz w:val="24"/>
        </w:rPr>
        <w:t>[18]</w:t>
      </w:r>
      <w:commentRangeStart w:id="98"/>
      <w:r w:rsidR="00F026E8" w:rsidRPr="00FE7622">
        <w:rPr>
          <w:lang w:val="en-GB"/>
        </w:rPr>
        <w:t>Selected key adverse outcomes of interest</w:t>
      </w:r>
      <w:r w:rsidR="006A6DF9" w:rsidRPr="00FE7622">
        <w:rPr>
          <w:lang w:val="en-GB"/>
        </w:rPr>
        <w:t>:</w:t>
      </w:r>
      <w:r w:rsidR="00F026E8" w:rsidRPr="00FE7622">
        <w:rPr>
          <w:lang w:val="en-GB"/>
        </w:rPr>
        <w:t xml:space="preserve"> </w:t>
      </w:r>
      <w:r w:rsidR="006A6DF9" w:rsidRPr="00FE7622">
        <w:rPr>
          <w:lang w:val="en-GB"/>
        </w:rPr>
        <w:t>p</w:t>
      </w:r>
      <w:r w:rsidR="00F026E8" w:rsidRPr="00FE7622">
        <w:rPr>
          <w:lang w:val="en-GB"/>
        </w:rPr>
        <w:t>erindopril vs</w:t>
      </w:r>
      <w:r w:rsidR="006A6DF9" w:rsidRPr="00FE7622">
        <w:rPr>
          <w:lang w:val="en-GB"/>
        </w:rPr>
        <w:t>.</w:t>
      </w:r>
      <w:r w:rsidR="00F026E8" w:rsidRPr="00FE7622">
        <w:rPr>
          <w:lang w:val="en-GB"/>
        </w:rPr>
        <w:t xml:space="preserve"> placebo analysis</w:t>
      </w:r>
      <w:commentRangeEnd w:id="98"/>
      <w:r w:rsidR="00B93A6A" w:rsidRPr="00FE7622">
        <w:rPr>
          <w:rStyle w:val="CommentReference"/>
          <w:rFonts w:ascii="Times New Roman" w:hAnsi="Times New Roman" w:cs="Times New Roman"/>
          <w:color w:val="auto"/>
        </w:rPr>
        <w:commentReference w:id="98"/>
      </w:r>
    </w:p>
    <w:tbl>
      <w:tblPr>
        <w:tblW w:w="0" w:type="auto"/>
        <w:tblCellMar>
          <w:top w:w="40" w:type="dxa"/>
          <w:left w:w="60" w:type="dxa"/>
          <w:bottom w:w="40" w:type="dxa"/>
          <w:right w:w="60" w:type="dxa"/>
        </w:tblCellMar>
        <w:tblLook w:val="04A0" w:firstRow="1" w:lastRow="0" w:firstColumn="1" w:lastColumn="0" w:noHBand="0" w:noVBand="1"/>
      </w:tblPr>
      <w:tblGrid>
        <w:gridCol w:w="5989"/>
        <w:gridCol w:w="1579"/>
        <w:gridCol w:w="1334"/>
      </w:tblGrid>
      <w:tr w:rsidR="00F026E8" w:rsidRPr="00FE7622" w14:paraId="780D1896" w14:textId="77777777" w:rsidTr="00AF19CC">
        <w:trPr>
          <w:cantSplit/>
        </w:trPr>
        <w:tc>
          <w:tcPr>
            <w:tcW w:w="0" w:type="auto"/>
            <w:shd w:val="clear" w:color="auto" w:fill="auto"/>
          </w:tcPr>
          <w:p w14:paraId="7116B219" w14:textId="194240D1" w:rsidR="00F026E8" w:rsidRPr="00FE7622" w:rsidRDefault="00E038BF" w:rsidP="00AF19CC">
            <w:pPr>
              <w:pStyle w:val="710TableheadTablesTableFigureBoxstyles"/>
              <w:rPr>
                <w:rFonts w:eastAsia="Calibri"/>
              </w:rPr>
            </w:pPr>
            <w:r w:rsidRPr="00FE7622">
              <w:rPr>
                <w:rFonts w:eastAsia="Calibri"/>
              </w:rPr>
              <w:t>Outcome</w:t>
            </w:r>
          </w:p>
        </w:tc>
        <w:tc>
          <w:tcPr>
            <w:tcW w:w="0" w:type="auto"/>
            <w:shd w:val="clear" w:color="auto" w:fill="auto"/>
          </w:tcPr>
          <w:p w14:paraId="42873819" w14:textId="1DBD4807" w:rsidR="00F026E8" w:rsidRPr="00FE7622" w:rsidRDefault="00E038BF" w:rsidP="00AF19CC">
            <w:pPr>
              <w:pStyle w:val="710TableheadTablesTableFigureBoxstyles"/>
              <w:rPr>
                <w:rFonts w:eastAsia="Calibri"/>
              </w:rPr>
            </w:pPr>
            <w:r w:rsidRPr="00FE7622">
              <w:rPr>
                <w:rFonts w:eastAsia="Calibri"/>
              </w:rPr>
              <w:t>Perindopril (</w:t>
            </w:r>
            <w:r w:rsidRPr="00FE7622">
              <w:rPr>
                <w:rFonts w:eastAsia="Calibri"/>
                <w:i/>
              </w:rPr>
              <w:t>n</w:t>
            </w:r>
            <w:r w:rsidRPr="00FE7622">
              <w:rPr>
                <w:rFonts w:eastAsia="Calibri"/>
              </w:rPr>
              <w:t> = 73)</w:t>
            </w:r>
          </w:p>
        </w:tc>
        <w:tc>
          <w:tcPr>
            <w:tcW w:w="0" w:type="auto"/>
            <w:shd w:val="clear" w:color="auto" w:fill="auto"/>
          </w:tcPr>
          <w:p w14:paraId="3E6D095D" w14:textId="0180ED91" w:rsidR="00F026E8" w:rsidRPr="00FE7622" w:rsidRDefault="00E038BF" w:rsidP="00AF19CC">
            <w:pPr>
              <w:pStyle w:val="710TableheadTablesTableFigureBoxstyles"/>
              <w:rPr>
                <w:rFonts w:eastAsia="Calibri"/>
              </w:rPr>
            </w:pPr>
            <w:r w:rsidRPr="00FE7622">
              <w:rPr>
                <w:rFonts w:eastAsia="Calibri"/>
              </w:rPr>
              <w:t>Placebo (</w:t>
            </w:r>
            <w:r w:rsidRPr="00FE7622">
              <w:rPr>
                <w:rFonts w:eastAsia="Calibri"/>
                <w:i/>
              </w:rPr>
              <w:t>n</w:t>
            </w:r>
            <w:r w:rsidRPr="00FE7622">
              <w:rPr>
                <w:rFonts w:eastAsia="Calibri"/>
              </w:rPr>
              <w:t> = 72)</w:t>
            </w:r>
          </w:p>
        </w:tc>
      </w:tr>
      <w:tr w:rsidR="00F026E8" w:rsidRPr="00FE7622" w14:paraId="67B5ED4A" w14:textId="77777777" w:rsidTr="00AF19CC">
        <w:trPr>
          <w:cantSplit/>
        </w:trPr>
        <w:tc>
          <w:tcPr>
            <w:tcW w:w="0" w:type="auto"/>
            <w:shd w:val="clear" w:color="auto" w:fill="auto"/>
          </w:tcPr>
          <w:p w14:paraId="29753099" w14:textId="39CB5B08" w:rsidR="00F026E8" w:rsidRPr="00FE7622" w:rsidRDefault="00AD7C19" w:rsidP="00AF19CC">
            <w:pPr>
              <w:pStyle w:val="72TabletextTablesTableFigureBoxstyles"/>
              <w:rPr>
                <w:rFonts w:eastAsia="Calibri"/>
              </w:rPr>
            </w:pPr>
            <w:r w:rsidRPr="00FE7622">
              <w:rPr>
                <w:rFonts w:eastAsia="Calibri"/>
                <w:color w:val="auto"/>
              </w:rPr>
              <w:t>Deaths (all) (%)</w:t>
            </w:r>
          </w:p>
        </w:tc>
        <w:tc>
          <w:tcPr>
            <w:tcW w:w="0" w:type="auto"/>
            <w:shd w:val="clear" w:color="auto" w:fill="auto"/>
          </w:tcPr>
          <w:p w14:paraId="0FD62C09" w14:textId="2D26BEE5" w:rsidR="00F026E8" w:rsidRPr="00FE7622" w:rsidRDefault="00F026E8" w:rsidP="00AF19CC">
            <w:pPr>
              <w:pStyle w:val="72TabletextTablesTableFigureBoxstyles"/>
              <w:rPr>
                <w:rFonts w:eastAsia="Calibri"/>
              </w:rPr>
            </w:pPr>
            <w:r w:rsidRPr="00FE7622">
              <w:rPr>
                <w:rFonts w:eastAsia="Calibri"/>
                <w:color w:val="auto"/>
              </w:rPr>
              <w:t>1 (1)</w:t>
            </w:r>
          </w:p>
        </w:tc>
        <w:tc>
          <w:tcPr>
            <w:tcW w:w="0" w:type="auto"/>
            <w:shd w:val="clear" w:color="auto" w:fill="auto"/>
          </w:tcPr>
          <w:p w14:paraId="26640F91" w14:textId="77777777" w:rsidR="00F026E8" w:rsidRPr="00FE7622" w:rsidRDefault="00F026E8" w:rsidP="00AF19CC">
            <w:pPr>
              <w:pStyle w:val="72TabletextTablesTableFigureBoxstyles"/>
              <w:rPr>
                <w:rFonts w:eastAsia="Calibri"/>
                <w:color w:val="auto"/>
              </w:rPr>
            </w:pPr>
            <w:r w:rsidRPr="00FE7622">
              <w:rPr>
                <w:rFonts w:eastAsia="Calibri"/>
                <w:color w:val="auto"/>
              </w:rPr>
              <w:t>0 (0)</w:t>
            </w:r>
          </w:p>
        </w:tc>
      </w:tr>
      <w:tr w:rsidR="00F026E8" w:rsidRPr="00FE7622" w14:paraId="0B901A52" w14:textId="77777777" w:rsidTr="00AF19CC">
        <w:trPr>
          <w:cantSplit/>
        </w:trPr>
        <w:tc>
          <w:tcPr>
            <w:tcW w:w="0" w:type="auto"/>
            <w:shd w:val="clear" w:color="auto" w:fill="auto"/>
          </w:tcPr>
          <w:p w14:paraId="495D11E4" w14:textId="77777777" w:rsidR="00F026E8" w:rsidRPr="00FE7622" w:rsidRDefault="00F026E8" w:rsidP="00AF19CC">
            <w:pPr>
              <w:pStyle w:val="72TabletextTablesTableFigureBoxstyles"/>
              <w:rPr>
                <w:rFonts w:eastAsia="Calibri"/>
              </w:rPr>
            </w:pPr>
            <w:r w:rsidRPr="00FE7622">
              <w:rPr>
                <w:rFonts w:eastAsia="Calibri"/>
                <w:color w:val="auto"/>
              </w:rPr>
              <w:t>Participants with fragility fractures (distal radius, vertebra or neck of femur) (%)</w:t>
            </w:r>
          </w:p>
        </w:tc>
        <w:tc>
          <w:tcPr>
            <w:tcW w:w="0" w:type="auto"/>
            <w:shd w:val="clear" w:color="auto" w:fill="auto"/>
          </w:tcPr>
          <w:p w14:paraId="128421C9" w14:textId="77777777" w:rsidR="00F026E8" w:rsidRPr="00FE7622" w:rsidRDefault="00F026E8" w:rsidP="00AF19CC">
            <w:pPr>
              <w:pStyle w:val="72TabletextTablesTableFigureBoxstyles"/>
              <w:rPr>
                <w:rFonts w:eastAsia="Calibri"/>
              </w:rPr>
            </w:pPr>
            <w:r w:rsidRPr="00FE7622">
              <w:rPr>
                <w:rFonts w:eastAsia="Calibri"/>
                <w:color w:val="auto"/>
              </w:rPr>
              <w:t>3 (4)</w:t>
            </w:r>
          </w:p>
        </w:tc>
        <w:tc>
          <w:tcPr>
            <w:tcW w:w="0" w:type="auto"/>
            <w:shd w:val="clear" w:color="auto" w:fill="auto"/>
          </w:tcPr>
          <w:p w14:paraId="7210DA35" w14:textId="77777777" w:rsidR="00F026E8" w:rsidRPr="00FE7622" w:rsidRDefault="00F026E8" w:rsidP="00AF19CC">
            <w:pPr>
              <w:pStyle w:val="72TabletextTablesTableFigureBoxstyles"/>
              <w:rPr>
                <w:rFonts w:eastAsia="Calibri"/>
                <w:color w:val="auto"/>
              </w:rPr>
            </w:pPr>
            <w:r w:rsidRPr="00FE7622">
              <w:rPr>
                <w:rFonts w:eastAsia="Calibri"/>
                <w:color w:val="auto"/>
              </w:rPr>
              <w:t>1 (1)</w:t>
            </w:r>
          </w:p>
        </w:tc>
      </w:tr>
      <w:tr w:rsidR="00F026E8" w:rsidRPr="00FE7622" w14:paraId="0B0B0168" w14:textId="77777777" w:rsidTr="00AF19CC">
        <w:trPr>
          <w:cantSplit/>
        </w:trPr>
        <w:tc>
          <w:tcPr>
            <w:tcW w:w="0" w:type="auto"/>
            <w:shd w:val="clear" w:color="auto" w:fill="auto"/>
          </w:tcPr>
          <w:p w14:paraId="324E6108" w14:textId="77777777" w:rsidR="00F026E8" w:rsidRPr="00FE7622" w:rsidRDefault="00F026E8" w:rsidP="00AF19CC">
            <w:pPr>
              <w:pStyle w:val="72TabletextTablesTableFigureBoxstyles"/>
              <w:rPr>
                <w:rFonts w:eastAsia="Calibri"/>
              </w:rPr>
            </w:pPr>
            <w:r w:rsidRPr="00FE7622">
              <w:rPr>
                <w:rFonts w:eastAsia="Calibri"/>
                <w:color w:val="auto"/>
              </w:rPr>
              <w:t>Number of participants with at least one fall (%)</w:t>
            </w:r>
          </w:p>
        </w:tc>
        <w:tc>
          <w:tcPr>
            <w:tcW w:w="0" w:type="auto"/>
            <w:shd w:val="clear" w:color="auto" w:fill="auto"/>
          </w:tcPr>
          <w:p w14:paraId="03ED2DF3" w14:textId="77777777" w:rsidR="00F026E8" w:rsidRPr="00FE7622" w:rsidRDefault="00F026E8" w:rsidP="00AF19CC">
            <w:pPr>
              <w:pStyle w:val="72TabletextTablesTableFigureBoxstyles"/>
              <w:rPr>
                <w:rFonts w:eastAsia="Calibri"/>
              </w:rPr>
            </w:pPr>
            <w:r w:rsidRPr="00FE7622">
              <w:rPr>
                <w:rFonts w:eastAsia="Calibri"/>
                <w:color w:val="auto"/>
              </w:rPr>
              <w:t>30 (41)</w:t>
            </w:r>
          </w:p>
        </w:tc>
        <w:tc>
          <w:tcPr>
            <w:tcW w:w="0" w:type="auto"/>
            <w:shd w:val="clear" w:color="auto" w:fill="auto"/>
          </w:tcPr>
          <w:p w14:paraId="3D08860A" w14:textId="77777777" w:rsidR="00F026E8" w:rsidRPr="00FE7622" w:rsidRDefault="00F026E8" w:rsidP="00AF19CC">
            <w:pPr>
              <w:pStyle w:val="72TabletextTablesTableFigureBoxstyles"/>
              <w:rPr>
                <w:rFonts w:eastAsia="Calibri"/>
                <w:color w:val="auto"/>
              </w:rPr>
            </w:pPr>
            <w:r w:rsidRPr="00FE7622">
              <w:rPr>
                <w:rFonts w:eastAsia="Calibri"/>
                <w:color w:val="auto"/>
              </w:rPr>
              <w:t>37 (51)</w:t>
            </w:r>
          </w:p>
        </w:tc>
      </w:tr>
      <w:tr w:rsidR="00F026E8" w:rsidRPr="00FE7622" w14:paraId="7F12F297" w14:textId="77777777" w:rsidTr="00AF19CC">
        <w:trPr>
          <w:cantSplit/>
        </w:trPr>
        <w:tc>
          <w:tcPr>
            <w:tcW w:w="0" w:type="auto"/>
            <w:shd w:val="clear" w:color="auto" w:fill="auto"/>
          </w:tcPr>
          <w:p w14:paraId="4041A91B" w14:textId="77777777" w:rsidR="00F026E8" w:rsidRPr="00FE7622" w:rsidRDefault="00F026E8" w:rsidP="00AF19CC">
            <w:pPr>
              <w:pStyle w:val="72TabletextTablesTableFigureBoxstyles"/>
              <w:rPr>
                <w:rFonts w:eastAsia="Calibri"/>
              </w:rPr>
            </w:pPr>
            <w:r w:rsidRPr="00FE7622">
              <w:rPr>
                <w:rFonts w:eastAsia="Calibri"/>
                <w:color w:val="auto"/>
              </w:rPr>
              <w:t>Number of falls</w:t>
            </w:r>
          </w:p>
        </w:tc>
        <w:tc>
          <w:tcPr>
            <w:tcW w:w="0" w:type="auto"/>
            <w:shd w:val="clear" w:color="auto" w:fill="auto"/>
          </w:tcPr>
          <w:p w14:paraId="32013EBC" w14:textId="77777777" w:rsidR="00F026E8" w:rsidRPr="00FE7622" w:rsidRDefault="00F026E8" w:rsidP="00AF19CC">
            <w:pPr>
              <w:pStyle w:val="72TabletextTablesTableFigureBoxstyles"/>
              <w:rPr>
                <w:rFonts w:eastAsia="Calibri"/>
              </w:rPr>
            </w:pPr>
            <w:r w:rsidRPr="00FE7622">
              <w:rPr>
                <w:rFonts w:eastAsia="Calibri"/>
                <w:color w:val="auto"/>
              </w:rPr>
              <w:t>121</w:t>
            </w:r>
          </w:p>
        </w:tc>
        <w:tc>
          <w:tcPr>
            <w:tcW w:w="0" w:type="auto"/>
            <w:shd w:val="clear" w:color="auto" w:fill="auto"/>
          </w:tcPr>
          <w:p w14:paraId="74D08889" w14:textId="77777777" w:rsidR="00F026E8" w:rsidRPr="00FE7622" w:rsidRDefault="00F026E8" w:rsidP="00AF19CC">
            <w:pPr>
              <w:pStyle w:val="72TabletextTablesTableFigureBoxstyles"/>
              <w:rPr>
                <w:rFonts w:eastAsia="Calibri"/>
                <w:color w:val="auto"/>
              </w:rPr>
            </w:pPr>
            <w:r w:rsidRPr="00FE7622">
              <w:rPr>
                <w:rFonts w:eastAsia="Calibri"/>
                <w:color w:val="auto"/>
              </w:rPr>
              <w:t>132</w:t>
            </w:r>
          </w:p>
        </w:tc>
      </w:tr>
      <w:tr w:rsidR="00F026E8" w:rsidRPr="00FE7622" w14:paraId="2DD3E432" w14:textId="77777777" w:rsidTr="00AF19CC">
        <w:trPr>
          <w:cantSplit/>
        </w:trPr>
        <w:tc>
          <w:tcPr>
            <w:tcW w:w="0" w:type="auto"/>
            <w:shd w:val="clear" w:color="auto" w:fill="auto"/>
          </w:tcPr>
          <w:p w14:paraId="14F190C1" w14:textId="77777777" w:rsidR="00F026E8" w:rsidRPr="00FE7622" w:rsidRDefault="00F026E8" w:rsidP="00AF19CC">
            <w:pPr>
              <w:pStyle w:val="72TabletextTablesTableFigureBoxstyles"/>
              <w:rPr>
                <w:rFonts w:eastAsia="Calibri"/>
              </w:rPr>
            </w:pPr>
            <w:r w:rsidRPr="00FE7622">
              <w:rPr>
                <w:rFonts w:eastAsia="Calibri"/>
                <w:color w:val="auto"/>
              </w:rPr>
              <w:t xml:space="preserve">Falls rate (per year) (95% </w:t>
            </w:r>
            <w:r w:rsidRPr="00842651">
              <w:rPr>
                <w:rFonts w:eastAsia="Calibri"/>
                <w:color w:val="auto"/>
              </w:rPr>
              <w:t>CI</w:t>
            </w:r>
            <w:r w:rsidRPr="00FE7622">
              <w:rPr>
                <w:rFonts w:eastAsia="Calibri"/>
                <w:color w:val="auto"/>
              </w:rPr>
              <w:t>)</w:t>
            </w:r>
          </w:p>
        </w:tc>
        <w:tc>
          <w:tcPr>
            <w:tcW w:w="0" w:type="auto"/>
            <w:shd w:val="clear" w:color="auto" w:fill="auto"/>
          </w:tcPr>
          <w:p w14:paraId="124B065F" w14:textId="77777777" w:rsidR="00F026E8" w:rsidRPr="00FE7622" w:rsidRDefault="00F026E8" w:rsidP="00AF19CC">
            <w:pPr>
              <w:pStyle w:val="72TabletextTablesTableFigureBoxstyles"/>
              <w:rPr>
                <w:rFonts w:eastAsia="Calibri"/>
              </w:rPr>
            </w:pPr>
            <w:r w:rsidRPr="00FE7622">
              <w:rPr>
                <w:rFonts w:eastAsia="Calibri"/>
                <w:color w:val="auto"/>
              </w:rPr>
              <w:t>2.0 (1.1, 3.0)</w:t>
            </w:r>
          </w:p>
        </w:tc>
        <w:tc>
          <w:tcPr>
            <w:tcW w:w="0" w:type="auto"/>
            <w:shd w:val="clear" w:color="auto" w:fill="auto"/>
          </w:tcPr>
          <w:p w14:paraId="63401E36" w14:textId="77777777" w:rsidR="00F026E8" w:rsidRPr="00FE7622" w:rsidRDefault="00F026E8" w:rsidP="00AF19CC">
            <w:pPr>
              <w:pStyle w:val="72TabletextTablesTableFigureBoxstyles"/>
              <w:rPr>
                <w:rFonts w:eastAsia="Calibri"/>
                <w:color w:val="auto"/>
              </w:rPr>
            </w:pPr>
            <w:r w:rsidRPr="00FE7622">
              <w:rPr>
                <w:rFonts w:eastAsia="Calibri"/>
                <w:color w:val="auto"/>
              </w:rPr>
              <w:t>2.8 (0.6, 5.1)</w:t>
            </w:r>
          </w:p>
        </w:tc>
      </w:tr>
      <w:tr w:rsidR="00F026E8" w:rsidRPr="00FE7622" w14:paraId="4DE64D19" w14:textId="77777777" w:rsidTr="00AF19CC">
        <w:trPr>
          <w:cantSplit/>
        </w:trPr>
        <w:tc>
          <w:tcPr>
            <w:tcW w:w="0" w:type="auto"/>
            <w:shd w:val="clear" w:color="auto" w:fill="auto"/>
          </w:tcPr>
          <w:p w14:paraId="34E61F31" w14:textId="216B5714" w:rsidR="00F026E8" w:rsidRPr="00FE7622" w:rsidRDefault="00F026E8" w:rsidP="00AF19CC">
            <w:pPr>
              <w:pStyle w:val="72TabletextTablesTableFigureBoxstyles"/>
              <w:rPr>
                <w:rFonts w:eastAsia="Calibri"/>
              </w:rPr>
            </w:pPr>
            <w:r w:rsidRPr="00FE7622">
              <w:rPr>
                <w:color w:val="auto"/>
              </w:rPr>
              <w:t xml:space="preserve">At least one potassium measurement </w:t>
            </w:r>
            <w:r w:rsidR="003E534E" w:rsidRPr="00FE7622">
              <w:rPr>
                <w:color w:val="auto"/>
              </w:rPr>
              <w:t xml:space="preserve">of </w:t>
            </w:r>
            <w:r w:rsidR="006A6DF9" w:rsidRPr="00FE7622">
              <w:rPr>
                <w:color w:val="auto"/>
              </w:rPr>
              <w:t>≥ </w:t>
            </w:r>
            <w:r w:rsidRPr="00FE7622">
              <w:rPr>
                <w:color w:val="auto"/>
              </w:rPr>
              <w:t>5.5</w:t>
            </w:r>
            <w:r w:rsidR="006A6DF9" w:rsidRPr="00FE7622">
              <w:rPr>
                <w:color w:val="auto"/>
              </w:rPr>
              <w:t> </w:t>
            </w:r>
            <w:r w:rsidRPr="00FE7622">
              <w:rPr>
                <w:color w:val="auto"/>
              </w:rPr>
              <w:t>mmol/</w:t>
            </w:r>
            <w:r w:rsidR="006A6DF9" w:rsidRPr="00FE7622">
              <w:rPr>
                <w:color w:val="auto"/>
              </w:rPr>
              <w:t>l</w:t>
            </w:r>
            <w:r w:rsidRPr="00FE7622">
              <w:rPr>
                <w:color w:val="auto"/>
              </w:rPr>
              <w:t xml:space="preserve"> (%)</w:t>
            </w:r>
          </w:p>
        </w:tc>
        <w:tc>
          <w:tcPr>
            <w:tcW w:w="0" w:type="auto"/>
            <w:shd w:val="clear" w:color="auto" w:fill="auto"/>
          </w:tcPr>
          <w:p w14:paraId="7B476A26" w14:textId="77777777" w:rsidR="00F026E8" w:rsidRPr="00FE7622" w:rsidRDefault="00F026E8" w:rsidP="00AF19CC">
            <w:pPr>
              <w:pStyle w:val="72TabletextTablesTableFigureBoxstyles"/>
              <w:rPr>
                <w:rFonts w:eastAsia="Calibri"/>
              </w:rPr>
            </w:pPr>
            <w:r w:rsidRPr="00FE7622">
              <w:rPr>
                <w:rFonts w:eastAsia="Calibri"/>
                <w:color w:val="auto"/>
              </w:rPr>
              <w:t>2 (3)</w:t>
            </w:r>
          </w:p>
        </w:tc>
        <w:tc>
          <w:tcPr>
            <w:tcW w:w="0" w:type="auto"/>
            <w:shd w:val="clear" w:color="auto" w:fill="auto"/>
          </w:tcPr>
          <w:p w14:paraId="7DC01B5A" w14:textId="77777777" w:rsidR="00F026E8" w:rsidRPr="00FE7622" w:rsidRDefault="00F026E8" w:rsidP="00AF19CC">
            <w:pPr>
              <w:pStyle w:val="72TabletextTablesTableFigureBoxstyles"/>
              <w:rPr>
                <w:rFonts w:eastAsia="Calibri"/>
                <w:color w:val="auto"/>
              </w:rPr>
            </w:pPr>
            <w:r w:rsidRPr="00FE7622">
              <w:rPr>
                <w:rFonts w:eastAsia="Calibri"/>
                <w:color w:val="auto"/>
              </w:rPr>
              <w:t>0 (0)</w:t>
            </w:r>
          </w:p>
        </w:tc>
      </w:tr>
      <w:tr w:rsidR="00F026E8" w:rsidRPr="00FE7622" w14:paraId="4EFB9594" w14:textId="77777777" w:rsidTr="00AF19CC">
        <w:trPr>
          <w:cantSplit/>
        </w:trPr>
        <w:tc>
          <w:tcPr>
            <w:tcW w:w="0" w:type="auto"/>
            <w:shd w:val="clear" w:color="auto" w:fill="auto"/>
          </w:tcPr>
          <w:p w14:paraId="1728863C" w14:textId="523F769F" w:rsidR="00F026E8" w:rsidRPr="00FE7622" w:rsidRDefault="00F026E8" w:rsidP="00AF19CC">
            <w:pPr>
              <w:pStyle w:val="72TabletextTablesTableFigureBoxstyles"/>
              <w:rPr>
                <w:rFonts w:eastAsia="Calibri"/>
              </w:rPr>
            </w:pPr>
            <w:r w:rsidRPr="00FE7622">
              <w:rPr>
                <w:color w:val="auto"/>
              </w:rPr>
              <w:t xml:space="preserve">At least one potassium measurement </w:t>
            </w:r>
            <w:r w:rsidR="003E534E" w:rsidRPr="00FE7622">
              <w:rPr>
                <w:color w:val="auto"/>
              </w:rPr>
              <w:t xml:space="preserve">of </w:t>
            </w:r>
            <w:r w:rsidR="006A6DF9" w:rsidRPr="00FE7622">
              <w:rPr>
                <w:color w:val="auto"/>
              </w:rPr>
              <w:t>≥</w:t>
            </w:r>
            <w:r w:rsidR="002579F3" w:rsidRPr="00FE7622">
              <w:rPr>
                <w:color w:val="auto"/>
              </w:rPr>
              <w:t> </w:t>
            </w:r>
            <w:r w:rsidRPr="00FE7622">
              <w:rPr>
                <w:color w:val="auto"/>
              </w:rPr>
              <w:t>6.0</w:t>
            </w:r>
            <w:r w:rsidR="006A6DF9" w:rsidRPr="00FE7622">
              <w:rPr>
                <w:color w:val="auto"/>
              </w:rPr>
              <w:t> </w:t>
            </w:r>
            <w:r w:rsidRPr="00FE7622">
              <w:rPr>
                <w:color w:val="auto"/>
              </w:rPr>
              <w:t>mmol/</w:t>
            </w:r>
            <w:r w:rsidR="006A6DF9" w:rsidRPr="00FE7622">
              <w:rPr>
                <w:color w:val="auto"/>
              </w:rPr>
              <w:t>l</w:t>
            </w:r>
            <w:r w:rsidRPr="00FE7622">
              <w:rPr>
                <w:color w:val="auto"/>
              </w:rPr>
              <w:t xml:space="preserve"> (%)</w:t>
            </w:r>
          </w:p>
        </w:tc>
        <w:tc>
          <w:tcPr>
            <w:tcW w:w="0" w:type="auto"/>
            <w:shd w:val="clear" w:color="auto" w:fill="auto"/>
          </w:tcPr>
          <w:p w14:paraId="08B27096" w14:textId="77777777" w:rsidR="00F026E8" w:rsidRPr="00FE7622" w:rsidRDefault="00F026E8" w:rsidP="00AF19CC">
            <w:pPr>
              <w:pStyle w:val="72TabletextTablesTableFigureBoxstyles"/>
              <w:rPr>
                <w:rFonts w:eastAsia="Calibri"/>
              </w:rPr>
            </w:pPr>
            <w:r w:rsidRPr="00FE7622">
              <w:rPr>
                <w:rFonts w:eastAsia="Calibri"/>
                <w:color w:val="auto"/>
              </w:rPr>
              <w:t>0 (0)</w:t>
            </w:r>
          </w:p>
        </w:tc>
        <w:tc>
          <w:tcPr>
            <w:tcW w:w="0" w:type="auto"/>
            <w:shd w:val="clear" w:color="auto" w:fill="auto"/>
          </w:tcPr>
          <w:p w14:paraId="4095D43A" w14:textId="77777777" w:rsidR="00F026E8" w:rsidRPr="00FE7622" w:rsidRDefault="00F026E8" w:rsidP="00AF19CC">
            <w:pPr>
              <w:pStyle w:val="72TabletextTablesTableFigureBoxstyles"/>
              <w:rPr>
                <w:rFonts w:eastAsia="Calibri"/>
                <w:color w:val="auto"/>
              </w:rPr>
            </w:pPr>
            <w:r w:rsidRPr="00FE7622">
              <w:rPr>
                <w:rFonts w:eastAsia="Calibri"/>
                <w:color w:val="auto"/>
              </w:rPr>
              <w:t>0 (0)</w:t>
            </w:r>
          </w:p>
        </w:tc>
      </w:tr>
      <w:tr w:rsidR="00F026E8" w:rsidRPr="00FE7622" w14:paraId="49BE99C3" w14:textId="77777777" w:rsidTr="00AF19CC">
        <w:trPr>
          <w:cantSplit/>
        </w:trPr>
        <w:tc>
          <w:tcPr>
            <w:tcW w:w="0" w:type="auto"/>
            <w:shd w:val="clear" w:color="auto" w:fill="auto"/>
          </w:tcPr>
          <w:p w14:paraId="24A626CF" w14:textId="2F31F58E" w:rsidR="00F026E8" w:rsidRPr="00FE7622" w:rsidRDefault="00F026E8" w:rsidP="00AF19CC">
            <w:pPr>
              <w:pStyle w:val="72TabletextTablesTableFigureBoxstyles"/>
              <w:rPr>
                <w:rFonts w:eastAsia="Calibri"/>
              </w:rPr>
            </w:pPr>
            <w:r w:rsidRPr="00FE7622">
              <w:rPr>
                <w:color w:val="auto"/>
              </w:rPr>
              <w:t xml:space="preserve">At least one sodium measurement </w:t>
            </w:r>
            <w:r w:rsidR="003E534E" w:rsidRPr="00FE7622">
              <w:rPr>
                <w:color w:val="auto"/>
              </w:rPr>
              <w:t xml:space="preserve">of </w:t>
            </w:r>
            <w:r w:rsidR="006A6DF9" w:rsidRPr="00FE7622">
              <w:rPr>
                <w:color w:val="auto"/>
              </w:rPr>
              <w:t>≤</w:t>
            </w:r>
            <w:r w:rsidR="002579F3" w:rsidRPr="00FE7622">
              <w:rPr>
                <w:color w:val="auto"/>
              </w:rPr>
              <w:t> </w:t>
            </w:r>
            <w:r w:rsidRPr="00FE7622">
              <w:rPr>
                <w:color w:val="auto"/>
              </w:rPr>
              <w:t>130</w:t>
            </w:r>
            <w:r w:rsidR="006A6DF9" w:rsidRPr="00FE7622">
              <w:rPr>
                <w:color w:val="auto"/>
              </w:rPr>
              <w:t> </w:t>
            </w:r>
            <w:r w:rsidRPr="00FE7622">
              <w:rPr>
                <w:color w:val="auto"/>
              </w:rPr>
              <w:t>mmol/</w:t>
            </w:r>
            <w:r w:rsidR="006A6DF9" w:rsidRPr="00FE7622">
              <w:rPr>
                <w:color w:val="auto"/>
              </w:rPr>
              <w:t>l</w:t>
            </w:r>
            <w:r w:rsidRPr="00FE7622">
              <w:rPr>
                <w:color w:val="auto"/>
              </w:rPr>
              <w:t xml:space="preserve"> (%)</w:t>
            </w:r>
          </w:p>
        </w:tc>
        <w:tc>
          <w:tcPr>
            <w:tcW w:w="0" w:type="auto"/>
            <w:shd w:val="clear" w:color="auto" w:fill="auto"/>
          </w:tcPr>
          <w:p w14:paraId="152B9716" w14:textId="77777777" w:rsidR="00F026E8" w:rsidRPr="00FE7622" w:rsidRDefault="00F026E8" w:rsidP="00AF19CC">
            <w:pPr>
              <w:pStyle w:val="72TabletextTablesTableFigureBoxstyles"/>
              <w:rPr>
                <w:rFonts w:eastAsia="Calibri"/>
              </w:rPr>
            </w:pPr>
            <w:r w:rsidRPr="00FE7622">
              <w:rPr>
                <w:rFonts w:eastAsia="Calibri"/>
                <w:color w:val="auto"/>
              </w:rPr>
              <w:t>7 (10)</w:t>
            </w:r>
          </w:p>
        </w:tc>
        <w:tc>
          <w:tcPr>
            <w:tcW w:w="0" w:type="auto"/>
            <w:shd w:val="clear" w:color="auto" w:fill="auto"/>
          </w:tcPr>
          <w:p w14:paraId="444FF032" w14:textId="77777777" w:rsidR="00F026E8" w:rsidRPr="00FE7622" w:rsidRDefault="00F026E8" w:rsidP="00AF19CC">
            <w:pPr>
              <w:pStyle w:val="72TabletextTablesTableFigureBoxstyles"/>
              <w:rPr>
                <w:rFonts w:eastAsia="Calibri"/>
                <w:color w:val="auto"/>
              </w:rPr>
            </w:pPr>
            <w:r w:rsidRPr="00FE7622">
              <w:rPr>
                <w:rFonts w:eastAsia="Calibri"/>
                <w:color w:val="auto"/>
              </w:rPr>
              <w:t>2 (3)</w:t>
            </w:r>
          </w:p>
        </w:tc>
      </w:tr>
      <w:tr w:rsidR="00F026E8" w:rsidRPr="00FE7622" w14:paraId="3921210B" w14:textId="77777777" w:rsidTr="00AF19CC">
        <w:trPr>
          <w:cantSplit/>
        </w:trPr>
        <w:tc>
          <w:tcPr>
            <w:tcW w:w="0" w:type="auto"/>
            <w:shd w:val="clear" w:color="auto" w:fill="auto"/>
          </w:tcPr>
          <w:p w14:paraId="301DA163" w14:textId="5EAE1152" w:rsidR="00F026E8" w:rsidRPr="00FE7622" w:rsidRDefault="00F026E8" w:rsidP="00AF19CC">
            <w:pPr>
              <w:pStyle w:val="72TabletextTablesTableFigureBoxstyles"/>
              <w:rPr>
                <w:rFonts w:eastAsia="Calibri"/>
              </w:rPr>
            </w:pPr>
            <w:r w:rsidRPr="00FE7622">
              <w:rPr>
                <w:color w:val="auto"/>
              </w:rPr>
              <w:t xml:space="preserve">Serum creatinine rise </w:t>
            </w:r>
            <w:r w:rsidR="003E534E" w:rsidRPr="00FE7622">
              <w:rPr>
                <w:color w:val="auto"/>
              </w:rPr>
              <w:t xml:space="preserve">of </w:t>
            </w:r>
            <w:r w:rsidR="006A6DF9" w:rsidRPr="00FE7622">
              <w:rPr>
                <w:color w:val="auto"/>
              </w:rPr>
              <w:t>≥</w:t>
            </w:r>
            <w:r w:rsidR="002579F3" w:rsidRPr="00FE7622">
              <w:rPr>
                <w:color w:val="auto"/>
              </w:rPr>
              <w:t> </w:t>
            </w:r>
            <w:r w:rsidRPr="00FE7622">
              <w:rPr>
                <w:color w:val="auto"/>
              </w:rPr>
              <w:t>60</w:t>
            </w:r>
            <w:r w:rsidR="006A6DF9" w:rsidRPr="00FE7622">
              <w:rPr>
                <w:color w:val="auto"/>
              </w:rPr>
              <w:t> μ</w:t>
            </w:r>
            <w:r w:rsidRPr="00FE7622">
              <w:rPr>
                <w:color w:val="auto"/>
              </w:rPr>
              <w:t>mol/</w:t>
            </w:r>
            <w:r w:rsidR="006A6DF9" w:rsidRPr="00FE7622">
              <w:rPr>
                <w:color w:val="auto"/>
              </w:rPr>
              <w:t>l</w:t>
            </w:r>
            <w:r w:rsidRPr="00FE7622">
              <w:rPr>
                <w:color w:val="auto"/>
              </w:rPr>
              <w:t xml:space="preserve"> from baseline at any point (%)</w:t>
            </w:r>
          </w:p>
        </w:tc>
        <w:tc>
          <w:tcPr>
            <w:tcW w:w="0" w:type="auto"/>
            <w:shd w:val="clear" w:color="auto" w:fill="auto"/>
          </w:tcPr>
          <w:p w14:paraId="7BC51ABE" w14:textId="77777777" w:rsidR="00F026E8" w:rsidRPr="00FE7622" w:rsidRDefault="00F026E8" w:rsidP="00AF19CC">
            <w:pPr>
              <w:pStyle w:val="72TabletextTablesTableFigureBoxstyles"/>
              <w:rPr>
                <w:rFonts w:eastAsia="Calibri"/>
              </w:rPr>
            </w:pPr>
            <w:r w:rsidRPr="00FE7622">
              <w:rPr>
                <w:rFonts w:eastAsia="Calibri"/>
                <w:color w:val="auto"/>
              </w:rPr>
              <w:t>1 (1)</w:t>
            </w:r>
          </w:p>
        </w:tc>
        <w:tc>
          <w:tcPr>
            <w:tcW w:w="0" w:type="auto"/>
            <w:shd w:val="clear" w:color="auto" w:fill="auto"/>
          </w:tcPr>
          <w:p w14:paraId="539FEBAD" w14:textId="77777777" w:rsidR="00F026E8" w:rsidRPr="00FE7622" w:rsidRDefault="00F026E8" w:rsidP="00AF19CC">
            <w:pPr>
              <w:pStyle w:val="72TabletextTablesTableFigureBoxstyles"/>
              <w:rPr>
                <w:rFonts w:eastAsia="Calibri"/>
                <w:color w:val="auto"/>
              </w:rPr>
            </w:pPr>
            <w:r w:rsidRPr="00FE7622">
              <w:rPr>
                <w:rFonts w:eastAsia="Calibri"/>
                <w:color w:val="auto"/>
              </w:rPr>
              <w:t>0 (0)</w:t>
            </w:r>
          </w:p>
        </w:tc>
      </w:tr>
      <w:tr w:rsidR="00F026E8" w:rsidRPr="00FE7622" w14:paraId="0D99BA83" w14:textId="77777777" w:rsidTr="00AF19CC">
        <w:trPr>
          <w:cantSplit/>
        </w:trPr>
        <w:tc>
          <w:tcPr>
            <w:tcW w:w="0" w:type="auto"/>
            <w:shd w:val="clear" w:color="auto" w:fill="auto"/>
          </w:tcPr>
          <w:p w14:paraId="46FD6AA1" w14:textId="13CF0B33" w:rsidR="00F026E8" w:rsidRPr="00FE7622" w:rsidRDefault="00F026E8" w:rsidP="00AF19CC">
            <w:pPr>
              <w:pStyle w:val="72TabletextTablesTableFigureBoxstyles"/>
              <w:rPr>
                <w:rFonts w:eastAsia="Calibri"/>
              </w:rPr>
            </w:pPr>
            <w:r w:rsidRPr="00FE7622">
              <w:rPr>
                <w:color w:val="auto"/>
              </w:rPr>
              <w:t xml:space="preserve">Serum creatinine of </w:t>
            </w:r>
            <w:r w:rsidR="006A6DF9" w:rsidRPr="00FE7622">
              <w:rPr>
                <w:color w:val="auto"/>
              </w:rPr>
              <w:t>≥</w:t>
            </w:r>
            <w:r w:rsidR="002579F3" w:rsidRPr="00FE7622">
              <w:rPr>
                <w:color w:val="auto"/>
              </w:rPr>
              <w:t> </w:t>
            </w:r>
            <w:r w:rsidRPr="00FE7622">
              <w:rPr>
                <w:color w:val="auto"/>
              </w:rPr>
              <w:t>180</w:t>
            </w:r>
            <w:r w:rsidR="006A6DF9" w:rsidRPr="00FE7622">
              <w:rPr>
                <w:color w:val="auto"/>
              </w:rPr>
              <w:t> μ</w:t>
            </w:r>
            <w:r w:rsidRPr="00FE7622">
              <w:rPr>
                <w:color w:val="auto"/>
              </w:rPr>
              <w:t>mol/</w:t>
            </w:r>
            <w:r w:rsidR="006A6DF9" w:rsidRPr="00FE7622">
              <w:rPr>
                <w:color w:val="auto"/>
              </w:rPr>
              <w:t>l</w:t>
            </w:r>
            <w:r w:rsidRPr="00FE7622">
              <w:rPr>
                <w:color w:val="auto"/>
              </w:rPr>
              <w:t xml:space="preserve"> at any point (%)</w:t>
            </w:r>
          </w:p>
        </w:tc>
        <w:tc>
          <w:tcPr>
            <w:tcW w:w="0" w:type="auto"/>
            <w:shd w:val="clear" w:color="auto" w:fill="auto"/>
          </w:tcPr>
          <w:p w14:paraId="02F06ED8" w14:textId="77777777" w:rsidR="00F026E8" w:rsidRPr="00FE7622" w:rsidRDefault="00F026E8" w:rsidP="00AF19CC">
            <w:pPr>
              <w:pStyle w:val="72TabletextTablesTableFigureBoxstyles"/>
              <w:rPr>
                <w:rFonts w:eastAsia="Calibri"/>
              </w:rPr>
            </w:pPr>
            <w:r w:rsidRPr="00FE7622">
              <w:rPr>
                <w:rFonts w:eastAsia="Calibri"/>
                <w:color w:val="auto"/>
              </w:rPr>
              <w:t>1 (1)</w:t>
            </w:r>
          </w:p>
        </w:tc>
        <w:tc>
          <w:tcPr>
            <w:tcW w:w="0" w:type="auto"/>
            <w:shd w:val="clear" w:color="auto" w:fill="auto"/>
          </w:tcPr>
          <w:p w14:paraId="5CD90B77" w14:textId="77777777" w:rsidR="00F026E8" w:rsidRPr="00FE7622" w:rsidRDefault="00F026E8" w:rsidP="00AF19CC">
            <w:pPr>
              <w:pStyle w:val="72TabletextTablesTableFigureBoxstyles"/>
              <w:rPr>
                <w:rFonts w:eastAsia="Calibri"/>
                <w:color w:val="auto"/>
              </w:rPr>
            </w:pPr>
            <w:r w:rsidRPr="00FE7622">
              <w:rPr>
                <w:rFonts w:eastAsia="Calibri"/>
                <w:color w:val="auto"/>
              </w:rPr>
              <w:t>0 (0)</w:t>
            </w:r>
          </w:p>
        </w:tc>
      </w:tr>
    </w:tbl>
    <w:p w14:paraId="5D94FBBF" w14:textId="4A268FEB" w:rsidR="00F026E8" w:rsidRPr="00FE7622" w:rsidRDefault="00E038BF" w:rsidP="002579F3">
      <w:pPr>
        <w:pStyle w:val="81FigurelegendTableFigureBoxstyles"/>
        <w:rPr>
          <w:lang w:val="en-GB"/>
        </w:rPr>
      </w:pPr>
      <w:r w:rsidRPr="00FE7622">
        <w:rPr>
          <w:b/>
        </w:rPr>
        <w:t>FIGURE 8</w:t>
      </w:r>
      <w:r w:rsidRPr="00FE7622">
        <w:rPr>
          <w:b/>
        </w:rPr>
        <w:t> </w:t>
      </w:r>
      <w:r w:rsidR="00F026E8" w:rsidRPr="00FE7622">
        <w:rPr>
          <w:lang w:val="en-GB"/>
        </w:rPr>
        <w:t>Safety blood measurements</w:t>
      </w:r>
      <w:r w:rsidR="006A6DF9" w:rsidRPr="00FE7622">
        <w:rPr>
          <w:lang w:val="en-GB"/>
        </w:rPr>
        <w:t>:</w:t>
      </w:r>
      <w:r w:rsidR="00F026E8" w:rsidRPr="00FE7622">
        <w:rPr>
          <w:lang w:val="en-GB"/>
        </w:rPr>
        <w:t xml:space="preserve"> </w:t>
      </w:r>
      <w:r w:rsidR="006A6DF9" w:rsidRPr="00FE7622">
        <w:rPr>
          <w:lang w:val="en-GB"/>
        </w:rPr>
        <w:t>p</w:t>
      </w:r>
      <w:r w:rsidR="00F026E8" w:rsidRPr="00FE7622">
        <w:rPr>
          <w:lang w:val="en-GB"/>
        </w:rPr>
        <w:t>erindopril vs</w:t>
      </w:r>
      <w:r w:rsidR="006A6DF9" w:rsidRPr="00FE7622">
        <w:rPr>
          <w:lang w:val="en-GB"/>
        </w:rPr>
        <w:t>.</w:t>
      </w:r>
      <w:r w:rsidR="00F026E8" w:rsidRPr="00FE7622">
        <w:rPr>
          <w:lang w:val="en-GB"/>
        </w:rPr>
        <w:t xml:space="preserve"> placebo analysis. (a) Serum sodium concentrations; (b) </w:t>
      </w:r>
      <w:r w:rsidR="00E821C7" w:rsidRPr="00FE7622">
        <w:rPr>
          <w:lang w:val="en-GB"/>
        </w:rPr>
        <w:t>s</w:t>
      </w:r>
      <w:r w:rsidR="00F026E8" w:rsidRPr="00FE7622">
        <w:rPr>
          <w:lang w:val="en-GB"/>
        </w:rPr>
        <w:t xml:space="preserve">erum potassium concentrations; </w:t>
      </w:r>
      <w:r w:rsidR="00E821C7" w:rsidRPr="00FE7622">
        <w:rPr>
          <w:lang w:val="en-GB"/>
        </w:rPr>
        <w:t xml:space="preserve">and </w:t>
      </w:r>
      <w:r w:rsidR="00F026E8" w:rsidRPr="00FE7622">
        <w:rPr>
          <w:lang w:val="en-GB"/>
        </w:rPr>
        <w:t xml:space="preserve">(c) </w:t>
      </w:r>
      <w:r w:rsidR="00E821C7" w:rsidRPr="00FE7622">
        <w:rPr>
          <w:lang w:val="en-GB"/>
        </w:rPr>
        <w:t>s</w:t>
      </w:r>
      <w:r w:rsidR="00F026E8" w:rsidRPr="00FE7622">
        <w:rPr>
          <w:lang w:val="en-GB"/>
        </w:rPr>
        <w:t>erum creatinine concentrations</w:t>
      </w:r>
      <w:r w:rsidR="006A6DF9" w:rsidRPr="00FE7622">
        <w:rPr>
          <w:lang w:val="en-GB"/>
        </w:rPr>
        <w:t>.</w:t>
      </w:r>
    </w:p>
    <w:p w14:paraId="5CEEB00B" w14:textId="702FABBC" w:rsidR="00F026E8" w:rsidRPr="00FE7622" w:rsidRDefault="00F026E8" w:rsidP="00D02225">
      <w:pPr>
        <w:pStyle w:val="602TextfoTextstylesTextstyles"/>
        <w:rPr>
          <w:color w:val="auto"/>
        </w:rPr>
      </w:pPr>
      <w:bookmarkStart w:id="99" w:name="_Hlk34848445"/>
      <w:r w:rsidRPr="00FE7622">
        <w:rPr>
          <w:color w:val="auto"/>
        </w:rPr>
        <w:t xml:space="preserve">Lying blood pressure fell in the perindopril group relative to placebo over the first few weeks of therapy, but from 3 months onwards no difference in blood pressure was noted between the groups. </w:t>
      </w:r>
      <w:r w:rsidR="00E038BF" w:rsidRPr="00FE7622">
        <w:rPr>
          <w:i/>
          <w:color w:val="FF0000"/>
        </w:rPr>
        <w:t>Figure 9</w:t>
      </w:r>
      <w:r w:rsidRPr="00FE7622">
        <w:rPr>
          <w:color w:val="auto"/>
        </w:rPr>
        <w:t xml:space="preserve"> shows the postural fall in blood pressure on standing, which was not significantly different </w:t>
      </w:r>
      <w:r w:rsidR="00E821C7" w:rsidRPr="00FE7622">
        <w:rPr>
          <w:color w:val="auto"/>
        </w:rPr>
        <w:t>in</w:t>
      </w:r>
      <w:r w:rsidRPr="00FE7622">
        <w:rPr>
          <w:color w:val="auto"/>
        </w:rPr>
        <w:t xml:space="preserve"> the groups; no excess of falls was noted in the perindopril arm and fragility fracture rates were low in both </w:t>
      </w:r>
      <w:r w:rsidR="00E821C7" w:rsidRPr="00FE7622">
        <w:rPr>
          <w:color w:val="auto"/>
        </w:rPr>
        <w:t>groups</w:t>
      </w:r>
      <w:r w:rsidRPr="00FE7622">
        <w:rPr>
          <w:color w:val="auto"/>
        </w:rPr>
        <w:t xml:space="preserve">. </w:t>
      </w:r>
      <w:r w:rsidR="00E038BF" w:rsidRPr="00FE7622">
        <w:rPr>
          <w:i/>
          <w:color w:val="FF0000"/>
        </w:rPr>
        <w:t>Table 10</w:t>
      </w:r>
      <w:r w:rsidRPr="00FE7622">
        <w:rPr>
          <w:color w:val="auto"/>
        </w:rPr>
        <w:t xml:space="preserve"> shows the full categorisation of adverse events in each arm; the overall number of adverse events was </w:t>
      </w:r>
      <w:r w:rsidR="00E27A09" w:rsidRPr="00FE7622">
        <w:rPr>
          <w:color w:val="auto"/>
        </w:rPr>
        <w:t>larger</w:t>
      </w:r>
      <w:r w:rsidRPr="00FE7622">
        <w:rPr>
          <w:color w:val="auto"/>
        </w:rPr>
        <w:t xml:space="preserve"> in the perindopril arm, driven by higher rates of injuries, nervous system disorders and gastrointestinal disorders.</w:t>
      </w:r>
    </w:p>
    <w:p w14:paraId="2FDCA7CE" w14:textId="446C05B6" w:rsidR="0031492E" w:rsidRPr="00FE7622" w:rsidRDefault="00E038BF" w:rsidP="0031492E">
      <w:pPr>
        <w:pStyle w:val="81FigurelegendTableFigureBoxstyles"/>
        <w:rPr>
          <w:lang w:val="en-GB"/>
        </w:rPr>
      </w:pPr>
      <w:bookmarkStart w:id="100" w:name="_Hlk64634534"/>
      <w:r w:rsidRPr="00FE7622">
        <w:rPr>
          <w:b/>
        </w:rPr>
        <w:t>FIGURE 9</w:t>
      </w:r>
      <w:r w:rsidRPr="00FE7622">
        <w:rPr>
          <w:b/>
        </w:rPr>
        <w:t> </w:t>
      </w:r>
      <w:r w:rsidR="0031492E" w:rsidRPr="00FE7622">
        <w:rPr>
          <w:lang w:val="en-GB"/>
        </w:rPr>
        <w:t>Change in lying blood pressure and postural blood pressure drop</w:t>
      </w:r>
      <w:bookmarkEnd w:id="100"/>
      <w:r w:rsidR="0031492E" w:rsidRPr="00FE7622">
        <w:rPr>
          <w:lang w:val="en-GB"/>
        </w:rPr>
        <w:t xml:space="preserve"> for perindopril vs</w:t>
      </w:r>
      <w:r w:rsidR="00E821C7" w:rsidRPr="00FE7622">
        <w:rPr>
          <w:lang w:val="en-GB"/>
        </w:rPr>
        <w:t>.</w:t>
      </w:r>
      <w:r w:rsidR="0031492E" w:rsidRPr="00FE7622">
        <w:rPr>
          <w:lang w:val="en-GB"/>
        </w:rPr>
        <w:t xml:space="preserve"> placebo analysis</w:t>
      </w:r>
      <w:r w:rsidR="006A6DF9" w:rsidRPr="00FE7622">
        <w:rPr>
          <w:lang w:val="en-GB"/>
        </w:rPr>
        <w:t>.</w:t>
      </w:r>
    </w:p>
    <w:p w14:paraId="4BE47EE5" w14:textId="1F41CB4D" w:rsidR="00F026E8" w:rsidRPr="00FE7622" w:rsidRDefault="00E038BF" w:rsidP="00F026E8">
      <w:pPr>
        <w:pStyle w:val="70TablelegendTablesTableFigureBoxstyles"/>
        <w:rPr>
          <w:lang w:val="en-GB"/>
        </w:rPr>
      </w:pPr>
      <w:r w:rsidRPr="00FE7622">
        <w:rPr>
          <w:b/>
        </w:rPr>
        <w:t>TABLE 10</w:t>
      </w:r>
      <w:r w:rsidRPr="00FE7622">
        <w:rPr>
          <w:b/>
        </w:rPr>
        <w:t> </w:t>
      </w:r>
      <w:r w:rsidRPr="00E038BF">
        <w:rPr>
          <w:b/>
          <w:color w:val="FF00FF"/>
          <w:sz w:val="24"/>
        </w:rPr>
        <w:t>[19]</w:t>
      </w:r>
      <w:commentRangeStart w:id="101"/>
      <w:r w:rsidR="00F026E8" w:rsidRPr="00FE7622">
        <w:rPr>
          <w:lang w:val="en-GB"/>
        </w:rPr>
        <w:t xml:space="preserve">Adverse events by </w:t>
      </w:r>
      <w:r w:rsidR="004809FA" w:rsidRPr="00FE7622">
        <w:rPr>
          <w:lang w:val="en-GB"/>
        </w:rPr>
        <w:t>System Order Class</w:t>
      </w:r>
      <w:r w:rsidR="00AA0C18" w:rsidRPr="00FE7622">
        <w:rPr>
          <w:lang w:val="en-GB"/>
        </w:rPr>
        <w:t xml:space="preserve">: perindopril </w:t>
      </w:r>
      <w:r w:rsidR="00F026E8" w:rsidRPr="00FE7622">
        <w:rPr>
          <w:lang w:val="en-GB"/>
        </w:rPr>
        <w:t>vs</w:t>
      </w:r>
      <w:r w:rsidR="00AA0C18" w:rsidRPr="00FE7622">
        <w:rPr>
          <w:lang w:val="en-GB"/>
        </w:rPr>
        <w:t>.</w:t>
      </w:r>
      <w:r w:rsidR="00F026E8" w:rsidRPr="00FE7622">
        <w:rPr>
          <w:lang w:val="en-GB"/>
        </w:rPr>
        <w:t xml:space="preserve"> placebo</w:t>
      </w:r>
      <w:commentRangeEnd w:id="101"/>
      <w:r w:rsidR="00001E0A" w:rsidRPr="00FE7622">
        <w:rPr>
          <w:rStyle w:val="CommentReference"/>
          <w:rFonts w:ascii="Times New Roman" w:hAnsi="Times New Roman" w:cs="Times New Roman"/>
          <w:color w:val="auto"/>
        </w:rPr>
        <w:commentReference w:id="101"/>
      </w:r>
    </w:p>
    <w:tbl>
      <w:tblPr>
        <w:tblW w:w="0" w:type="auto"/>
        <w:tblCellMar>
          <w:top w:w="40" w:type="dxa"/>
          <w:left w:w="60" w:type="dxa"/>
          <w:bottom w:w="40" w:type="dxa"/>
          <w:right w:w="60" w:type="dxa"/>
        </w:tblCellMar>
        <w:tblLook w:val="04A0" w:firstRow="1" w:lastRow="0" w:firstColumn="1" w:lastColumn="0" w:noHBand="0" w:noVBand="1"/>
      </w:tblPr>
      <w:tblGrid>
        <w:gridCol w:w="4492"/>
        <w:gridCol w:w="1579"/>
        <w:gridCol w:w="1334"/>
      </w:tblGrid>
      <w:tr w:rsidR="00F026E8" w:rsidRPr="00FE7622" w14:paraId="7578B330" w14:textId="77777777" w:rsidTr="00AF19CC">
        <w:trPr>
          <w:cantSplit/>
        </w:trPr>
        <w:tc>
          <w:tcPr>
            <w:tcW w:w="0" w:type="auto"/>
            <w:shd w:val="clear" w:color="auto" w:fill="auto"/>
          </w:tcPr>
          <w:p w14:paraId="17E4FC6C" w14:textId="3A210E22" w:rsidR="00F026E8" w:rsidRPr="00FE7622" w:rsidRDefault="00E038BF" w:rsidP="00AF19CC">
            <w:pPr>
              <w:pStyle w:val="710TableheadTablesTableFigureBoxstyles"/>
              <w:rPr>
                <w:rFonts w:eastAsia="Calibri"/>
              </w:rPr>
            </w:pPr>
            <w:r w:rsidRPr="00FE7622">
              <w:rPr>
                <w:rFonts w:eastAsia="Calibri"/>
              </w:rPr>
              <w:t>Adverse event data</w:t>
            </w:r>
          </w:p>
        </w:tc>
        <w:tc>
          <w:tcPr>
            <w:tcW w:w="0" w:type="auto"/>
            <w:shd w:val="clear" w:color="auto" w:fill="auto"/>
          </w:tcPr>
          <w:p w14:paraId="154F938A" w14:textId="2127FAEE" w:rsidR="00F026E8" w:rsidRPr="00FE7622" w:rsidRDefault="00E038BF" w:rsidP="00AF19CC">
            <w:pPr>
              <w:pStyle w:val="710TableheadTablesTableFigureBoxstyles"/>
              <w:rPr>
                <w:rFonts w:eastAsia="Calibri"/>
              </w:rPr>
            </w:pPr>
            <w:r w:rsidRPr="00FE7622">
              <w:rPr>
                <w:rFonts w:eastAsia="Calibri"/>
              </w:rPr>
              <w:t>Perindopril (</w:t>
            </w:r>
            <w:r w:rsidRPr="00FE7622">
              <w:rPr>
                <w:rFonts w:eastAsia="Calibri"/>
                <w:i/>
              </w:rPr>
              <w:t>n</w:t>
            </w:r>
            <w:r w:rsidRPr="00FE7622">
              <w:rPr>
                <w:rFonts w:eastAsia="Calibri"/>
              </w:rPr>
              <w:t> = 73)</w:t>
            </w:r>
          </w:p>
        </w:tc>
        <w:tc>
          <w:tcPr>
            <w:tcW w:w="0" w:type="auto"/>
            <w:shd w:val="clear" w:color="auto" w:fill="auto"/>
          </w:tcPr>
          <w:p w14:paraId="13B72E52" w14:textId="15D2485E" w:rsidR="00F026E8" w:rsidRPr="00FE7622" w:rsidRDefault="00E038BF" w:rsidP="00AF19CC">
            <w:pPr>
              <w:pStyle w:val="710TableheadTablesTableFigureBoxstyles"/>
              <w:rPr>
                <w:rFonts w:eastAsia="Calibri"/>
              </w:rPr>
            </w:pPr>
            <w:r w:rsidRPr="00FE7622">
              <w:rPr>
                <w:rFonts w:eastAsia="Calibri"/>
              </w:rPr>
              <w:t>Placebo (</w:t>
            </w:r>
            <w:r w:rsidRPr="00FE7622">
              <w:rPr>
                <w:rFonts w:eastAsia="Calibri"/>
                <w:i/>
              </w:rPr>
              <w:t>n</w:t>
            </w:r>
            <w:r w:rsidRPr="00FE7622">
              <w:rPr>
                <w:rFonts w:eastAsia="Calibri"/>
              </w:rPr>
              <w:t> = 72)</w:t>
            </w:r>
          </w:p>
        </w:tc>
      </w:tr>
      <w:tr w:rsidR="00F026E8" w:rsidRPr="00FE7622" w14:paraId="6A2497BC" w14:textId="77777777" w:rsidTr="00AF19CC">
        <w:trPr>
          <w:cantSplit/>
        </w:trPr>
        <w:tc>
          <w:tcPr>
            <w:tcW w:w="0" w:type="auto"/>
            <w:shd w:val="clear" w:color="auto" w:fill="auto"/>
          </w:tcPr>
          <w:p w14:paraId="327F2981" w14:textId="77777777" w:rsidR="00F026E8" w:rsidRPr="00FE7622" w:rsidRDefault="00F026E8" w:rsidP="00AF19CC">
            <w:pPr>
              <w:pStyle w:val="72TabletextTablesTableFigureBoxstyles"/>
              <w:rPr>
                <w:rFonts w:eastAsia="Calibri"/>
              </w:rPr>
            </w:pPr>
            <w:r w:rsidRPr="00FE7622">
              <w:rPr>
                <w:rFonts w:eastAsia="Calibri"/>
                <w:color w:val="auto"/>
              </w:rPr>
              <w:t>Number of participants with at least one adverse event (%)</w:t>
            </w:r>
          </w:p>
        </w:tc>
        <w:tc>
          <w:tcPr>
            <w:tcW w:w="0" w:type="auto"/>
            <w:shd w:val="clear" w:color="auto" w:fill="auto"/>
          </w:tcPr>
          <w:p w14:paraId="53681773" w14:textId="77777777" w:rsidR="00F026E8" w:rsidRPr="00FE7622" w:rsidRDefault="00F026E8" w:rsidP="00AF19CC">
            <w:pPr>
              <w:pStyle w:val="72TabletextTablesTableFigureBoxstyles"/>
              <w:rPr>
                <w:rFonts w:eastAsia="Calibri"/>
              </w:rPr>
            </w:pPr>
            <w:r w:rsidRPr="00FE7622">
              <w:rPr>
                <w:rFonts w:eastAsia="Calibri"/>
                <w:color w:val="auto"/>
              </w:rPr>
              <w:t>69</w:t>
            </w:r>
          </w:p>
        </w:tc>
        <w:tc>
          <w:tcPr>
            <w:tcW w:w="0" w:type="auto"/>
            <w:shd w:val="clear" w:color="auto" w:fill="auto"/>
          </w:tcPr>
          <w:p w14:paraId="5B586B98" w14:textId="77777777" w:rsidR="00F026E8" w:rsidRPr="00FE7622" w:rsidRDefault="00F026E8" w:rsidP="00AF19CC">
            <w:pPr>
              <w:pStyle w:val="72TabletextTablesTableFigureBoxstyles"/>
              <w:rPr>
                <w:rFonts w:eastAsia="Calibri"/>
                <w:color w:val="auto"/>
              </w:rPr>
            </w:pPr>
            <w:r w:rsidRPr="00FE7622">
              <w:rPr>
                <w:rFonts w:eastAsia="Calibri"/>
                <w:color w:val="auto"/>
              </w:rPr>
              <w:t>62</w:t>
            </w:r>
          </w:p>
        </w:tc>
      </w:tr>
      <w:tr w:rsidR="00F026E8" w:rsidRPr="00FE7622" w14:paraId="1790BC8D" w14:textId="77777777" w:rsidTr="00AF19CC">
        <w:trPr>
          <w:cantSplit/>
        </w:trPr>
        <w:tc>
          <w:tcPr>
            <w:tcW w:w="0" w:type="auto"/>
            <w:shd w:val="clear" w:color="auto" w:fill="auto"/>
          </w:tcPr>
          <w:p w14:paraId="18DDE842" w14:textId="77777777" w:rsidR="00F026E8" w:rsidRPr="00FE7622" w:rsidRDefault="00F026E8" w:rsidP="00AF19CC">
            <w:pPr>
              <w:pStyle w:val="72TabletextTablesTableFigureBoxstyles"/>
              <w:rPr>
                <w:rFonts w:eastAsia="Calibri"/>
              </w:rPr>
            </w:pPr>
            <w:r w:rsidRPr="00FE7622">
              <w:rPr>
                <w:rFonts w:eastAsia="Calibri"/>
                <w:color w:val="auto"/>
              </w:rPr>
              <w:t>Number of adverse events</w:t>
            </w:r>
          </w:p>
        </w:tc>
        <w:tc>
          <w:tcPr>
            <w:tcW w:w="0" w:type="auto"/>
            <w:shd w:val="clear" w:color="auto" w:fill="auto"/>
          </w:tcPr>
          <w:p w14:paraId="1423E11B" w14:textId="77777777" w:rsidR="00F026E8" w:rsidRPr="00FE7622" w:rsidRDefault="00F026E8" w:rsidP="00AF19CC">
            <w:pPr>
              <w:pStyle w:val="72TabletextTablesTableFigureBoxstyles"/>
              <w:rPr>
                <w:rFonts w:eastAsia="Calibri"/>
              </w:rPr>
            </w:pPr>
            <w:r w:rsidRPr="00FE7622">
              <w:rPr>
                <w:rFonts w:eastAsia="Calibri"/>
                <w:color w:val="auto"/>
              </w:rPr>
              <w:t>218</w:t>
            </w:r>
          </w:p>
        </w:tc>
        <w:tc>
          <w:tcPr>
            <w:tcW w:w="0" w:type="auto"/>
            <w:shd w:val="clear" w:color="auto" w:fill="auto"/>
          </w:tcPr>
          <w:p w14:paraId="3F7F73F8" w14:textId="77777777" w:rsidR="00F026E8" w:rsidRPr="00FE7622" w:rsidRDefault="00F026E8" w:rsidP="00AF19CC">
            <w:pPr>
              <w:pStyle w:val="72TabletextTablesTableFigureBoxstyles"/>
              <w:rPr>
                <w:rFonts w:eastAsia="Calibri"/>
                <w:color w:val="auto"/>
              </w:rPr>
            </w:pPr>
            <w:r w:rsidRPr="00FE7622">
              <w:rPr>
                <w:rFonts w:eastAsia="Calibri"/>
                <w:color w:val="auto"/>
              </w:rPr>
              <w:t>165</w:t>
            </w:r>
          </w:p>
        </w:tc>
      </w:tr>
      <w:tr w:rsidR="00F026E8" w:rsidRPr="00FE7622" w14:paraId="1AD7EA85" w14:textId="77777777" w:rsidTr="00AF19CC">
        <w:trPr>
          <w:cantSplit/>
        </w:trPr>
        <w:tc>
          <w:tcPr>
            <w:tcW w:w="0" w:type="auto"/>
            <w:gridSpan w:val="3"/>
            <w:shd w:val="clear" w:color="auto" w:fill="auto"/>
          </w:tcPr>
          <w:p w14:paraId="269E1D54" w14:textId="3546EB97" w:rsidR="00F026E8" w:rsidRPr="00FE7622" w:rsidRDefault="00F026E8" w:rsidP="00AF19CC">
            <w:pPr>
              <w:pStyle w:val="72TabletextTablesTableFigureBoxstyles"/>
              <w:rPr>
                <w:rFonts w:eastAsia="Calibri"/>
                <w:color w:val="auto"/>
              </w:rPr>
            </w:pPr>
            <w:r w:rsidRPr="00FE7622">
              <w:rPr>
                <w:rFonts w:eastAsia="Calibri"/>
                <w:color w:val="auto"/>
              </w:rPr>
              <w:t>Number of individual adverse events</w:t>
            </w:r>
          </w:p>
        </w:tc>
      </w:tr>
      <w:tr w:rsidR="00F026E8" w:rsidRPr="00FE7622" w14:paraId="3073EBEE" w14:textId="77777777" w:rsidTr="00AF19CC">
        <w:trPr>
          <w:cantSplit/>
        </w:trPr>
        <w:tc>
          <w:tcPr>
            <w:tcW w:w="0" w:type="auto"/>
            <w:shd w:val="clear" w:color="auto" w:fill="auto"/>
          </w:tcPr>
          <w:p w14:paraId="684CC356" w14:textId="0E1ECFF8"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Blood and lymphatic system disorders</w:t>
            </w:r>
          </w:p>
        </w:tc>
        <w:tc>
          <w:tcPr>
            <w:tcW w:w="0" w:type="auto"/>
            <w:shd w:val="clear" w:color="auto" w:fill="auto"/>
          </w:tcPr>
          <w:p w14:paraId="63EE9DF8" w14:textId="77777777" w:rsidR="00F026E8" w:rsidRPr="00FE7622" w:rsidRDefault="00F026E8" w:rsidP="00AF19CC">
            <w:pPr>
              <w:pStyle w:val="72TabletextTablesTableFigureBoxstyles"/>
              <w:rPr>
                <w:rFonts w:eastAsia="Calibri"/>
              </w:rPr>
            </w:pPr>
            <w:r w:rsidRPr="00FE7622">
              <w:rPr>
                <w:color w:val="auto"/>
              </w:rPr>
              <w:t>2</w:t>
            </w:r>
          </w:p>
        </w:tc>
        <w:tc>
          <w:tcPr>
            <w:tcW w:w="0" w:type="auto"/>
            <w:shd w:val="clear" w:color="auto" w:fill="auto"/>
          </w:tcPr>
          <w:p w14:paraId="542F2A3B" w14:textId="77777777" w:rsidR="00F026E8" w:rsidRPr="00FE7622" w:rsidRDefault="00F026E8" w:rsidP="00AF19CC">
            <w:pPr>
              <w:pStyle w:val="72TabletextTablesTableFigureBoxstyles"/>
              <w:rPr>
                <w:rFonts w:eastAsia="Calibri"/>
                <w:color w:val="auto"/>
              </w:rPr>
            </w:pPr>
            <w:r w:rsidRPr="00FE7622">
              <w:rPr>
                <w:color w:val="auto"/>
              </w:rPr>
              <w:t>2</w:t>
            </w:r>
          </w:p>
        </w:tc>
      </w:tr>
      <w:tr w:rsidR="00F026E8" w:rsidRPr="00FE7622" w14:paraId="680CA2AF" w14:textId="77777777" w:rsidTr="00AF19CC">
        <w:trPr>
          <w:cantSplit/>
        </w:trPr>
        <w:tc>
          <w:tcPr>
            <w:tcW w:w="0" w:type="auto"/>
            <w:shd w:val="clear" w:color="auto" w:fill="auto"/>
          </w:tcPr>
          <w:p w14:paraId="6A2EE2C6" w14:textId="4F1D1A16"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Cardiac disorders</w:t>
            </w:r>
          </w:p>
        </w:tc>
        <w:tc>
          <w:tcPr>
            <w:tcW w:w="0" w:type="auto"/>
            <w:shd w:val="clear" w:color="auto" w:fill="auto"/>
          </w:tcPr>
          <w:p w14:paraId="23BEB38D" w14:textId="77777777" w:rsidR="00F026E8" w:rsidRPr="00FE7622" w:rsidRDefault="00F026E8" w:rsidP="00AF19CC">
            <w:pPr>
              <w:pStyle w:val="72TabletextTablesTableFigureBoxstyles"/>
              <w:rPr>
                <w:rFonts w:eastAsia="Calibri"/>
              </w:rPr>
            </w:pPr>
            <w:r w:rsidRPr="00FE7622">
              <w:rPr>
                <w:color w:val="auto"/>
              </w:rPr>
              <w:t>6</w:t>
            </w:r>
          </w:p>
        </w:tc>
        <w:tc>
          <w:tcPr>
            <w:tcW w:w="0" w:type="auto"/>
            <w:shd w:val="clear" w:color="auto" w:fill="auto"/>
          </w:tcPr>
          <w:p w14:paraId="65FAF818" w14:textId="77777777" w:rsidR="00F026E8" w:rsidRPr="00FE7622" w:rsidRDefault="00F026E8" w:rsidP="00AF19CC">
            <w:pPr>
              <w:pStyle w:val="72TabletextTablesTableFigureBoxstyles"/>
              <w:rPr>
                <w:rFonts w:eastAsia="Calibri"/>
                <w:color w:val="auto"/>
              </w:rPr>
            </w:pPr>
            <w:r w:rsidRPr="00FE7622">
              <w:rPr>
                <w:color w:val="auto"/>
              </w:rPr>
              <w:t>7</w:t>
            </w:r>
          </w:p>
        </w:tc>
      </w:tr>
      <w:tr w:rsidR="00F026E8" w:rsidRPr="00FE7622" w14:paraId="75FFDB42" w14:textId="77777777" w:rsidTr="00AF19CC">
        <w:trPr>
          <w:cantSplit/>
        </w:trPr>
        <w:tc>
          <w:tcPr>
            <w:tcW w:w="0" w:type="auto"/>
            <w:shd w:val="clear" w:color="auto" w:fill="auto"/>
          </w:tcPr>
          <w:p w14:paraId="47C9F7FA" w14:textId="2A7E924A"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Eye disorders</w:t>
            </w:r>
          </w:p>
        </w:tc>
        <w:tc>
          <w:tcPr>
            <w:tcW w:w="0" w:type="auto"/>
            <w:shd w:val="clear" w:color="auto" w:fill="auto"/>
          </w:tcPr>
          <w:p w14:paraId="2A3B1AF2" w14:textId="77777777" w:rsidR="00F026E8" w:rsidRPr="00FE7622" w:rsidRDefault="00F026E8" w:rsidP="00AF19CC">
            <w:pPr>
              <w:pStyle w:val="72TabletextTablesTableFigureBoxstyles"/>
              <w:rPr>
                <w:rFonts w:eastAsia="Calibri"/>
              </w:rPr>
            </w:pPr>
            <w:r w:rsidRPr="00FE7622">
              <w:rPr>
                <w:color w:val="auto"/>
              </w:rPr>
              <w:t>3</w:t>
            </w:r>
          </w:p>
        </w:tc>
        <w:tc>
          <w:tcPr>
            <w:tcW w:w="0" w:type="auto"/>
            <w:shd w:val="clear" w:color="auto" w:fill="auto"/>
          </w:tcPr>
          <w:p w14:paraId="388589AF" w14:textId="77777777" w:rsidR="00F026E8" w:rsidRPr="00FE7622" w:rsidRDefault="00F026E8" w:rsidP="00AF19CC">
            <w:pPr>
              <w:pStyle w:val="72TabletextTablesTableFigureBoxstyles"/>
              <w:rPr>
                <w:rFonts w:eastAsia="Calibri"/>
                <w:color w:val="auto"/>
              </w:rPr>
            </w:pPr>
            <w:r w:rsidRPr="00FE7622">
              <w:rPr>
                <w:color w:val="auto"/>
              </w:rPr>
              <w:t>5</w:t>
            </w:r>
          </w:p>
        </w:tc>
      </w:tr>
      <w:tr w:rsidR="00F026E8" w:rsidRPr="00FE7622" w14:paraId="14697B22" w14:textId="77777777" w:rsidTr="00AF19CC">
        <w:trPr>
          <w:cantSplit/>
        </w:trPr>
        <w:tc>
          <w:tcPr>
            <w:tcW w:w="0" w:type="auto"/>
            <w:shd w:val="clear" w:color="auto" w:fill="auto"/>
          </w:tcPr>
          <w:p w14:paraId="738B6743" w14:textId="54BEE19F"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Gastrointestinal disorders</w:t>
            </w:r>
          </w:p>
        </w:tc>
        <w:tc>
          <w:tcPr>
            <w:tcW w:w="0" w:type="auto"/>
            <w:shd w:val="clear" w:color="auto" w:fill="auto"/>
          </w:tcPr>
          <w:p w14:paraId="460571F2" w14:textId="77777777" w:rsidR="00F026E8" w:rsidRPr="00FE7622" w:rsidRDefault="00F026E8" w:rsidP="00AF19CC">
            <w:pPr>
              <w:pStyle w:val="72TabletextTablesTableFigureBoxstyles"/>
              <w:rPr>
                <w:rFonts w:eastAsia="Calibri"/>
              </w:rPr>
            </w:pPr>
            <w:r w:rsidRPr="00FE7622">
              <w:rPr>
                <w:color w:val="auto"/>
              </w:rPr>
              <w:t>37</w:t>
            </w:r>
          </w:p>
        </w:tc>
        <w:tc>
          <w:tcPr>
            <w:tcW w:w="0" w:type="auto"/>
            <w:shd w:val="clear" w:color="auto" w:fill="auto"/>
          </w:tcPr>
          <w:p w14:paraId="59F12D73" w14:textId="77777777" w:rsidR="00F026E8" w:rsidRPr="00FE7622" w:rsidRDefault="00F026E8" w:rsidP="00AF19CC">
            <w:pPr>
              <w:pStyle w:val="72TabletextTablesTableFigureBoxstyles"/>
              <w:rPr>
                <w:rFonts w:eastAsia="Calibri"/>
                <w:color w:val="auto"/>
              </w:rPr>
            </w:pPr>
            <w:r w:rsidRPr="00FE7622">
              <w:rPr>
                <w:color w:val="auto"/>
              </w:rPr>
              <w:t>26</w:t>
            </w:r>
          </w:p>
        </w:tc>
      </w:tr>
      <w:tr w:rsidR="00F026E8" w:rsidRPr="00FE7622" w14:paraId="7B95AE4F" w14:textId="77777777" w:rsidTr="00AF19CC">
        <w:trPr>
          <w:cantSplit/>
        </w:trPr>
        <w:tc>
          <w:tcPr>
            <w:tcW w:w="0" w:type="auto"/>
            <w:shd w:val="clear" w:color="auto" w:fill="auto"/>
          </w:tcPr>
          <w:p w14:paraId="2DA57F79" w14:textId="39E26834"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General disorders and administration site conditions</w:t>
            </w:r>
          </w:p>
        </w:tc>
        <w:tc>
          <w:tcPr>
            <w:tcW w:w="0" w:type="auto"/>
            <w:shd w:val="clear" w:color="auto" w:fill="auto"/>
          </w:tcPr>
          <w:p w14:paraId="411820AB" w14:textId="77777777" w:rsidR="00F026E8" w:rsidRPr="00FE7622" w:rsidRDefault="00F026E8" w:rsidP="00AF19CC">
            <w:pPr>
              <w:pStyle w:val="72TabletextTablesTableFigureBoxstyles"/>
              <w:rPr>
                <w:rFonts w:eastAsia="Calibri"/>
              </w:rPr>
            </w:pPr>
            <w:r w:rsidRPr="00FE7622">
              <w:rPr>
                <w:color w:val="auto"/>
              </w:rPr>
              <w:t>9</w:t>
            </w:r>
          </w:p>
        </w:tc>
        <w:tc>
          <w:tcPr>
            <w:tcW w:w="0" w:type="auto"/>
            <w:shd w:val="clear" w:color="auto" w:fill="auto"/>
          </w:tcPr>
          <w:p w14:paraId="55AA268C" w14:textId="77777777" w:rsidR="00F026E8" w:rsidRPr="00FE7622" w:rsidRDefault="00F026E8" w:rsidP="00AF19CC">
            <w:pPr>
              <w:pStyle w:val="72TabletextTablesTableFigureBoxstyles"/>
              <w:rPr>
                <w:rFonts w:eastAsia="Calibri"/>
                <w:color w:val="auto"/>
              </w:rPr>
            </w:pPr>
            <w:r w:rsidRPr="00FE7622">
              <w:rPr>
                <w:color w:val="auto"/>
              </w:rPr>
              <w:t>6</w:t>
            </w:r>
          </w:p>
        </w:tc>
      </w:tr>
      <w:tr w:rsidR="00F026E8" w:rsidRPr="00FE7622" w14:paraId="237CF7EC" w14:textId="77777777" w:rsidTr="00AF19CC">
        <w:trPr>
          <w:cantSplit/>
        </w:trPr>
        <w:tc>
          <w:tcPr>
            <w:tcW w:w="0" w:type="auto"/>
            <w:shd w:val="clear" w:color="auto" w:fill="auto"/>
          </w:tcPr>
          <w:p w14:paraId="384D0AA8" w14:textId="3DC46BC2"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Hepatobiliary disorders</w:t>
            </w:r>
          </w:p>
        </w:tc>
        <w:tc>
          <w:tcPr>
            <w:tcW w:w="0" w:type="auto"/>
            <w:shd w:val="clear" w:color="auto" w:fill="auto"/>
          </w:tcPr>
          <w:p w14:paraId="7E9E8F8B" w14:textId="77777777" w:rsidR="00F026E8" w:rsidRPr="00FE7622" w:rsidRDefault="00F026E8" w:rsidP="00AF19CC">
            <w:pPr>
              <w:pStyle w:val="72TabletextTablesTableFigureBoxstyles"/>
              <w:rPr>
                <w:rFonts w:eastAsia="Calibri"/>
              </w:rPr>
            </w:pPr>
            <w:r w:rsidRPr="00FE7622">
              <w:rPr>
                <w:color w:val="auto"/>
              </w:rPr>
              <w:t>0</w:t>
            </w:r>
          </w:p>
        </w:tc>
        <w:tc>
          <w:tcPr>
            <w:tcW w:w="0" w:type="auto"/>
            <w:shd w:val="clear" w:color="auto" w:fill="auto"/>
          </w:tcPr>
          <w:p w14:paraId="23F5B066" w14:textId="77777777" w:rsidR="00F026E8" w:rsidRPr="00FE7622" w:rsidRDefault="00F026E8" w:rsidP="00AF19CC">
            <w:pPr>
              <w:pStyle w:val="72TabletextTablesTableFigureBoxstyles"/>
              <w:rPr>
                <w:rFonts w:eastAsia="Calibri"/>
                <w:color w:val="auto"/>
              </w:rPr>
            </w:pPr>
            <w:r w:rsidRPr="00FE7622">
              <w:rPr>
                <w:color w:val="auto"/>
              </w:rPr>
              <w:t>1</w:t>
            </w:r>
          </w:p>
        </w:tc>
      </w:tr>
      <w:tr w:rsidR="00F026E8" w:rsidRPr="00FE7622" w14:paraId="60FC01D1" w14:textId="77777777" w:rsidTr="00AF19CC">
        <w:trPr>
          <w:cantSplit/>
        </w:trPr>
        <w:tc>
          <w:tcPr>
            <w:tcW w:w="0" w:type="auto"/>
            <w:shd w:val="clear" w:color="auto" w:fill="auto"/>
          </w:tcPr>
          <w:p w14:paraId="0C3FDB6D" w14:textId="3366B54A"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Infections and infestations</w:t>
            </w:r>
          </w:p>
        </w:tc>
        <w:tc>
          <w:tcPr>
            <w:tcW w:w="0" w:type="auto"/>
            <w:shd w:val="clear" w:color="auto" w:fill="auto"/>
          </w:tcPr>
          <w:p w14:paraId="08D18B0A" w14:textId="77777777" w:rsidR="00F026E8" w:rsidRPr="00FE7622" w:rsidRDefault="00F026E8" w:rsidP="00AF19CC">
            <w:pPr>
              <w:pStyle w:val="72TabletextTablesTableFigureBoxstyles"/>
              <w:rPr>
                <w:rFonts w:eastAsia="Calibri"/>
              </w:rPr>
            </w:pPr>
            <w:r w:rsidRPr="00FE7622">
              <w:rPr>
                <w:color w:val="auto"/>
              </w:rPr>
              <w:t>40</w:t>
            </w:r>
          </w:p>
        </w:tc>
        <w:tc>
          <w:tcPr>
            <w:tcW w:w="0" w:type="auto"/>
            <w:shd w:val="clear" w:color="auto" w:fill="auto"/>
          </w:tcPr>
          <w:p w14:paraId="69CFB913" w14:textId="77777777" w:rsidR="00F026E8" w:rsidRPr="00FE7622" w:rsidRDefault="00F026E8" w:rsidP="00AF19CC">
            <w:pPr>
              <w:pStyle w:val="72TabletextTablesTableFigureBoxstyles"/>
              <w:rPr>
                <w:rFonts w:eastAsia="Calibri"/>
                <w:color w:val="auto"/>
              </w:rPr>
            </w:pPr>
            <w:r w:rsidRPr="00FE7622">
              <w:rPr>
                <w:color w:val="auto"/>
              </w:rPr>
              <w:t>38</w:t>
            </w:r>
          </w:p>
        </w:tc>
      </w:tr>
      <w:tr w:rsidR="00F026E8" w:rsidRPr="00FE7622" w14:paraId="519EB73A" w14:textId="77777777" w:rsidTr="00AF19CC">
        <w:trPr>
          <w:cantSplit/>
        </w:trPr>
        <w:tc>
          <w:tcPr>
            <w:tcW w:w="0" w:type="auto"/>
            <w:shd w:val="clear" w:color="auto" w:fill="auto"/>
          </w:tcPr>
          <w:p w14:paraId="3EDE88B1" w14:textId="06459A20"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Injury, poisoning and procedural complications</w:t>
            </w:r>
          </w:p>
        </w:tc>
        <w:tc>
          <w:tcPr>
            <w:tcW w:w="0" w:type="auto"/>
            <w:shd w:val="clear" w:color="auto" w:fill="auto"/>
          </w:tcPr>
          <w:p w14:paraId="7A2EB900" w14:textId="77777777" w:rsidR="00F026E8" w:rsidRPr="00FE7622" w:rsidRDefault="00F026E8" w:rsidP="00AF19CC">
            <w:pPr>
              <w:pStyle w:val="72TabletextTablesTableFigureBoxstyles"/>
              <w:rPr>
                <w:rFonts w:eastAsia="Calibri"/>
              </w:rPr>
            </w:pPr>
            <w:r w:rsidRPr="00FE7622">
              <w:rPr>
                <w:color w:val="auto"/>
              </w:rPr>
              <w:t>22</w:t>
            </w:r>
          </w:p>
        </w:tc>
        <w:tc>
          <w:tcPr>
            <w:tcW w:w="0" w:type="auto"/>
            <w:shd w:val="clear" w:color="auto" w:fill="auto"/>
          </w:tcPr>
          <w:p w14:paraId="6D7C38DF" w14:textId="77777777" w:rsidR="00F026E8" w:rsidRPr="00FE7622" w:rsidRDefault="00F026E8" w:rsidP="00AF19CC">
            <w:pPr>
              <w:pStyle w:val="72TabletextTablesTableFigureBoxstyles"/>
              <w:rPr>
                <w:rFonts w:eastAsia="Calibri"/>
                <w:color w:val="auto"/>
              </w:rPr>
            </w:pPr>
            <w:r w:rsidRPr="00FE7622">
              <w:rPr>
                <w:color w:val="auto"/>
              </w:rPr>
              <w:t>12</w:t>
            </w:r>
          </w:p>
        </w:tc>
      </w:tr>
      <w:tr w:rsidR="00F026E8" w:rsidRPr="00FE7622" w14:paraId="2CA284D7" w14:textId="77777777" w:rsidTr="00AF19CC">
        <w:trPr>
          <w:cantSplit/>
        </w:trPr>
        <w:tc>
          <w:tcPr>
            <w:tcW w:w="0" w:type="auto"/>
            <w:shd w:val="clear" w:color="auto" w:fill="auto"/>
          </w:tcPr>
          <w:p w14:paraId="50E7FB6B" w14:textId="3736609E"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Investigations</w:t>
            </w:r>
          </w:p>
        </w:tc>
        <w:tc>
          <w:tcPr>
            <w:tcW w:w="0" w:type="auto"/>
            <w:shd w:val="clear" w:color="auto" w:fill="auto"/>
          </w:tcPr>
          <w:p w14:paraId="6EA51F6B" w14:textId="77777777" w:rsidR="00F026E8" w:rsidRPr="00FE7622" w:rsidRDefault="00F026E8" w:rsidP="00AF19CC">
            <w:pPr>
              <w:pStyle w:val="72TabletextTablesTableFigureBoxstyles"/>
              <w:rPr>
                <w:rFonts w:eastAsia="Calibri"/>
              </w:rPr>
            </w:pPr>
            <w:r w:rsidRPr="00FE7622">
              <w:rPr>
                <w:color w:val="auto"/>
              </w:rPr>
              <w:t>2</w:t>
            </w:r>
          </w:p>
        </w:tc>
        <w:tc>
          <w:tcPr>
            <w:tcW w:w="0" w:type="auto"/>
            <w:shd w:val="clear" w:color="auto" w:fill="auto"/>
          </w:tcPr>
          <w:p w14:paraId="4FB34D1F" w14:textId="77777777" w:rsidR="00F026E8" w:rsidRPr="00FE7622" w:rsidRDefault="00F026E8" w:rsidP="00AF19CC">
            <w:pPr>
              <w:pStyle w:val="72TabletextTablesTableFigureBoxstyles"/>
              <w:rPr>
                <w:rFonts w:eastAsia="Calibri"/>
                <w:color w:val="auto"/>
              </w:rPr>
            </w:pPr>
            <w:r w:rsidRPr="00FE7622">
              <w:rPr>
                <w:color w:val="auto"/>
              </w:rPr>
              <w:t>2</w:t>
            </w:r>
          </w:p>
        </w:tc>
      </w:tr>
      <w:tr w:rsidR="00F026E8" w:rsidRPr="00FE7622" w14:paraId="565CB686" w14:textId="77777777" w:rsidTr="00AF19CC">
        <w:trPr>
          <w:cantSplit/>
        </w:trPr>
        <w:tc>
          <w:tcPr>
            <w:tcW w:w="0" w:type="auto"/>
            <w:shd w:val="clear" w:color="auto" w:fill="auto"/>
          </w:tcPr>
          <w:p w14:paraId="71CEF921" w14:textId="3C256092"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Metabolism and nutrition disorders</w:t>
            </w:r>
          </w:p>
        </w:tc>
        <w:tc>
          <w:tcPr>
            <w:tcW w:w="0" w:type="auto"/>
            <w:shd w:val="clear" w:color="auto" w:fill="auto"/>
          </w:tcPr>
          <w:p w14:paraId="2C385CB4" w14:textId="77777777" w:rsidR="00F026E8" w:rsidRPr="00FE7622" w:rsidRDefault="00F026E8" w:rsidP="00AF19CC">
            <w:pPr>
              <w:pStyle w:val="72TabletextTablesTableFigureBoxstyles"/>
              <w:rPr>
                <w:rFonts w:eastAsia="Calibri"/>
              </w:rPr>
            </w:pPr>
            <w:r w:rsidRPr="00FE7622">
              <w:rPr>
                <w:color w:val="auto"/>
              </w:rPr>
              <w:t>8</w:t>
            </w:r>
          </w:p>
        </w:tc>
        <w:tc>
          <w:tcPr>
            <w:tcW w:w="0" w:type="auto"/>
            <w:shd w:val="clear" w:color="auto" w:fill="auto"/>
          </w:tcPr>
          <w:p w14:paraId="094926A8" w14:textId="77777777" w:rsidR="00F026E8" w:rsidRPr="00FE7622" w:rsidRDefault="00F026E8" w:rsidP="00AF19CC">
            <w:pPr>
              <w:pStyle w:val="72TabletextTablesTableFigureBoxstyles"/>
              <w:rPr>
                <w:rFonts w:eastAsia="Calibri"/>
                <w:color w:val="auto"/>
              </w:rPr>
            </w:pPr>
            <w:r w:rsidRPr="00FE7622">
              <w:rPr>
                <w:color w:val="auto"/>
              </w:rPr>
              <w:t>3</w:t>
            </w:r>
          </w:p>
        </w:tc>
      </w:tr>
      <w:tr w:rsidR="00F026E8" w:rsidRPr="00FE7622" w14:paraId="72AF194F" w14:textId="77777777" w:rsidTr="00AF19CC">
        <w:trPr>
          <w:cantSplit/>
        </w:trPr>
        <w:tc>
          <w:tcPr>
            <w:tcW w:w="0" w:type="auto"/>
            <w:shd w:val="clear" w:color="auto" w:fill="auto"/>
          </w:tcPr>
          <w:p w14:paraId="3DD31510" w14:textId="00F68C59"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Musculoskeletal and connective tissue disorders</w:t>
            </w:r>
          </w:p>
        </w:tc>
        <w:tc>
          <w:tcPr>
            <w:tcW w:w="0" w:type="auto"/>
            <w:shd w:val="clear" w:color="auto" w:fill="auto"/>
          </w:tcPr>
          <w:p w14:paraId="65DBCD3E" w14:textId="77777777" w:rsidR="00F026E8" w:rsidRPr="00FE7622" w:rsidRDefault="00F026E8" w:rsidP="00AF19CC">
            <w:pPr>
              <w:pStyle w:val="72TabletextTablesTableFigureBoxstyles"/>
              <w:rPr>
                <w:rFonts w:eastAsia="Calibri"/>
              </w:rPr>
            </w:pPr>
            <w:r w:rsidRPr="00FE7622">
              <w:rPr>
                <w:color w:val="auto"/>
              </w:rPr>
              <w:t>21</w:t>
            </w:r>
          </w:p>
        </w:tc>
        <w:tc>
          <w:tcPr>
            <w:tcW w:w="0" w:type="auto"/>
            <w:shd w:val="clear" w:color="auto" w:fill="auto"/>
          </w:tcPr>
          <w:p w14:paraId="3C5DB9D6" w14:textId="77777777" w:rsidR="00F026E8" w:rsidRPr="00FE7622" w:rsidRDefault="00F026E8" w:rsidP="00AF19CC">
            <w:pPr>
              <w:pStyle w:val="72TabletextTablesTableFigureBoxstyles"/>
              <w:rPr>
                <w:rFonts w:eastAsia="Calibri"/>
                <w:color w:val="auto"/>
              </w:rPr>
            </w:pPr>
            <w:r w:rsidRPr="00FE7622">
              <w:rPr>
                <w:color w:val="auto"/>
              </w:rPr>
              <w:t>19</w:t>
            </w:r>
          </w:p>
        </w:tc>
      </w:tr>
      <w:tr w:rsidR="00F026E8" w:rsidRPr="00FE7622" w14:paraId="77DEAA70" w14:textId="77777777" w:rsidTr="00AF19CC">
        <w:trPr>
          <w:cantSplit/>
        </w:trPr>
        <w:tc>
          <w:tcPr>
            <w:tcW w:w="0" w:type="auto"/>
            <w:shd w:val="clear" w:color="auto" w:fill="auto"/>
          </w:tcPr>
          <w:p w14:paraId="426AF258" w14:textId="55454D3C"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Neoplasms benign, malignant and unspecified</w:t>
            </w:r>
          </w:p>
        </w:tc>
        <w:tc>
          <w:tcPr>
            <w:tcW w:w="0" w:type="auto"/>
            <w:shd w:val="clear" w:color="auto" w:fill="auto"/>
          </w:tcPr>
          <w:p w14:paraId="1BE0038C" w14:textId="77777777" w:rsidR="00F026E8" w:rsidRPr="00FE7622" w:rsidRDefault="00F026E8" w:rsidP="00AF19CC">
            <w:pPr>
              <w:pStyle w:val="72TabletextTablesTableFigureBoxstyles"/>
              <w:rPr>
                <w:rFonts w:eastAsia="Calibri"/>
              </w:rPr>
            </w:pPr>
            <w:r w:rsidRPr="00FE7622">
              <w:rPr>
                <w:color w:val="auto"/>
              </w:rPr>
              <w:t>5</w:t>
            </w:r>
          </w:p>
        </w:tc>
        <w:tc>
          <w:tcPr>
            <w:tcW w:w="0" w:type="auto"/>
            <w:shd w:val="clear" w:color="auto" w:fill="auto"/>
          </w:tcPr>
          <w:p w14:paraId="7BF4C2B6" w14:textId="77777777" w:rsidR="00F026E8" w:rsidRPr="00FE7622" w:rsidRDefault="00F026E8" w:rsidP="00AF19CC">
            <w:pPr>
              <w:pStyle w:val="72TabletextTablesTableFigureBoxstyles"/>
              <w:rPr>
                <w:rFonts w:eastAsia="Calibri"/>
                <w:color w:val="auto"/>
              </w:rPr>
            </w:pPr>
            <w:r w:rsidRPr="00FE7622">
              <w:rPr>
                <w:color w:val="auto"/>
              </w:rPr>
              <w:t>4</w:t>
            </w:r>
          </w:p>
        </w:tc>
      </w:tr>
      <w:tr w:rsidR="00F026E8" w:rsidRPr="00FE7622" w14:paraId="61ED61FD" w14:textId="77777777" w:rsidTr="00AF19CC">
        <w:trPr>
          <w:cantSplit/>
        </w:trPr>
        <w:tc>
          <w:tcPr>
            <w:tcW w:w="0" w:type="auto"/>
            <w:shd w:val="clear" w:color="auto" w:fill="auto"/>
          </w:tcPr>
          <w:p w14:paraId="343D814D" w14:textId="094F05C0"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Nervous system disorders</w:t>
            </w:r>
          </w:p>
        </w:tc>
        <w:tc>
          <w:tcPr>
            <w:tcW w:w="0" w:type="auto"/>
            <w:shd w:val="clear" w:color="auto" w:fill="auto"/>
          </w:tcPr>
          <w:p w14:paraId="36962F21" w14:textId="77777777" w:rsidR="00F026E8" w:rsidRPr="00FE7622" w:rsidRDefault="00F026E8" w:rsidP="00AF19CC">
            <w:pPr>
              <w:pStyle w:val="72TabletextTablesTableFigureBoxstyles"/>
              <w:rPr>
                <w:rFonts w:eastAsia="Calibri"/>
              </w:rPr>
            </w:pPr>
            <w:r w:rsidRPr="00FE7622">
              <w:rPr>
                <w:color w:val="auto"/>
              </w:rPr>
              <w:t>26</w:t>
            </w:r>
          </w:p>
        </w:tc>
        <w:tc>
          <w:tcPr>
            <w:tcW w:w="0" w:type="auto"/>
            <w:shd w:val="clear" w:color="auto" w:fill="auto"/>
          </w:tcPr>
          <w:p w14:paraId="3A9ADBC2" w14:textId="77777777" w:rsidR="00F026E8" w:rsidRPr="00FE7622" w:rsidRDefault="00F026E8" w:rsidP="00AF19CC">
            <w:pPr>
              <w:pStyle w:val="72TabletextTablesTableFigureBoxstyles"/>
              <w:rPr>
                <w:rFonts w:eastAsia="Calibri"/>
                <w:color w:val="auto"/>
              </w:rPr>
            </w:pPr>
            <w:r w:rsidRPr="00FE7622">
              <w:rPr>
                <w:color w:val="auto"/>
              </w:rPr>
              <w:t>17</w:t>
            </w:r>
          </w:p>
        </w:tc>
      </w:tr>
      <w:tr w:rsidR="00F026E8" w:rsidRPr="00FE7622" w14:paraId="0A1A17FB" w14:textId="77777777" w:rsidTr="00AF19CC">
        <w:trPr>
          <w:cantSplit/>
        </w:trPr>
        <w:tc>
          <w:tcPr>
            <w:tcW w:w="0" w:type="auto"/>
            <w:shd w:val="clear" w:color="auto" w:fill="auto"/>
          </w:tcPr>
          <w:p w14:paraId="6AD50FCF" w14:textId="379C4E29"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Psychiatric disorders</w:t>
            </w:r>
          </w:p>
        </w:tc>
        <w:tc>
          <w:tcPr>
            <w:tcW w:w="0" w:type="auto"/>
            <w:shd w:val="clear" w:color="auto" w:fill="auto"/>
          </w:tcPr>
          <w:p w14:paraId="0ACC5D6E" w14:textId="77777777" w:rsidR="00F026E8" w:rsidRPr="00FE7622" w:rsidRDefault="00F026E8" w:rsidP="00AF19CC">
            <w:pPr>
              <w:pStyle w:val="72TabletextTablesTableFigureBoxstyles"/>
              <w:rPr>
                <w:rFonts w:eastAsia="Calibri"/>
              </w:rPr>
            </w:pPr>
            <w:r w:rsidRPr="00FE7622">
              <w:rPr>
                <w:color w:val="auto"/>
              </w:rPr>
              <w:t>6</w:t>
            </w:r>
          </w:p>
        </w:tc>
        <w:tc>
          <w:tcPr>
            <w:tcW w:w="0" w:type="auto"/>
            <w:shd w:val="clear" w:color="auto" w:fill="auto"/>
          </w:tcPr>
          <w:p w14:paraId="5D2907B8" w14:textId="77777777" w:rsidR="00F026E8" w:rsidRPr="00FE7622" w:rsidRDefault="00F026E8" w:rsidP="00AF19CC">
            <w:pPr>
              <w:pStyle w:val="72TabletextTablesTableFigureBoxstyles"/>
              <w:rPr>
                <w:rFonts w:eastAsia="Calibri"/>
                <w:color w:val="auto"/>
              </w:rPr>
            </w:pPr>
            <w:r w:rsidRPr="00FE7622">
              <w:rPr>
                <w:color w:val="auto"/>
              </w:rPr>
              <w:t>1</w:t>
            </w:r>
          </w:p>
        </w:tc>
      </w:tr>
      <w:tr w:rsidR="00F026E8" w:rsidRPr="00FE7622" w14:paraId="3059859B" w14:textId="77777777" w:rsidTr="00AF19CC">
        <w:trPr>
          <w:cantSplit/>
        </w:trPr>
        <w:tc>
          <w:tcPr>
            <w:tcW w:w="0" w:type="auto"/>
            <w:shd w:val="clear" w:color="auto" w:fill="auto"/>
          </w:tcPr>
          <w:p w14:paraId="2616AE82" w14:textId="026F4DF5"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Renal and urinary disorders</w:t>
            </w:r>
          </w:p>
        </w:tc>
        <w:tc>
          <w:tcPr>
            <w:tcW w:w="0" w:type="auto"/>
            <w:shd w:val="clear" w:color="auto" w:fill="auto"/>
          </w:tcPr>
          <w:p w14:paraId="4F317F27" w14:textId="77777777" w:rsidR="00F026E8" w:rsidRPr="00FE7622" w:rsidRDefault="00F026E8" w:rsidP="00AF19CC">
            <w:pPr>
              <w:pStyle w:val="72TabletextTablesTableFigureBoxstyles"/>
              <w:rPr>
                <w:rFonts w:eastAsia="Calibri"/>
              </w:rPr>
            </w:pPr>
            <w:r w:rsidRPr="00FE7622">
              <w:rPr>
                <w:color w:val="auto"/>
              </w:rPr>
              <w:t>5</w:t>
            </w:r>
          </w:p>
        </w:tc>
        <w:tc>
          <w:tcPr>
            <w:tcW w:w="0" w:type="auto"/>
            <w:shd w:val="clear" w:color="auto" w:fill="auto"/>
          </w:tcPr>
          <w:p w14:paraId="38E7D169" w14:textId="77777777" w:rsidR="00F026E8" w:rsidRPr="00FE7622" w:rsidRDefault="00F026E8" w:rsidP="00AF19CC">
            <w:pPr>
              <w:pStyle w:val="72TabletextTablesTableFigureBoxstyles"/>
              <w:rPr>
                <w:rFonts w:eastAsia="Calibri"/>
                <w:color w:val="auto"/>
              </w:rPr>
            </w:pPr>
            <w:r w:rsidRPr="00FE7622">
              <w:rPr>
                <w:color w:val="auto"/>
              </w:rPr>
              <w:t>1</w:t>
            </w:r>
          </w:p>
        </w:tc>
      </w:tr>
      <w:tr w:rsidR="00F026E8" w:rsidRPr="00FE7622" w14:paraId="0299145A" w14:textId="77777777" w:rsidTr="00AF19CC">
        <w:trPr>
          <w:cantSplit/>
        </w:trPr>
        <w:tc>
          <w:tcPr>
            <w:tcW w:w="0" w:type="auto"/>
            <w:shd w:val="clear" w:color="auto" w:fill="auto"/>
          </w:tcPr>
          <w:p w14:paraId="75676AB0" w14:textId="030E5DB7"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Reproductive system and breast disorders</w:t>
            </w:r>
          </w:p>
        </w:tc>
        <w:tc>
          <w:tcPr>
            <w:tcW w:w="0" w:type="auto"/>
            <w:shd w:val="clear" w:color="auto" w:fill="auto"/>
          </w:tcPr>
          <w:p w14:paraId="1B74EAE9" w14:textId="77777777" w:rsidR="00F026E8" w:rsidRPr="00FE7622" w:rsidRDefault="00F026E8" w:rsidP="00AF19CC">
            <w:pPr>
              <w:pStyle w:val="72TabletextTablesTableFigureBoxstyles"/>
              <w:rPr>
                <w:rFonts w:eastAsia="Calibri"/>
              </w:rPr>
            </w:pPr>
            <w:r w:rsidRPr="00FE7622">
              <w:rPr>
                <w:color w:val="auto"/>
              </w:rPr>
              <w:t>2</w:t>
            </w:r>
          </w:p>
        </w:tc>
        <w:tc>
          <w:tcPr>
            <w:tcW w:w="0" w:type="auto"/>
            <w:shd w:val="clear" w:color="auto" w:fill="auto"/>
          </w:tcPr>
          <w:p w14:paraId="6F64A19E" w14:textId="77777777" w:rsidR="00F026E8" w:rsidRPr="00FE7622" w:rsidRDefault="00F026E8" w:rsidP="00AF19CC">
            <w:pPr>
              <w:pStyle w:val="72TabletextTablesTableFigureBoxstyles"/>
              <w:rPr>
                <w:rFonts w:eastAsia="Calibri"/>
                <w:color w:val="auto"/>
              </w:rPr>
            </w:pPr>
            <w:r w:rsidRPr="00FE7622">
              <w:rPr>
                <w:color w:val="auto"/>
              </w:rPr>
              <w:t>0</w:t>
            </w:r>
          </w:p>
        </w:tc>
      </w:tr>
      <w:tr w:rsidR="00F026E8" w:rsidRPr="00FE7622" w14:paraId="49354889" w14:textId="77777777" w:rsidTr="00AF19CC">
        <w:trPr>
          <w:cantSplit/>
        </w:trPr>
        <w:tc>
          <w:tcPr>
            <w:tcW w:w="0" w:type="auto"/>
            <w:shd w:val="clear" w:color="auto" w:fill="auto"/>
          </w:tcPr>
          <w:p w14:paraId="45AE6E2D" w14:textId="592DE151"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Respiratory, thoracic and mediastinal disorders</w:t>
            </w:r>
          </w:p>
        </w:tc>
        <w:tc>
          <w:tcPr>
            <w:tcW w:w="0" w:type="auto"/>
            <w:shd w:val="clear" w:color="auto" w:fill="auto"/>
          </w:tcPr>
          <w:p w14:paraId="4FC59801" w14:textId="77777777" w:rsidR="00F026E8" w:rsidRPr="00FE7622" w:rsidRDefault="00F026E8" w:rsidP="00AF19CC">
            <w:pPr>
              <w:pStyle w:val="72TabletextTablesTableFigureBoxstyles"/>
              <w:rPr>
                <w:rFonts w:eastAsia="Calibri"/>
              </w:rPr>
            </w:pPr>
            <w:r w:rsidRPr="00FE7622">
              <w:rPr>
                <w:color w:val="auto"/>
              </w:rPr>
              <w:t>10</w:t>
            </w:r>
          </w:p>
        </w:tc>
        <w:tc>
          <w:tcPr>
            <w:tcW w:w="0" w:type="auto"/>
            <w:shd w:val="clear" w:color="auto" w:fill="auto"/>
          </w:tcPr>
          <w:p w14:paraId="6A653F2B" w14:textId="77777777" w:rsidR="00F026E8" w:rsidRPr="00FE7622" w:rsidRDefault="00F026E8" w:rsidP="00AF19CC">
            <w:pPr>
              <w:pStyle w:val="72TabletextTablesTableFigureBoxstyles"/>
              <w:rPr>
                <w:rFonts w:eastAsia="Calibri"/>
                <w:color w:val="auto"/>
              </w:rPr>
            </w:pPr>
            <w:r w:rsidRPr="00FE7622">
              <w:rPr>
                <w:color w:val="auto"/>
              </w:rPr>
              <w:t>9</w:t>
            </w:r>
          </w:p>
        </w:tc>
      </w:tr>
      <w:tr w:rsidR="00F026E8" w:rsidRPr="00FE7622" w14:paraId="66D57B71" w14:textId="77777777" w:rsidTr="00AF19CC">
        <w:trPr>
          <w:cantSplit/>
        </w:trPr>
        <w:tc>
          <w:tcPr>
            <w:tcW w:w="0" w:type="auto"/>
            <w:shd w:val="clear" w:color="auto" w:fill="auto"/>
          </w:tcPr>
          <w:p w14:paraId="1C2C8989" w14:textId="5029B4DD"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Skin and subcutaneous tissue disorders</w:t>
            </w:r>
          </w:p>
        </w:tc>
        <w:tc>
          <w:tcPr>
            <w:tcW w:w="0" w:type="auto"/>
            <w:shd w:val="clear" w:color="auto" w:fill="auto"/>
          </w:tcPr>
          <w:p w14:paraId="73A51778" w14:textId="77777777" w:rsidR="00F026E8" w:rsidRPr="00FE7622" w:rsidRDefault="00F026E8" w:rsidP="00AF19CC">
            <w:pPr>
              <w:pStyle w:val="72TabletextTablesTableFigureBoxstyles"/>
              <w:rPr>
                <w:rFonts w:eastAsia="Calibri"/>
              </w:rPr>
            </w:pPr>
            <w:r w:rsidRPr="00FE7622">
              <w:rPr>
                <w:color w:val="auto"/>
              </w:rPr>
              <w:t>9</w:t>
            </w:r>
          </w:p>
        </w:tc>
        <w:tc>
          <w:tcPr>
            <w:tcW w:w="0" w:type="auto"/>
            <w:shd w:val="clear" w:color="auto" w:fill="auto"/>
          </w:tcPr>
          <w:p w14:paraId="1F825A78" w14:textId="77777777" w:rsidR="00F026E8" w:rsidRPr="00FE7622" w:rsidRDefault="00F026E8" w:rsidP="00AF19CC">
            <w:pPr>
              <w:pStyle w:val="72TabletextTablesTableFigureBoxstyles"/>
              <w:rPr>
                <w:rFonts w:eastAsia="Calibri"/>
                <w:color w:val="auto"/>
              </w:rPr>
            </w:pPr>
            <w:r w:rsidRPr="00FE7622">
              <w:rPr>
                <w:color w:val="auto"/>
              </w:rPr>
              <w:t>8</w:t>
            </w:r>
          </w:p>
        </w:tc>
      </w:tr>
      <w:tr w:rsidR="00F026E8" w:rsidRPr="00FE7622" w14:paraId="66FEEE48" w14:textId="77777777" w:rsidTr="00AF19CC">
        <w:trPr>
          <w:cantSplit/>
        </w:trPr>
        <w:tc>
          <w:tcPr>
            <w:tcW w:w="0" w:type="auto"/>
            <w:shd w:val="clear" w:color="auto" w:fill="auto"/>
          </w:tcPr>
          <w:p w14:paraId="26ED93B1" w14:textId="6B0C6FAE" w:rsidR="00F026E8" w:rsidRPr="00FE7622" w:rsidRDefault="00FE1D24" w:rsidP="00AF19CC">
            <w:pPr>
              <w:pStyle w:val="72TabletextTablesTableFigureBoxstyles"/>
              <w:rPr>
                <w:rFonts w:eastAsia="Calibri"/>
              </w:rPr>
            </w:pPr>
            <w:r w:rsidRPr="00FE7622">
              <w:rPr>
                <w:color w:val="auto"/>
              </w:rPr>
              <w:tab/>
            </w:r>
            <w:r w:rsidR="00F026E8" w:rsidRPr="00FE7622">
              <w:rPr>
                <w:color w:val="auto"/>
              </w:rPr>
              <w:t>Vascular disorders</w:t>
            </w:r>
          </w:p>
        </w:tc>
        <w:tc>
          <w:tcPr>
            <w:tcW w:w="0" w:type="auto"/>
            <w:shd w:val="clear" w:color="auto" w:fill="auto"/>
          </w:tcPr>
          <w:p w14:paraId="0347A786" w14:textId="77777777" w:rsidR="00F026E8" w:rsidRPr="00FE7622" w:rsidRDefault="00F026E8" w:rsidP="00AF19CC">
            <w:pPr>
              <w:pStyle w:val="72TabletextTablesTableFigureBoxstyles"/>
              <w:rPr>
                <w:rFonts w:eastAsia="Calibri"/>
              </w:rPr>
            </w:pPr>
            <w:r w:rsidRPr="00FE7622">
              <w:rPr>
                <w:color w:val="auto"/>
              </w:rPr>
              <w:t>5</w:t>
            </w:r>
          </w:p>
        </w:tc>
        <w:tc>
          <w:tcPr>
            <w:tcW w:w="0" w:type="auto"/>
            <w:shd w:val="clear" w:color="auto" w:fill="auto"/>
          </w:tcPr>
          <w:p w14:paraId="6EF27853" w14:textId="77777777" w:rsidR="00F026E8" w:rsidRPr="00FE7622" w:rsidRDefault="00F026E8" w:rsidP="00AF19CC">
            <w:pPr>
              <w:pStyle w:val="72TabletextTablesTableFigureBoxstyles"/>
              <w:rPr>
                <w:rFonts w:eastAsia="Calibri"/>
                <w:color w:val="auto"/>
              </w:rPr>
            </w:pPr>
            <w:r w:rsidRPr="00FE7622">
              <w:rPr>
                <w:color w:val="auto"/>
              </w:rPr>
              <w:t>4</w:t>
            </w:r>
          </w:p>
        </w:tc>
      </w:tr>
    </w:tbl>
    <w:p w14:paraId="37612BB8" w14:textId="5ECA2DCD" w:rsidR="00E038BF" w:rsidRPr="00FE7622" w:rsidRDefault="00E038BF" w:rsidP="000A448D">
      <w:pPr>
        <w:pStyle w:val="52AheadHeadingsHeadingstyles"/>
      </w:pPr>
      <w:bookmarkStart w:id="102" w:name="_Toc79684529"/>
      <w:r w:rsidRPr="00FE7622">
        <w:t>Meta-analysis of angiotensin-converting enzyme inhibitor/angiotensin receptor blocker trials</w:t>
      </w:r>
      <w:bookmarkEnd w:id="102"/>
    </w:p>
    <w:p w14:paraId="25D6F129" w14:textId="018A7DA0" w:rsidR="00E038BF" w:rsidRPr="00FE7622" w:rsidRDefault="00E038BF" w:rsidP="000A448D">
      <w:pPr>
        <w:pStyle w:val="53BheadHeadingsHeadingstyles"/>
      </w:pPr>
      <w:bookmarkStart w:id="103" w:name="_Toc79684530"/>
      <w:r w:rsidRPr="00FE7622">
        <w:t>Results from systematic review</w:t>
      </w:r>
      <w:bookmarkEnd w:id="103"/>
    </w:p>
    <w:p w14:paraId="01647341" w14:textId="7C7719B0" w:rsidR="00F026E8" w:rsidRPr="00FE7622" w:rsidRDefault="00F026E8" w:rsidP="000A448D">
      <w:pPr>
        <w:pStyle w:val="602TextfoTextstylesTextstyles"/>
        <w:rPr>
          <w:color w:val="auto"/>
        </w:rPr>
      </w:pPr>
      <w:r w:rsidRPr="00FE7622">
        <w:rPr>
          <w:color w:val="auto"/>
        </w:rPr>
        <w:t>The deduplicated search found 510 titles; six of these were included in the systematic review, along with two other studies found during hand</w:t>
      </w:r>
      <w:r w:rsidR="00FE1D24" w:rsidRPr="00FE7622">
        <w:rPr>
          <w:color w:val="auto"/>
        </w:rPr>
        <w:t>-</w:t>
      </w:r>
      <w:r w:rsidRPr="00FE7622">
        <w:rPr>
          <w:color w:val="auto"/>
        </w:rPr>
        <w:t xml:space="preserve">searching of references. The </w:t>
      </w:r>
      <w:r w:rsidRPr="00842651">
        <w:rPr>
          <w:color w:val="auto"/>
        </w:rPr>
        <w:t>PRISMA</w:t>
      </w:r>
      <w:r w:rsidR="00854C98" w:rsidRPr="00FE7622">
        <w:rPr>
          <w:color w:val="auto"/>
        </w:rPr>
        <w:t xml:space="preserve"> (Preferred Reporting Items for Systematic Review and Meta-Analysis)</w:t>
      </w:r>
      <w:r w:rsidRPr="00FE7622">
        <w:rPr>
          <w:color w:val="auto"/>
        </w:rPr>
        <w:t xml:space="preserve"> flow diagram is shown in </w:t>
      </w:r>
      <w:r w:rsidR="00E038BF" w:rsidRPr="00FE7622">
        <w:rPr>
          <w:i/>
          <w:iCs/>
          <w:color w:val="auto"/>
        </w:rPr>
        <w:t>Appendix 4</w:t>
      </w:r>
      <w:r w:rsidRPr="00FE7622">
        <w:rPr>
          <w:color w:val="auto"/>
        </w:rPr>
        <w:t xml:space="preserve">, </w:t>
      </w:r>
      <w:r w:rsidR="00E038BF" w:rsidRPr="00FE7622">
        <w:rPr>
          <w:i/>
          <w:color w:val="auto"/>
        </w:rPr>
        <w:t>Figure 25</w:t>
      </w:r>
      <w:r w:rsidRPr="00FE7622">
        <w:rPr>
          <w:color w:val="auto"/>
        </w:rPr>
        <w:t xml:space="preserve">. </w:t>
      </w:r>
      <w:r w:rsidR="00E038BF" w:rsidRPr="00FE7622">
        <w:rPr>
          <w:i/>
          <w:iCs/>
          <w:color w:val="auto"/>
        </w:rPr>
        <w:t>Appendix 4</w:t>
      </w:r>
      <w:r w:rsidRPr="00FE7622">
        <w:rPr>
          <w:color w:val="auto"/>
        </w:rPr>
        <w:t xml:space="preserve">, </w:t>
      </w:r>
      <w:r w:rsidR="00E038BF" w:rsidRPr="00FE7622">
        <w:rPr>
          <w:i/>
          <w:color w:val="auto"/>
        </w:rPr>
        <w:t>Table 22</w:t>
      </w:r>
      <w:r w:rsidR="006A6DF9" w:rsidRPr="00FE7622">
        <w:rPr>
          <w:color w:val="auto"/>
        </w:rPr>
        <w:t xml:space="preserve">, </w:t>
      </w:r>
      <w:r w:rsidR="00730D2E" w:rsidRPr="00FE7622">
        <w:rPr>
          <w:color w:val="auto"/>
        </w:rPr>
        <w:t>provides the</w:t>
      </w:r>
      <w:r w:rsidRPr="00FE7622">
        <w:rPr>
          <w:color w:val="auto"/>
        </w:rPr>
        <w:t xml:space="preserve"> details of the included studies.</w:t>
      </w:r>
      <w:r w:rsidR="00E038BF" w:rsidRPr="00FE7622">
        <w:rPr>
          <w:color w:val="auto"/>
          <w:vertAlign w:val="superscript"/>
        </w:rPr>
        <w:t>30,34,80–85</w:t>
      </w:r>
      <w:r w:rsidRPr="00FE7622">
        <w:rPr>
          <w:color w:val="auto"/>
        </w:rPr>
        <w:t xml:space="preserve"> Details of the systematic review have been published previously.</w:t>
      </w:r>
      <w:r w:rsidR="00E038BF" w:rsidRPr="00FE7622">
        <w:rPr>
          <w:color w:val="auto"/>
          <w:vertAlign w:val="superscript"/>
        </w:rPr>
        <w:t>74</w:t>
      </w:r>
      <w:r w:rsidRPr="00FE7622">
        <w:rPr>
          <w:color w:val="auto"/>
        </w:rPr>
        <w:t xml:space="preserve"> Three trials included participants with functional impairment, four trials included older people with hypertension or elevated cardiovascular risk, and one trial included healthy older men. No trials specifically aimed to recruit participants with sarcopenia or frailty. Trial size ranged from 36 to 294, with four trials enrolling </w:t>
      </w:r>
      <w:r w:rsidR="006A6DF9" w:rsidRPr="00FE7622">
        <w:rPr>
          <w:color w:val="auto"/>
        </w:rPr>
        <w:t>&gt; </w:t>
      </w:r>
      <w:r w:rsidRPr="00FE7622">
        <w:rPr>
          <w:color w:val="auto"/>
        </w:rPr>
        <w:t>100 participants. The agents studied varied</w:t>
      </w:r>
      <w:r w:rsidR="00FE1D24" w:rsidRPr="00FE7622">
        <w:rPr>
          <w:color w:val="auto"/>
        </w:rPr>
        <w:t>:</w:t>
      </w:r>
      <w:r w:rsidRPr="00FE7622">
        <w:rPr>
          <w:color w:val="auto"/>
        </w:rPr>
        <w:t xml:space="preserve"> </w:t>
      </w:r>
      <w:r w:rsidRPr="00842651">
        <w:rPr>
          <w:color w:val="auto"/>
        </w:rPr>
        <w:t>ACEi</w:t>
      </w:r>
      <w:r w:rsidRPr="00FE7622">
        <w:rPr>
          <w:color w:val="auto"/>
        </w:rPr>
        <w:t xml:space="preserve"> in six studies and an </w:t>
      </w:r>
      <w:r w:rsidRPr="00842651">
        <w:rPr>
          <w:color w:val="auto"/>
        </w:rPr>
        <w:t>ARB</w:t>
      </w:r>
      <w:r w:rsidRPr="00FE7622">
        <w:rPr>
          <w:color w:val="auto"/>
        </w:rPr>
        <w:t xml:space="preserve"> in only two studies. In two trials, an alternative antihypertensive was used as a comparator; placebo was used in the other trials. The duration of treatment varied from </w:t>
      </w:r>
      <w:r w:rsidR="00F137F5" w:rsidRPr="00FE7622">
        <w:rPr>
          <w:color w:val="auto"/>
        </w:rPr>
        <w:t>2</w:t>
      </w:r>
      <w:r w:rsidRPr="00FE7622">
        <w:rPr>
          <w:color w:val="auto"/>
        </w:rPr>
        <w:t xml:space="preserve"> months to </w:t>
      </w:r>
      <w:r w:rsidR="00F137F5" w:rsidRPr="00FE7622">
        <w:rPr>
          <w:color w:val="auto"/>
        </w:rPr>
        <w:t>1</w:t>
      </w:r>
      <w:r w:rsidRPr="00FE7622">
        <w:rPr>
          <w:color w:val="auto"/>
        </w:rPr>
        <w:t xml:space="preserve"> year. </w:t>
      </w:r>
      <w:r w:rsidR="00E038BF" w:rsidRPr="00FE7622">
        <w:rPr>
          <w:i/>
          <w:iCs/>
          <w:color w:val="auto"/>
        </w:rPr>
        <w:t>Appendix 4</w:t>
      </w:r>
      <w:r w:rsidRPr="00FE7622">
        <w:rPr>
          <w:color w:val="auto"/>
        </w:rPr>
        <w:t xml:space="preserve">, </w:t>
      </w:r>
      <w:r w:rsidR="00E038BF" w:rsidRPr="00FE7622">
        <w:rPr>
          <w:i/>
          <w:color w:val="auto"/>
        </w:rPr>
        <w:t>Table 23</w:t>
      </w:r>
      <w:r w:rsidR="00F137F5" w:rsidRPr="00FE7622">
        <w:rPr>
          <w:color w:val="auto"/>
        </w:rPr>
        <w:t xml:space="preserve">, </w:t>
      </w:r>
      <w:r w:rsidRPr="00FE7622">
        <w:rPr>
          <w:color w:val="auto"/>
        </w:rPr>
        <w:t>shows the risk</w:t>
      </w:r>
      <w:r w:rsidR="00FE1D24" w:rsidRPr="00FE7622">
        <w:rPr>
          <w:color w:val="auto"/>
        </w:rPr>
        <w:t>-</w:t>
      </w:r>
      <w:r w:rsidRPr="00FE7622">
        <w:rPr>
          <w:color w:val="auto"/>
        </w:rPr>
        <w:t>of</w:t>
      </w:r>
      <w:r w:rsidR="00FE1D24" w:rsidRPr="00FE7622">
        <w:rPr>
          <w:color w:val="auto"/>
        </w:rPr>
        <w:t>-</w:t>
      </w:r>
      <w:r w:rsidRPr="00FE7622">
        <w:rPr>
          <w:color w:val="auto"/>
        </w:rPr>
        <w:t xml:space="preserve">bias assessment </w:t>
      </w:r>
      <w:r w:rsidR="00FE1D24" w:rsidRPr="00FE7622">
        <w:rPr>
          <w:color w:val="auto"/>
        </w:rPr>
        <w:t>of</w:t>
      </w:r>
      <w:r w:rsidRPr="00FE7622">
        <w:rPr>
          <w:color w:val="auto"/>
        </w:rPr>
        <w:t xml:space="preserve"> the included trials. The overall risk of bias was low; trials were blinded and generally well balanced </w:t>
      </w:r>
      <w:r w:rsidR="00FE1D24" w:rsidRPr="00FE7622">
        <w:rPr>
          <w:color w:val="auto"/>
        </w:rPr>
        <w:t>in</w:t>
      </w:r>
      <w:r w:rsidRPr="00FE7622">
        <w:rPr>
          <w:color w:val="auto"/>
        </w:rPr>
        <w:t xml:space="preserve"> baseline characteristics. Allocation concealment and randomisation methods were unclear or insufficiently detailed in some trials.</w:t>
      </w:r>
    </w:p>
    <w:p w14:paraId="05A627D5" w14:textId="36C3206E" w:rsidR="00F026E8" w:rsidRPr="00FE7622" w:rsidRDefault="00F026E8" w:rsidP="000A448D">
      <w:pPr>
        <w:pStyle w:val="602TextfoTextstylesTextstyles"/>
        <w:rPr>
          <w:color w:val="auto"/>
        </w:rPr>
      </w:pPr>
      <w:r w:rsidRPr="00FE7622">
        <w:rPr>
          <w:color w:val="auto"/>
        </w:rPr>
        <w:t xml:space="preserve">To place the </w:t>
      </w:r>
      <w:r w:rsidRPr="00842651">
        <w:rPr>
          <w:color w:val="auto"/>
        </w:rPr>
        <w:t>LACE</w:t>
      </w:r>
      <w:r w:rsidRPr="00FE7622">
        <w:rPr>
          <w:color w:val="auto"/>
        </w:rPr>
        <w:t xml:space="preserve"> trial results in context, we combined the results from this systematic review conducted prior to </w:t>
      </w:r>
      <w:r w:rsidR="00C52CBD" w:rsidRPr="00FE7622">
        <w:rPr>
          <w:color w:val="auto"/>
        </w:rPr>
        <w:t xml:space="preserve">the </w:t>
      </w:r>
      <w:r w:rsidRPr="00FE7622">
        <w:rPr>
          <w:color w:val="auto"/>
        </w:rPr>
        <w:t xml:space="preserve">analysis of </w:t>
      </w:r>
      <w:r w:rsidRPr="00842651">
        <w:rPr>
          <w:color w:val="auto"/>
        </w:rPr>
        <w:t>LACE</w:t>
      </w:r>
      <w:r w:rsidRPr="00FE7622">
        <w:rPr>
          <w:color w:val="auto"/>
        </w:rPr>
        <w:t xml:space="preserve"> with the results from </w:t>
      </w:r>
      <w:r w:rsidRPr="00842651">
        <w:rPr>
          <w:color w:val="auto"/>
        </w:rPr>
        <w:t>LACE</w:t>
      </w:r>
      <w:r w:rsidRPr="00FE7622">
        <w:rPr>
          <w:color w:val="auto"/>
        </w:rPr>
        <w:t xml:space="preserve">, focusing on four key measures of physical performance </w:t>
      </w:r>
      <w:r w:rsidR="0071653F" w:rsidRPr="00FE7622">
        <w:rPr>
          <w:color w:val="auto"/>
        </w:rPr>
        <w:t>for which</w:t>
      </w:r>
      <w:r w:rsidRPr="00FE7622">
        <w:rPr>
          <w:color w:val="auto"/>
        </w:rPr>
        <w:t xml:space="preserve"> data from other trials were available to allow comparison.</w:t>
      </w:r>
    </w:p>
    <w:p w14:paraId="158E7119" w14:textId="0D4BF6EE" w:rsidR="00E038BF" w:rsidRPr="00FE7622" w:rsidRDefault="00E038BF" w:rsidP="000A448D">
      <w:pPr>
        <w:pStyle w:val="53BheadHeadingsHeadingstyles"/>
      </w:pPr>
      <w:bookmarkStart w:id="104" w:name="_Toc79684531"/>
      <w:r w:rsidRPr="00FE7622">
        <w:t>Effect on Short Physical Performance Battery</w:t>
      </w:r>
      <w:bookmarkEnd w:id="104"/>
    </w:p>
    <w:p w14:paraId="4F38DB28" w14:textId="00217C43" w:rsidR="00F026E8" w:rsidRPr="00FE7622" w:rsidRDefault="00E038BF" w:rsidP="000A448D">
      <w:pPr>
        <w:pStyle w:val="602TextfoTextstylesTextstyles"/>
        <w:rPr>
          <w:color w:val="auto"/>
        </w:rPr>
      </w:pPr>
      <w:r w:rsidRPr="00FE7622">
        <w:rPr>
          <w:i/>
          <w:color w:val="FF0000"/>
        </w:rPr>
        <w:t>Figure 10</w:t>
      </w:r>
      <w:r w:rsidR="00F026E8" w:rsidRPr="00FE7622">
        <w:rPr>
          <w:color w:val="auto"/>
        </w:rPr>
        <w:t xml:space="preserve"> shows the pooled effect on the </w:t>
      </w:r>
      <w:r w:rsidR="00C52CBD" w:rsidRPr="00842651">
        <w:rPr>
          <w:color w:val="auto"/>
        </w:rPr>
        <w:t>SPPB</w:t>
      </w:r>
      <w:r w:rsidR="00F026E8" w:rsidRPr="00FE7622">
        <w:rPr>
          <w:color w:val="auto"/>
        </w:rPr>
        <w:t>. No significant beneficial treatment effect was evident, and the 95%</w:t>
      </w:r>
      <w:r w:rsidR="00C52CBD" w:rsidRPr="00FE7622">
        <w:rPr>
          <w:color w:val="auto"/>
        </w:rPr>
        <w:t xml:space="preserve"> </w:t>
      </w:r>
      <w:r w:rsidR="00F026E8" w:rsidRPr="00842651">
        <w:rPr>
          <w:color w:val="auto"/>
        </w:rPr>
        <w:t>CI</w:t>
      </w:r>
      <w:r w:rsidR="00F026E8" w:rsidRPr="00FE7622">
        <w:rPr>
          <w:color w:val="auto"/>
        </w:rPr>
        <w:t xml:space="preserve"> excludes even the most conservative minimum clinically significant improvement of 0.5 points suggested by previous work.</w:t>
      </w:r>
      <w:r w:rsidRPr="00FE7622">
        <w:rPr>
          <w:color w:val="auto"/>
          <w:vertAlign w:val="superscript"/>
        </w:rPr>
        <w:t>69</w:t>
      </w:r>
    </w:p>
    <w:p w14:paraId="533C5E3A" w14:textId="6EB9CD63" w:rsidR="00F026E8" w:rsidRPr="00FE7622" w:rsidRDefault="00E038BF" w:rsidP="00F026E8">
      <w:pPr>
        <w:pStyle w:val="81FigurelegendTableFigureBoxstyles"/>
        <w:rPr>
          <w:lang w:val="en-GB"/>
        </w:rPr>
      </w:pPr>
      <w:bookmarkStart w:id="105" w:name="_Hlk66531940"/>
      <w:r w:rsidRPr="00FE7622">
        <w:rPr>
          <w:b/>
        </w:rPr>
        <w:t>FIGURE 10</w:t>
      </w:r>
      <w:r w:rsidRPr="00FE7622">
        <w:rPr>
          <w:b/>
        </w:rPr>
        <w:t> </w:t>
      </w:r>
      <w:r w:rsidR="00F026E8" w:rsidRPr="00FE7622">
        <w:rPr>
          <w:lang w:val="en-GB"/>
        </w:rPr>
        <w:t xml:space="preserve">Meta-analysis of effect of </w:t>
      </w:r>
      <w:r w:rsidR="00F026E8" w:rsidRPr="00842651">
        <w:rPr>
          <w:lang w:val="en-GB"/>
        </w:rPr>
        <w:t>ACEi</w:t>
      </w:r>
      <w:r w:rsidR="00F026E8" w:rsidRPr="00FE7622">
        <w:rPr>
          <w:lang w:val="en-GB"/>
        </w:rPr>
        <w:t>/</w:t>
      </w:r>
      <w:r w:rsidR="00F026E8" w:rsidRPr="00842651">
        <w:rPr>
          <w:lang w:val="en-GB"/>
        </w:rPr>
        <w:t>ARB</w:t>
      </w:r>
      <w:r w:rsidR="00F026E8" w:rsidRPr="00FE7622">
        <w:rPr>
          <w:lang w:val="en-GB"/>
        </w:rPr>
        <w:t xml:space="preserve"> on </w:t>
      </w:r>
      <w:r w:rsidR="00C52CBD" w:rsidRPr="00842651">
        <w:rPr>
          <w:lang w:val="en-GB"/>
        </w:rPr>
        <w:t>SPPB</w:t>
      </w:r>
      <w:r w:rsidR="00F137F5" w:rsidRPr="00FE7622">
        <w:rPr>
          <w:lang w:val="en-GB"/>
        </w:rPr>
        <w:t>.</w:t>
      </w:r>
    </w:p>
    <w:p w14:paraId="6F2B6101" w14:textId="387C7BBD" w:rsidR="00E038BF" w:rsidRPr="00FE7622" w:rsidRDefault="00E038BF" w:rsidP="006873C3">
      <w:pPr>
        <w:pStyle w:val="53BheadHeadingsHeadingstyles"/>
      </w:pPr>
      <w:bookmarkStart w:id="106" w:name="_Toc79684532"/>
      <w:bookmarkEnd w:id="105"/>
      <w:r w:rsidRPr="00FE7622">
        <w:t>Effect on quadriceps strength</w:t>
      </w:r>
      <w:bookmarkEnd w:id="106"/>
    </w:p>
    <w:p w14:paraId="35E562CE" w14:textId="1FA8CB9E" w:rsidR="00F026E8" w:rsidRPr="00FE7622" w:rsidRDefault="00E038BF" w:rsidP="006873C3">
      <w:pPr>
        <w:pStyle w:val="602TextfoTextstylesTextstyles"/>
        <w:rPr>
          <w:color w:val="auto"/>
        </w:rPr>
      </w:pPr>
      <w:r w:rsidRPr="00FE7622">
        <w:rPr>
          <w:i/>
          <w:color w:val="FF0000"/>
        </w:rPr>
        <w:t>Figure 11</w:t>
      </w:r>
      <w:r w:rsidR="00F026E8" w:rsidRPr="00FE7622">
        <w:rPr>
          <w:color w:val="auto"/>
        </w:rPr>
        <w:t xml:space="preserve"> shows the pooled effect on quadriceps strength. Again, no significant beneficial treatment effect was seen, and</w:t>
      </w:r>
      <w:r w:rsidR="006D5B8C" w:rsidRPr="00FE7622">
        <w:rPr>
          <w:color w:val="auto"/>
        </w:rPr>
        <w:t>,</w:t>
      </w:r>
      <w:r w:rsidR="00F026E8" w:rsidRPr="00FE7622">
        <w:rPr>
          <w:color w:val="auto"/>
        </w:rPr>
        <w:t xml:space="preserve"> although a </w:t>
      </w:r>
      <w:r w:rsidR="00F026E8" w:rsidRPr="00842651">
        <w:rPr>
          <w:color w:val="auto"/>
        </w:rPr>
        <w:t>MCID</w:t>
      </w:r>
      <w:r w:rsidR="00F026E8" w:rsidRPr="00FE7622">
        <w:rPr>
          <w:color w:val="auto"/>
        </w:rPr>
        <w:t xml:space="preserve"> has not been defined for this measure in older people, the upper bound of the 95%</w:t>
      </w:r>
      <w:r w:rsidR="00C52CBD" w:rsidRPr="00FE7622">
        <w:rPr>
          <w:color w:val="auto"/>
        </w:rPr>
        <w:t xml:space="preserve"> </w:t>
      </w:r>
      <w:r w:rsidR="00F026E8" w:rsidRPr="00842651">
        <w:rPr>
          <w:color w:val="auto"/>
        </w:rPr>
        <w:t>CI</w:t>
      </w:r>
      <w:r w:rsidR="00F026E8" w:rsidRPr="00FE7622">
        <w:rPr>
          <w:color w:val="auto"/>
        </w:rPr>
        <w:t xml:space="preserve"> seems very unlikely to be consonant with a clinically important effect</w:t>
      </w:r>
      <w:r w:rsidR="00C52CBD" w:rsidRPr="00FE7622">
        <w:rPr>
          <w:color w:val="auto"/>
        </w:rPr>
        <w:t>,</w:t>
      </w:r>
      <w:r w:rsidR="00F026E8" w:rsidRPr="00FE7622">
        <w:rPr>
          <w:color w:val="auto"/>
        </w:rPr>
        <w:t xml:space="preserve"> given that for other groups (e.g. </w:t>
      </w:r>
      <w:r w:rsidR="00F026E8" w:rsidRPr="00842651">
        <w:rPr>
          <w:color w:val="auto"/>
        </w:rPr>
        <w:t>COPD</w:t>
      </w:r>
      <w:r w:rsidR="00F026E8" w:rsidRPr="00FE7622">
        <w:rPr>
          <w:color w:val="auto"/>
        </w:rPr>
        <w:t xml:space="preserve">) the </w:t>
      </w:r>
      <w:r w:rsidR="00F026E8" w:rsidRPr="00842651">
        <w:rPr>
          <w:color w:val="auto"/>
        </w:rPr>
        <w:t>MCID</w:t>
      </w:r>
      <w:r w:rsidR="00F026E8" w:rsidRPr="00FE7622">
        <w:rPr>
          <w:color w:val="auto"/>
        </w:rPr>
        <w:t xml:space="preserve"> has been estimated to be 5 kg.</w:t>
      </w:r>
      <w:r w:rsidRPr="00FE7622">
        <w:rPr>
          <w:color w:val="auto"/>
          <w:vertAlign w:val="superscript"/>
        </w:rPr>
        <w:t>86</w:t>
      </w:r>
    </w:p>
    <w:p w14:paraId="3C0C3FB8" w14:textId="237FC9C5" w:rsidR="00F026E8" w:rsidRPr="00FE7622" w:rsidRDefault="00E038BF" w:rsidP="00F026E8">
      <w:pPr>
        <w:pStyle w:val="81FigurelegendTableFigureBoxstyles"/>
        <w:rPr>
          <w:lang w:val="en-GB"/>
        </w:rPr>
      </w:pPr>
      <w:r w:rsidRPr="00FE7622">
        <w:rPr>
          <w:b/>
        </w:rPr>
        <w:t>FIGURE 11</w:t>
      </w:r>
      <w:r w:rsidRPr="00FE7622">
        <w:rPr>
          <w:b/>
        </w:rPr>
        <w:t> </w:t>
      </w:r>
      <w:r w:rsidR="00F026E8" w:rsidRPr="00FE7622">
        <w:rPr>
          <w:lang w:val="en-GB"/>
        </w:rPr>
        <w:t xml:space="preserve">Meta-analysis of effect of </w:t>
      </w:r>
      <w:r w:rsidR="00F026E8" w:rsidRPr="00842651">
        <w:rPr>
          <w:lang w:val="en-GB"/>
        </w:rPr>
        <w:t>ACEi</w:t>
      </w:r>
      <w:r w:rsidR="00F026E8" w:rsidRPr="00FE7622">
        <w:rPr>
          <w:lang w:val="en-GB"/>
        </w:rPr>
        <w:t>/</w:t>
      </w:r>
      <w:r w:rsidR="00F026E8" w:rsidRPr="00842651">
        <w:rPr>
          <w:lang w:val="en-GB"/>
        </w:rPr>
        <w:t>ARB</w:t>
      </w:r>
      <w:r w:rsidR="00F026E8" w:rsidRPr="00FE7622">
        <w:rPr>
          <w:lang w:val="en-GB"/>
        </w:rPr>
        <w:t xml:space="preserve"> on quadriceps strength (in kg)</w:t>
      </w:r>
      <w:r w:rsidR="00F137F5" w:rsidRPr="00FE7622">
        <w:rPr>
          <w:lang w:val="en-GB"/>
        </w:rPr>
        <w:t>.</w:t>
      </w:r>
    </w:p>
    <w:p w14:paraId="754B1F78" w14:textId="1C5F0135" w:rsidR="00E038BF" w:rsidRPr="00FE7622" w:rsidRDefault="00E038BF" w:rsidP="006873C3">
      <w:pPr>
        <w:pStyle w:val="53BheadHeadingsHeadingstyles"/>
      </w:pPr>
      <w:bookmarkStart w:id="107" w:name="_Hlk66702926"/>
      <w:bookmarkStart w:id="108" w:name="_Toc79684533"/>
      <w:r w:rsidRPr="00FE7622">
        <w:t>Effect on handgrip strength</w:t>
      </w:r>
      <w:bookmarkEnd w:id="108"/>
    </w:p>
    <w:p w14:paraId="2907895F" w14:textId="2998257F" w:rsidR="00F026E8" w:rsidRPr="00FE7622" w:rsidRDefault="00E038BF" w:rsidP="006873C3">
      <w:pPr>
        <w:pStyle w:val="602TextfoTextstylesTextstyles"/>
        <w:rPr>
          <w:color w:val="auto"/>
        </w:rPr>
      </w:pPr>
      <w:r w:rsidRPr="00FE7622">
        <w:rPr>
          <w:i/>
          <w:color w:val="FF0000"/>
        </w:rPr>
        <w:t>Figure 12</w:t>
      </w:r>
      <w:r w:rsidR="00F026E8" w:rsidRPr="00FE7622">
        <w:rPr>
          <w:color w:val="auto"/>
        </w:rPr>
        <w:t xml:space="preserve"> shows the pooled effect on maximum handgrip strength. No significant beneficial treatment effect was seen, and the upper bound of the 95%</w:t>
      </w:r>
      <w:r w:rsidR="00C52CBD" w:rsidRPr="00FE7622">
        <w:rPr>
          <w:color w:val="auto"/>
        </w:rPr>
        <w:t xml:space="preserve"> </w:t>
      </w:r>
      <w:r w:rsidR="00F026E8" w:rsidRPr="00842651">
        <w:rPr>
          <w:color w:val="auto"/>
        </w:rPr>
        <w:t>CI</w:t>
      </w:r>
      <w:r w:rsidR="00F026E8" w:rsidRPr="00FE7622">
        <w:rPr>
          <w:color w:val="auto"/>
        </w:rPr>
        <w:t xml:space="preserve"> was </w:t>
      </w:r>
      <w:r w:rsidR="00C52CBD" w:rsidRPr="00FE7622">
        <w:rPr>
          <w:color w:val="auto"/>
        </w:rPr>
        <w:t>lower</w:t>
      </w:r>
      <w:r w:rsidR="00F026E8" w:rsidRPr="00FE7622">
        <w:rPr>
          <w:color w:val="auto"/>
        </w:rPr>
        <w:t xml:space="preserve"> than the most conservative estimate of the </w:t>
      </w:r>
      <w:r w:rsidR="00F026E8" w:rsidRPr="00842651">
        <w:rPr>
          <w:color w:val="auto"/>
        </w:rPr>
        <w:t>MCID</w:t>
      </w:r>
      <w:r w:rsidR="00F026E8" w:rsidRPr="00FE7622">
        <w:rPr>
          <w:color w:val="auto"/>
        </w:rPr>
        <w:t xml:space="preserve"> (0.84 kg) proposed </w:t>
      </w:r>
      <w:r w:rsidR="00C52CBD" w:rsidRPr="00FE7622">
        <w:rPr>
          <w:color w:val="auto"/>
        </w:rPr>
        <w:t>in</w:t>
      </w:r>
      <w:r w:rsidR="00F026E8" w:rsidRPr="00FE7622">
        <w:rPr>
          <w:color w:val="auto"/>
        </w:rPr>
        <w:t xml:space="preserve"> a recent meta-analysis</w:t>
      </w:r>
      <w:r w:rsidRPr="00FE7622">
        <w:rPr>
          <w:color w:val="auto"/>
          <w:vertAlign w:val="superscript"/>
        </w:rPr>
        <w:t>87</w:t>
      </w:r>
      <w:r w:rsidR="00F026E8" w:rsidRPr="00FE7622">
        <w:rPr>
          <w:color w:val="auto"/>
        </w:rPr>
        <w:t xml:space="preserve"> of handgrip strength measurement properties.</w:t>
      </w:r>
      <w:bookmarkEnd w:id="107"/>
    </w:p>
    <w:p w14:paraId="212DBDAE" w14:textId="6D35CAEA" w:rsidR="00F026E8" w:rsidRPr="00FE7622" w:rsidRDefault="00E038BF" w:rsidP="00F026E8">
      <w:pPr>
        <w:pStyle w:val="81FigurelegendTableFigureBoxstyles"/>
        <w:rPr>
          <w:lang w:val="en-GB"/>
        </w:rPr>
      </w:pPr>
      <w:r w:rsidRPr="00FE7622">
        <w:rPr>
          <w:b/>
        </w:rPr>
        <w:t>FIGURE 12</w:t>
      </w:r>
      <w:r w:rsidRPr="00FE7622">
        <w:rPr>
          <w:b/>
        </w:rPr>
        <w:t> </w:t>
      </w:r>
      <w:r w:rsidR="00F026E8" w:rsidRPr="00FE7622">
        <w:rPr>
          <w:lang w:val="en-GB"/>
        </w:rPr>
        <w:t xml:space="preserve">Meta-analysis of effect of </w:t>
      </w:r>
      <w:r w:rsidR="00F026E8" w:rsidRPr="00842651">
        <w:rPr>
          <w:lang w:val="en-GB"/>
        </w:rPr>
        <w:t>ACEi</w:t>
      </w:r>
      <w:r w:rsidR="00F026E8" w:rsidRPr="00FE7622">
        <w:rPr>
          <w:lang w:val="en-GB"/>
        </w:rPr>
        <w:t>/</w:t>
      </w:r>
      <w:r w:rsidR="00F026E8" w:rsidRPr="00842651">
        <w:rPr>
          <w:lang w:val="en-GB"/>
        </w:rPr>
        <w:t>ARB</w:t>
      </w:r>
      <w:r w:rsidR="00F026E8" w:rsidRPr="00FE7622">
        <w:rPr>
          <w:lang w:val="en-GB"/>
        </w:rPr>
        <w:t xml:space="preserve"> on handgrip strength (in kg)</w:t>
      </w:r>
      <w:r w:rsidR="00F137F5" w:rsidRPr="00FE7622">
        <w:rPr>
          <w:lang w:val="en-GB"/>
        </w:rPr>
        <w:t>.</w:t>
      </w:r>
    </w:p>
    <w:p w14:paraId="02C78C50" w14:textId="2D8E5B00" w:rsidR="00E038BF" w:rsidRPr="00FE7622" w:rsidRDefault="00E038BF" w:rsidP="006873C3">
      <w:pPr>
        <w:pStyle w:val="53BheadHeadingsHeadingstyles"/>
      </w:pPr>
      <w:bookmarkStart w:id="109" w:name="_Toc79684534"/>
      <w:r w:rsidRPr="00FE7622">
        <w:t>Effect on 6-minute walk distance</w:t>
      </w:r>
      <w:bookmarkEnd w:id="109"/>
    </w:p>
    <w:p w14:paraId="13016BD7" w14:textId="4CE34ABC" w:rsidR="00F026E8" w:rsidRPr="00FE7622" w:rsidRDefault="00E038BF" w:rsidP="006873C3">
      <w:pPr>
        <w:pStyle w:val="602TextfoTextstylesTextstyles"/>
        <w:rPr>
          <w:color w:val="auto"/>
        </w:rPr>
      </w:pPr>
      <w:r w:rsidRPr="00FE7622">
        <w:rPr>
          <w:i/>
          <w:color w:val="FF0000"/>
        </w:rPr>
        <w:t>Figure 13</w:t>
      </w:r>
      <w:bookmarkStart w:id="110" w:name="_Hlk66702598"/>
      <w:r w:rsidR="00F026E8" w:rsidRPr="00FE7622">
        <w:rPr>
          <w:color w:val="auto"/>
        </w:rPr>
        <w:t xml:space="preserve"> shows the pooled effect on the </w:t>
      </w:r>
      <w:r w:rsidR="00F137F5" w:rsidRPr="00FE7622">
        <w:rPr>
          <w:color w:val="auto"/>
        </w:rPr>
        <w:t>6</w:t>
      </w:r>
      <w:r w:rsidR="00F026E8" w:rsidRPr="00FE7622">
        <w:rPr>
          <w:color w:val="auto"/>
        </w:rPr>
        <w:t>-minute walk distance. No significant beneficial effect was seen, but the 95%</w:t>
      </w:r>
      <w:r w:rsidR="001126CF" w:rsidRPr="00FE7622">
        <w:rPr>
          <w:color w:val="auto"/>
        </w:rPr>
        <w:t xml:space="preserve"> </w:t>
      </w:r>
      <w:r w:rsidR="00F026E8" w:rsidRPr="00842651">
        <w:rPr>
          <w:color w:val="auto"/>
        </w:rPr>
        <w:t>CI</w:t>
      </w:r>
      <w:r w:rsidR="00F026E8" w:rsidRPr="00FE7622">
        <w:rPr>
          <w:color w:val="auto"/>
        </w:rPr>
        <w:t xml:space="preserve"> does not exclude the </w:t>
      </w:r>
      <w:r w:rsidR="001126CF" w:rsidRPr="00842651">
        <w:rPr>
          <w:color w:val="auto"/>
        </w:rPr>
        <w:t>MCID</w:t>
      </w:r>
      <w:r w:rsidR="00F026E8" w:rsidRPr="00FE7622">
        <w:rPr>
          <w:color w:val="auto"/>
        </w:rPr>
        <w:t xml:space="preserve"> of 20 m proposed for this measure in older people.</w:t>
      </w:r>
      <w:bookmarkEnd w:id="110"/>
      <w:r w:rsidRPr="00FE7622">
        <w:rPr>
          <w:color w:val="auto"/>
          <w:vertAlign w:val="superscript"/>
        </w:rPr>
        <w:t>69</w:t>
      </w:r>
    </w:p>
    <w:p w14:paraId="3892C423" w14:textId="46105729" w:rsidR="00F026E8" w:rsidRPr="00FE7622" w:rsidRDefault="00E038BF" w:rsidP="00F026E8">
      <w:pPr>
        <w:pStyle w:val="81FigurelegendTableFigureBoxstyles"/>
        <w:rPr>
          <w:lang w:val="en-GB"/>
        </w:rPr>
      </w:pPr>
      <w:r w:rsidRPr="00FE7622">
        <w:rPr>
          <w:b/>
        </w:rPr>
        <w:t>FIGURE 13</w:t>
      </w:r>
      <w:r w:rsidRPr="00FE7622">
        <w:rPr>
          <w:b/>
        </w:rPr>
        <w:t> </w:t>
      </w:r>
      <w:r w:rsidR="00F026E8" w:rsidRPr="00FE7622">
        <w:rPr>
          <w:lang w:val="en-GB"/>
        </w:rPr>
        <w:t xml:space="preserve">Meta-analysis of effect of </w:t>
      </w:r>
      <w:r w:rsidR="00F026E8" w:rsidRPr="00842651">
        <w:rPr>
          <w:lang w:val="en-GB"/>
        </w:rPr>
        <w:t>ACEi</w:t>
      </w:r>
      <w:r w:rsidR="00F026E8" w:rsidRPr="00FE7622">
        <w:rPr>
          <w:lang w:val="en-GB"/>
        </w:rPr>
        <w:t>/</w:t>
      </w:r>
      <w:r w:rsidR="00F026E8" w:rsidRPr="00842651">
        <w:rPr>
          <w:lang w:val="en-GB"/>
        </w:rPr>
        <w:t>ARB</w:t>
      </w:r>
      <w:r w:rsidR="00F026E8" w:rsidRPr="00FE7622">
        <w:rPr>
          <w:lang w:val="en-GB"/>
        </w:rPr>
        <w:t xml:space="preserve"> on </w:t>
      </w:r>
      <w:r w:rsidR="00F137F5" w:rsidRPr="00FE7622">
        <w:rPr>
          <w:lang w:val="en-GB"/>
        </w:rPr>
        <w:t>6</w:t>
      </w:r>
      <w:r w:rsidR="00F026E8" w:rsidRPr="00FE7622">
        <w:rPr>
          <w:lang w:val="en-GB"/>
        </w:rPr>
        <w:t>-minute walk distance (in metres)</w:t>
      </w:r>
      <w:r w:rsidR="00F137F5" w:rsidRPr="00FE7622">
        <w:rPr>
          <w:lang w:val="en-GB"/>
        </w:rPr>
        <w:t>.</w:t>
      </w:r>
    </w:p>
    <w:p w14:paraId="717B52EC" w14:textId="76F0E8FD" w:rsidR="00F026E8" w:rsidRPr="00FE7622" w:rsidRDefault="00F026E8" w:rsidP="006873C3">
      <w:pPr>
        <w:pStyle w:val="602TextfoTextstylesTextstyles"/>
        <w:rPr>
          <w:color w:val="auto"/>
        </w:rPr>
      </w:pPr>
      <w:r w:rsidRPr="00FE7622">
        <w:rPr>
          <w:color w:val="auto"/>
        </w:rPr>
        <w:t>It is important to note that</w:t>
      </w:r>
      <w:r w:rsidR="001126CF" w:rsidRPr="00FE7622">
        <w:rPr>
          <w:color w:val="auto"/>
        </w:rPr>
        <w:t>,</w:t>
      </w:r>
      <w:r w:rsidRPr="00FE7622">
        <w:rPr>
          <w:color w:val="auto"/>
        </w:rPr>
        <w:t xml:space="preserve"> although some trials included in these analyses targeted older people with impaired physical function, no other trials specifically targeted patients with sarcopenia, and muscle mass was not measured in most trials</w:t>
      </w:r>
      <w:r w:rsidR="001126CF" w:rsidRPr="00FE7622">
        <w:rPr>
          <w:color w:val="auto"/>
        </w:rPr>
        <w:t>;</w:t>
      </w:r>
      <w:r w:rsidRPr="00FE7622">
        <w:rPr>
          <w:color w:val="auto"/>
        </w:rPr>
        <w:t xml:space="preserve"> hence</w:t>
      </w:r>
      <w:r w:rsidR="00835D4C" w:rsidRPr="00FE7622">
        <w:rPr>
          <w:color w:val="auto"/>
        </w:rPr>
        <w:t>,</w:t>
      </w:r>
      <w:r w:rsidRPr="00FE7622">
        <w:rPr>
          <w:color w:val="auto"/>
        </w:rPr>
        <w:t xml:space="preserve"> we have not attempted to perform</w:t>
      </w:r>
      <w:r w:rsidR="00835D4C" w:rsidRPr="00FE7622">
        <w:rPr>
          <w:color w:val="auto"/>
        </w:rPr>
        <w:t xml:space="preserve"> a</w:t>
      </w:r>
      <w:r w:rsidRPr="00FE7622">
        <w:rPr>
          <w:color w:val="auto"/>
        </w:rPr>
        <w:t xml:space="preserve"> meta-analysis for this outcome. Some trials are unlikely to have </w:t>
      </w:r>
      <w:r w:rsidR="001126CF" w:rsidRPr="00FE7622">
        <w:rPr>
          <w:color w:val="auto"/>
        </w:rPr>
        <w:t>included</w:t>
      </w:r>
      <w:r w:rsidRPr="00FE7622">
        <w:rPr>
          <w:color w:val="auto"/>
        </w:rPr>
        <w:t xml:space="preserve"> any participants with sarcopenia, </w:t>
      </w:r>
      <w:r w:rsidR="001126CF" w:rsidRPr="00FE7622">
        <w:rPr>
          <w:color w:val="auto"/>
        </w:rPr>
        <w:t>whereas</w:t>
      </w:r>
      <w:r w:rsidRPr="00FE7622">
        <w:rPr>
          <w:color w:val="auto"/>
        </w:rPr>
        <w:t xml:space="preserve"> others (based on</w:t>
      </w:r>
      <w:r w:rsidR="00E173F0" w:rsidRPr="00FE7622">
        <w:rPr>
          <w:color w:val="auto"/>
        </w:rPr>
        <w:t xml:space="preserve"> an</w:t>
      </w:r>
      <w:r w:rsidRPr="00FE7622">
        <w:rPr>
          <w:color w:val="auto"/>
        </w:rPr>
        <w:t xml:space="preserve"> examination of baseline grip strength or </w:t>
      </w:r>
      <w:r w:rsidRPr="00842651">
        <w:rPr>
          <w:color w:val="auto"/>
        </w:rPr>
        <w:t>SPPB</w:t>
      </w:r>
      <w:r w:rsidRPr="00FE7622">
        <w:rPr>
          <w:color w:val="auto"/>
        </w:rPr>
        <w:t xml:space="preserve">) are likely to have </w:t>
      </w:r>
      <w:r w:rsidR="001126CF" w:rsidRPr="00FE7622">
        <w:rPr>
          <w:color w:val="auto"/>
        </w:rPr>
        <w:t>included</w:t>
      </w:r>
      <w:r w:rsidRPr="00FE7622">
        <w:rPr>
          <w:color w:val="auto"/>
        </w:rPr>
        <w:t xml:space="preserve"> some people with sarcopenia. In the absence of individual participant data, it is not possible to examine whether </w:t>
      </w:r>
      <w:r w:rsidRPr="00842651">
        <w:rPr>
          <w:color w:val="auto"/>
        </w:rPr>
        <w:t>ACEi</w:t>
      </w:r>
      <w:r w:rsidRPr="00FE7622">
        <w:rPr>
          <w:color w:val="auto"/>
        </w:rPr>
        <w:t xml:space="preserve"> or </w:t>
      </w:r>
      <w:r w:rsidRPr="00842651">
        <w:rPr>
          <w:color w:val="auto"/>
        </w:rPr>
        <w:t>ARB</w:t>
      </w:r>
      <w:r w:rsidRPr="00FE7622">
        <w:rPr>
          <w:color w:val="auto"/>
        </w:rPr>
        <w:t xml:space="preserve"> therapy had a larger effect in those with sarcopenia </w:t>
      </w:r>
      <w:r w:rsidR="001126CF" w:rsidRPr="00FE7622">
        <w:rPr>
          <w:color w:val="auto"/>
        </w:rPr>
        <w:t>than in</w:t>
      </w:r>
      <w:r w:rsidRPr="00FE7622">
        <w:rPr>
          <w:color w:val="auto"/>
        </w:rPr>
        <w:t xml:space="preserve"> those </w:t>
      </w:r>
      <w:r w:rsidR="001126CF" w:rsidRPr="00FE7622">
        <w:rPr>
          <w:color w:val="auto"/>
        </w:rPr>
        <w:t xml:space="preserve">who did </w:t>
      </w:r>
      <w:r w:rsidRPr="00FE7622">
        <w:rPr>
          <w:color w:val="auto"/>
        </w:rPr>
        <w:t>not meet the criteria for sarcopenia.</w:t>
      </w:r>
    </w:p>
    <w:p w14:paraId="39F903E0" w14:textId="29AEC586" w:rsidR="00E038BF" w:rsidRPr="00FE7622" w:rsidRDefault="00E038BF" w:rsidP="006873C3">
      <w:pPr>
        <w:pStyle w:val="43ChaptertitleHeadingsHeadingstyles"/>
      </w:pPr>
      <w:bookmarkStart w:id="111" w:name="_Toc79684535"/>
      <w:bookmarkEnd w:id="99"/>
      <w:r w:rsidRPr="00FE7622">
        <w:t>Chapter 6</w:t>
      </w:r>
      <w:r w:rsidRPr="00FE7622">
        <w:t> </w:t>
      </w:r>
      <w:r w:rsidRPr="00FE7622">
        <w:t>Main trial results: leucine compared with placebo</w:t>
      </w:r>
      <w:bookmarkEnd w:id="111"/>
    </w:p>
    <w:p w14:paraId="787BA725" w14:textId="7E77B642" w:rsidR="00F026E8" w:rsidRPr="00FE7622" w:rsidRDefault="00E038BF" w:rsidP="006873C3">
      <w:pPr>
        <w:pStyle w:val="601TextdropcapTextstylesTextstyles"/>
        <w:rPr>
          <w:color w:val="auto"/>
        </w:rPr>
      </w:pPr>
      <w:r w:rsidRPr="00FE7622">
        <w:rPr>
          <w:i/>
          <w:color w:val="FF0000"/>
        </w:rPr>
        <w:t>Figure 14</w:t>
      </w:r>
      <w:r w:rsidR="00F026E8" w:rsidRPr="00FE7622">
        <w:rPr>
          <w:color w:val="auto"/>
        </w:rPr>
        <w:t xml:space="preserve"> shows the </w:t>
      </w:r>
      <w:r w:rsidR="00F026E8" w:rsidRPr="00842651">
        <w:rPr>
          <w:color w:val="auto"/>
        </w:rPr>
        <w:t>CONSORT</w:t>
      </w:r>
      <w:r w:rsidR="00F026E8" w:rsidRPr="00FE7622">
        <w:rPr>
          <w:color w:val="auto"/>
        </w:rPr>
        <w:t xml:space="preserve"> flow diagram for the </w:t>
      </w:r>
      <w:r w:rsidR="001126CF" w:rsidRPr="00FE7622">
        <w:rPr>
          <w:color w:val="auto"/>
        </w:rPr>
        <w:t xml:space="preserve">analysis of </w:t>
      </w:r>
      <w:r w:rsidR="00F026E8" w:rsidRPr="00FE7622">
        <w:rPr>
          <w:color w:val="auto"/>
        </w:rPr>
        <w:t xml:space="preserve">leucine </w:t>
      </w:r>
      <w:r w:rsidR="001126CF" w:rsidRPr="00FE7622">
        <w:rPr>
          <w:color w:val="auto"/>
        </w:rPr>
        <w:t>compared with</w:t>
      </w:r>
      <w:r w:rsidR="00F026E8" w:rsidRPr="00FE7622">
        <w:rPr>
          <w:color w:val="auto"/>
        </w:rPr>
        <w:t xml:space="preserve"> placebo. Dropout was similar in both arms. Both groups were well matched at baseline; details are given in </w:t>
      </w:r>
      <w:r w:rsidRPr="00FE7622">
        <w:rPr>
          <w:i/>
          <w:color w:val="FF0000"/>
        </w:rPr>
        <w:t>Table 11</w:t>
      </w:r>
      <w:r w:rsidR="00F026E8" w:rsidRPr="00FE7622">
        <w:rPr>
          <w:color w:val="auto"/>
        </w:rPr>
        <w:t>.</w:t>
      </w:r>
    </w:p>
    <w:p w14:paraId="3AC82B7B" w14:textId="02ABECA6" w:rsidR="00F026E8" w:rsidRPr="00FE7622" w:rsidRDefault="00E038BF" w:rsidP="00F026E8">
      <w:pPr>
        <w:pStyle w:val="81FigurelegendTableFigureBoxstyles"/>
        <w:rPr>
          <w:lang w:val="en-GB"/>
        </w:rPr>
      </w:pPr>
      <w:r w:rsidRPr="00FE7622">
        <w:rPr>
          <w:b/>
        </w:rPr>
        <w:t>FIGURE 14</w:t>
      </w:r>
      <w:r w:rsidRPr="00FE7622">
        <w:rPr>
          <w:b/>
        </w:rPr>
        <w:t> </w:t>
      </w:r>
      <w:r w:rsidR="00654138" w:rsidRPr="00FE7622">
        <w:rPr>
          <w:bCs/>
        </w:rPr>
        <w:t>The</w:t>
      </w:r>
      <w:r w:rsidRPr="00FE7622">
        <w:rPr>
          <w:b/>
        </w:rPr>
        <w:t xml:space="preserve"> </w:t>
      </w:r>
      <w:r w:rsidR="00F026E8" w:rsidRPr="00842651">
        <w:rPr>
          <w:lang w:val="en-GB"/>
        </w:rPr>
        <w:t>CONSORT</w:t>
      </w:r>
      <w:r w:rsidR="00F026E8" w:rsidRPr="00FE7622">
        <w:rPr>
          <w:lang w:val="en-GB"/>
        </w:rPr>
        <w:t xml:space="preserve"> diagram for </w:t>
      </w:r>
      <w:r w:rsidR="001126CF" w:rsidRPr="00FE7622">
        <w:rPr>
          <w:lang w:val="en-GB"/>
        </w:rPr>
        <w:t>l</w:t>
      </w:r>
      <w:r w:rsidR="00F026E8" w:rsidRPr="00FE7622">
        <w:rPr>
          <w:lang w:val="en-GB"/>
        </w:rPr>
        <w:t>eucine vs</w:t>
      </w:r>
      <w:r w:rsidR="001126CF" w:rsidRPr="00FE7622">
        <w:rPr>
          <w:lang w:val="en-GB"/>
        </w:rPr>
        <w:t>.</w:t>
      </w:r>
      <w:r w:rsidR="00F026E8" w:rsidRPr="00FE7622">
        <w:rPr>
          <w:lang w:val="en-GB"/>
        </w:rPr>
        <w:t xml:space="preserve"> placebo analysis.</w:t>
      </w:r>
      <w:r w:rsidRPr="00FE7622">
        <w:rPr>
          <w:b/>
          <w:bCs/>
          <w:lang w:val="en-GB"/>
        </w:rPr>
        <w:t xml:space="preserve"> </w:t>
      </w:r>
      <w:r w:rsidR="00F026E8" w:rsidRPr="00FE7622">
        <w:rPr>
          <w:lang w:val="en-GB"/>
        </w:rPr>
        <w:t>AE</w:t>
      </w:r>
      <w:r w:rsidR="001126CF" w:rsidRPr="00FE7622">
        <w:rPr>
          <w:lang w:val="en-GB"/>
        </w:rPr>
        <w:t>,</w:t>
      </w:r>
      <w:r w:rsidR="00F026E8" w:rsidRPr="00FE7622">
        <w:rPr>
          <w:lang w:val="en-GB"/>
        </w:rPr>
        <w:t xml:space="preserve"> </w:t>
      </w:r>
      <w:r w:rsidR="001126CF" w:rsidRPr="00FE7622">
        <w:rPr>
          <w:lang w:val="en-GB"/>
        </w:rPr>
        <w:t>a</w:t>
      </w:r>
      <w:r w:rsidR="00F026E8" w:rsidRPr="00FE7622">
        <w:rPr>
          <w:lang w:val="en-GB"/>
        </w:rPr>
        <w:t>dverse event</w:t>
      </w:r>
      <w:r w:rsidR="001126CF" w:rsidRPr="00FE7622">
        <w:rPr>
          <w:lang w:val="en-GB"/>
        </w:rPr>
        <w:t>;</w:t>
      </w:r>
      <w:r w:rsidR="00F026E8" w:rsidRPr="00FE7622">
        <w:rPr>
          <w:lang w:val="en-GB"/>
        </w:rPr>
        <w:t xml:space="preserve"> HCP</w:t>
      </w:r>
      <w:r w:rsidR="001126CF" w:rsidRPr="00FE7622">
        <w:rPr>
          <w:lang w:val="en-GB"/>
        </w:rPr>
        <w:t>,</w:t>
      </w:r>
      <w:r w:rsidR="00F026E8" w:rsidRPr="00FE7622">
        <w:rPr>
          <w:lang w:val="en-GB"/>
        </w:rPr>
        <w:t xml:space="preserve"> </w:t>
      </w:r>
      <w:r w:rsidR="001126CF" w:rsidRPr="00FE7622">
        <w:rPr>
          <w:lang w:val="en-GB"/>
        </w:rPr>
        <w:t>health-care professional;</w:t>
      </w:r>
      <w:r w:rsidR="00F026E8" w:rsidRPr="00FE7622">
        <w:rPr>
          <w:lang w:val="en-GB"/>
        </w:rPr>
        <w:t xml:space="preserve"> OH</w:t>
      </w:r>
      <w:r w:rsidR="001126CF" w:rsidRPr="00FE7622">
        <w:rPr>
          <w:lang w:val="en-GB"/>
        </w:rPr>
        <w:t>,</w:t>
      </w:r>
      <w:r w:rsidR="00F026E8" w:rsidRPr="00FE7622">
        <w:rPr>
          <w:lang w:val="en-GB"/>
        </w:rPr>
        <w:t xml:space="preserve"> </w:t>
      </w:r>
      <w:r w:rsidR="001126CF" w:rsidRPr="00FE7622">
        <w:rPr>
          <w:lang w:val="en-GB"/>
        </w:rPr>
        <w:t>o</w:t>
      </w:r>
      <w:r w:rsidR="00F026E8" w:rsidRPr="00FE7622">
        <w:rPr>
          <w:lang w:val="en-GB"/>
        </w:rPr>
        <w:t>rthostatic hypotension</w:t>
      </w:r>
      <w:r w:rsidR="001126CF" w:rsidRPr="00FE7622">
        <w:rPr>
          <w:lang w:val="en-GB"/>
        </w:rPr>
        <w:t>;</w:t>
      </w:r>
      <w:r w:rsidR="00F026E8" w:rsidRPr="00FE7622">
        <w:rPr>
          <w:lang w:val="en-GB"/>
        </w:rPr>
        <w:t xml:space="preserve"> </w:t>
      </w:r>
      <w:r w:rsidR="001126CF" w:rsidRPr="00FE7622">
        <w:rPr>
          <w:lang w:val="en-GB"/>
        </w:rPr>
        <w:t>p</w:t>
      </w:r>
      <w:r w:rsidR="00F026E8" w:rsidRPr="00FE7622">
        <w:rPr>
          <w:lang w:val="en-GB"/>
        </w:rPr>
        <w:t>t</w:t>
      </w:r>
      <w:r w:rsidR="001126CF" w:rsidRPr="00FE7622">
        <w:rPr>
          <w:lang w:val="en-GB"/>
        </w:rPr>
        <w:t>,</w:t>
      </w:r>
      <w:r w:rsidR="00F026E8" w:rsidRPr="00FE7622">
        <w:rPr>
          <w:lang w:val="en-GB"/>
        </w:rPr>
        <w:t xml:space="preserve"> </w:t>
      </w:r>
      <w:r w:rsidR="001126CF" w:rsidRPr="00FE7622">
        <w:rPr>
          <w:lang w:val="en-GB"/>
        </w:rPr>
        <w:t>p</w:t>
      </w:r>
      <w:r w:rsidR="00F026E8" w:rsidRPr="00FE7622">
        <w:rPr>
          <w:lang w:val="en-GB"/>
        </w:rPr>
        <w:t xml:space="preserve">articipant. </w:t>
      </w:r>
      <w:r w:rsidR="00206924">
        <w:rPr>
          <w:lang w:val="en-GB"/>
        </w:rPr>
        <w:t xml:space="preserve">a, </w:t>
      </w:r>
      <w:r w:rsidR="00F026E8" w:rsidRPr="00FE7622">
        <w:rPr>
          <w:lang w:val="en-GB"/>
        </w:rPr>
        <w:t>More than one reason for screen fail</w:t>
      </w:r>
      <w:r w:rsidR="00C57B74">
        <w:rPr>
          <w:lang w:val="en-GB"/>
        </w:rPr>
        <w:t>ure</w:t>
      </w:r>
      <w:r w:rsidR="00F026E8" w:rsidRPr="00FE7622">
        <w:rPr>
          <w:lang w:val="en-GB"/>
        </w:rPr>
        <w:t xml:space="preserve"> </w:t>
      </w:r>
      <w:r w:rsidR="00217646" w:rsidRPr="00FE7622">
        <w:rPr>
          <w:lang w:val="en-GB"/>
        </w:rPr>
        <w:t xml:space="preserve">was </w:t>
      </w:r>
      <w:r w:rsidR="00F026E8" w:rsidRPr="00FE7622">
        <w:rPr>
          <w:lang w:val="en-GB"/>
        </w:rPr>
        <w:t>recorded for some participants</w:t>
      </w:r>
      <w:r w:rsidR="00F137F5" w:rsidRPr="00FE7622">
        <w:rPr>
          <w:lang w:val="en-GB"/>
        </w:rPr>
        <w:t>.</w:t>
      </w:r>
    </w:p>
    <w:p w14:paraId="2C38DD09" w14:textId="239C9733" w:rsidR="00F026E8" w:rsidRPr="00FE7622" w:rsidRDefault="00E038BF" w:rsidP="00F026E8">
      <w:pPr>
        <w:pStyle w:val="70TablelegendTablesTableFigureBoxstyles"/>
        <w:rPr>
          <w:lang w:val="en-GB"/>
        </w:rPr>
      </w:pPr>
      <w:r w:rsidRPr="00FE7622">
        <w:rPr>
          <w:b/>
        </w:rPr>
        <w:t>TABLE 11</w:t>
      </w:r>
      <w:r w:rsidRPr="00FE7622">
        <w:rPr>
          <w:b/>
        </w:rPr>
        <w:t> </w:t>
      </w:r>
      <w:r w:rsidR="00F026E8" w:rsidRPr="00FE7622">
        <w:rPr>
          <w:lang w:val="en-GB"/>
        </w:rPr>
        <w:t>Baseline details for leucine vs</w:t>
      </w:r>
      <w:r w:rsidR="00AA0C18" w:rsidRPr="00FE7622">
        <w:rPr>
          <w:lang w:val="en-GB"/>
        </w:rPr>
        <w:t>.</w:t>
      </w:r>
      <w:r w:rsidR="00F026E8" w:rsidRPr="00FE7622">
        <w:rPr>
          <w:lang w:val="en-GB"/>
        </w:rPr>
        <w:t xml:space="preserve"> placebo analysis</w:t>
      </w:r>
    </w:p>
    <w:tbl>
      <w:tblPr>
        <w:tblW w:w="0" w:type="auto"/>
        <w:tblCellMar>
          <w:top w:w="40" w:type="dxa"/>
          <w:left w:w="60" w:type="dxa"/>
          <w:bottom w:w="40" w:type="dxa"/>
          <w:right w:w="60" w:type="dxa"/>
        </w:tblCellMar>
        <w:tblLook w:val="04A0" w:firstRow="1" w:lastRow="0" w:firstColumn="1" w:lastColumn="0" w:noHBand="0" w:noVBand="1"/>
      </w:tblPr>
      <w:tblGrid>
        <w:gridCol w:w="4797"/>
        <w:gridCol w:w="1477"/>
        <w:gridCol w:w="1480"/>
      </w:tblGrid>
      <w:tr w:rsidR="00F026E8" w:rsidRPr="00FE7622" w14:paraId="7AC64E93" w14:textId="77777777" w:rsidTr="00AF19CC">
        <w:trPr>
          <w:cantSplit/>
        </w:trPr>
        <w:tc>
          <w:tcPr>
            <w:tcW w:w="0" w:type="auto"/>
            <w:shd w:val="clear" w:color="auto" w:fill="auto"/>
          </w:tcPr>
          <w:p w14:paraId="1C846376" w14:textId="496135C6" w:rsidR="00F026E8" w:rsidRPr="00FE7622" w:rsidRDefault="00E038BF" w:rsidP="00AF19CC">
            <w:pPr>
              <w:pStyle w:val="705TableheadgroupTablesTableFigureBoxstyles"/>
              <w:rPr>
                <w:rFonts w:eastAsia="Calibri"/>
              </w:rPr>
            </w:pPr>
            <w:r w:rsidRPr="00FE7622">
              <w:rPr>
                <w:rFonts w:eastAsia="Calibri"/>
              </w:rPr>
              <w:t>Detail</w:t>
            </w:r>
          </w:p>
        </w:tc>
        <w:tc>
          <w:tcPr>
            <w:tcW w:w="0" w:type="auto"/>
            <w:shd w:val="clear" w:color="auto" w:fill="auto"/>
          </w:tcPr>
          <w:p w14:paraId="75E094D4" w14:textId="3158DA40" w:rsidR="00F026E8" w:rsidRPr="00FE7622" w:rsidRDefault="00E038BF" w:rsidP="00AF19CC">
            <w:pPr>
              <w:pStyle w:val="710TableheadTablesTableFigureBoxstyles"/>
              <w:rPr>
                <w:rFonts w:eastAsia="Calibri"/>
              </w:rPr>
            </w:pPr>
            <w:r w:rsidRPr="00FE7622">
              <w:rPr>
                <w:rFonts w:eastAsia="Calibri"/>
              </w:rPr>
              <w:t>Leucine (</w:t>
            </w:r>
            <w:r w:rsidRPr="00FE7622">
              <w:rPr>
                <w:rFonts w:eastAsia="Calibri"/>
                <w:i/>
              </w:rPr>
              <w:t>N</w:t>
            </w:r>
            <w:r w:rsidRPr="00FE7622">
              <w:rPr>
                <w:rFonts w:eastAsia="Calibri"/>
              </w:rPr>
              <w:t> = 72)</w:t>
            </w:r>
          </w:p>
        </w:tc>
        <w:tc>
          <w:tcPr>
            <w:tcW w:w="0" w:type="auto"/>
            <w:shd w:val="clear" w:color="auto" w:fill="auto"/>
          </w:tcPr>
          <w:p w14:paraId="63381D3B" w14:textId="38B9A39D" w:rsidR="00F026E8" w:rsidRPr="00FE7622" w:rsidRDefault="00E038BF" w:rsidP="00AF19CC">
            <w:pPr>
              <w:pStyle w:val="710TableheadTablesTableFigureBoxstyles"/>
              <w:rPr>
                <w:rFonts w:eastAsia="Calibri"/>
              </w:rPr>
            </w:pPr>
            <w:r w:rsidRPr="00FE7622">
              <w:rPr>
                <w:rFonts w:eastAsia="Calibri"/>
              </w:rPr>
              <w:t>Placebo (</w:t>
            </w:r>
            <w:r w:rsidRPr="00FE7622">
              <w:rPr>
                <w:rFonts w:eastAsia="Calibri"/>
                <w:i/>
              </w:rPr>
              <w:t>N</w:t>
            </w:r>
            <w:r w:rsidRPr="00FE7622">
              <w:rPr>
                <w:rFonts w:eastAsia="Calibri"/>
              </w:rPr>
              <w:t> = 73)</w:t>
            </w:r>
          </w:p>
        </w:tc>
      </w:tr>
      <w:tr w:rsidR="00F026E8" w:rsidRPr="00FE7622" w14:paraId="0BE672BD" w14:textId="77777777" w:rsidTr="00AF19CC">
        <w:trPr>
          <w:cantSplit/>
        </w:trPr>
        <w:tc>
          <w:tcPr>
            <w:tcW w:w="0" w:type="auto"/>
            <w:shd w:val="clear" w:color="auto" w:fill="auto"/>
          </w:tcPr>
          <w:p w14:paraId="24C15E0E" w14:textId="77777777" w:rsidR="00F026E8" w:rsidRPr="00FE7622" w:rsidRDefault="00F026E8" w:rsidP="00AF19CC">
            <w:pPr>
              <w:pStyle w:val="72TabletextTablesTableFigureBoxstyles"/>
              <w:rPr>
                <w:rFonts w:eastAsia="Calibri"/>
              </w:rPr>
            </w:pPr>
            <w:r w:rsidRPr="00FE7622">
              <w:rPr>
                <w:rFonts w:eastAsia="Calibri"/>
                <w:color w:val="auto"/>
              </w:rPr>
              <w:t>Mean age (years) (</w:t>
            </w:r>
            <w:r w:rsidRPr="00842651">
              <w:rPr>
                <w:rFonts w:eastAsia="Calibri"/>
                <w:color w:val="auto"/>
              </w:rPr>
              <w:t>SD</w:t>
            </w:r>
            <w:r w:rsidRPr="00FE7622">
              <w:rPr>
                <w:rFonts w:eastAsia="Calibri"/>
                <w:color w:val="auto"/>
              </w:rPr>
              <w:t>)</w:t>
            </w:r>
          </w:p>
        </w:tc>
        <w:tc>
          <w:tcPr>
            <w:tcW w:w="0" w:type="auto"/>
            <w:shd w:val="clear" w:color="auto" w:fill="auto"/>
          </w:tcPr>
          <w:p w14:paraId="29421448" w14:textId="77777777" w:rsidR="00F026E8" w:rsidRPr="00FE7622" w:rsidRDefault="00F026E8" w:rsidP="00AF19CC">
            <w:pPr>
              <w:pStyle w:val="72TabletextTablesTableFigureBoxstyles"/>
              <w:rPr>
                <w:rFonts w:eastAsia="Calibri"/>
              </w:rPr>
            </w:pPr>
            <w:r w:rsidRPr="00FE7622">
              <w:rPr>
                <w:rFonts w:eastAsia="Calibri"/>
                <w:color w:val="auto"/>
              </w:rPr>
              <w:t>78.3 (5.9)</w:t>
            </w:r>
          </w:p>
        </w:tc>
        <w:tc>
          <w:tcPr>
            <w:tcW w:w="0" w:type="auto"/>
            <w:shd w:val="clear" w:color="auto" w:fill="auto"/>
          </w:tcPr>
          <w:p w14:paraId="6710D5C9" w14:textId="77777777" w:rsidR="00F026E8" w:rsidRPr="00FE7622" w:rsidRDefault="00F026E8" w:rsidP="00AF19CC">
            <w:pPr>
              <w:pStyle w:val="72TabletextTablesTableFigureBoxstyles"/>
              <w:rPr>
                <w:rFonts w:eastAsia="Calibri"/>
                <w:color w:val="auto"/>
              </w:rPr>
            </w:pPr>
            <w:r w:rsidRPr="00FE7622">
              <w:rPr>
                <w:rFonts w:eastAsia="Calibri"/>
                <w:color w:val="auto"/>
              </w:rPr>
              <w:t>79.3 (6.1)</w:t>
            </w:r>
          </w:p>
        </w:tc>
      </w:tr>
      <w:tr w:rsidR="00F026E8" w:rsidRPr="00FE7622" w14:paraId="67A27DD0" w14:textId="77777777" w:rsidTr="00AF19CC">
        <w:trPr>
          <w:cantSplit/>
        </w:trPr>
        <w:tc>
          <w:tcPr>
            <w:tcW w:w="0" w:type="auto"/>
            <w:shd w:val="clear" w:color="auto" w:fill="auto"/>
          </w:tcPr>
          <w:p w14:paraId="22CC73A9" w14:textId="5F4C8AAA" w:rsidR="00F026E8" w:rsidRPr="00FE7622" w:rsidRDefault="00F026E8" w:rsidP="00AF19CC">
            <w:pPr>
              <w:pStyle w:val="72TabletextTablesTableFigureBoxstyles"/>
              <w:rPr>
                <w:rFonts w:eastAsia="Calibri"/>
              </w:rPr>
            </w:pPr>
            <w:r w:rsidRPr="00FE7622">
              <w:rPr>
                <w:rFonts w:eastAsia="Calibri"/>
                <w:color w:val="auto"/>
              </w:rPr>
              <w:t>Female sex</w:t>
            </w:r>
            <w:r w:rsidR="008910E9"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p>
        </w:tc>
        <w:tc>
          <w:tcPr>
            <w:tcW w:w="0" w:type="auto"/>
            <w:shd w:val="clear" w:color="auto" w:fill="auto"/>
          </w:tcPr>
          <w:p w14:paraId="187DDA50" w14:textId="77777777" w:rsidR="00F026E8" w:rsidRPr="00FE7622" w:rsidRDefault="00F026E8" w:rsidP="00AF19CC">
            <w:pPr>
              <w:pStyle w:val="72TabletextTablesTableFigureBoxstyles"/>
              <w:rPr>
                <w:rFonts w:eastAsia="Calibri"/>
              </w:rPr>
            </w:pPr>
            <w:r w:rsidRPr="00FE7622">
              <w:rPr>
                <w:rFonts w:eastAsia="Calibri"/>
                <w:color w:val="auto"/>
              </w:rPr>
              <w:t>38 (53)</w:t>
            </w:r>
          </w:p>
        </w:tc>
        <w:tc>
          <w:tcPr>
            <w:tcW w:w="0" w:type="auto"/>
            <w:shd w:val="clear" w:color="auto" w:fill="auto"/>
          </w:tcPr>
          <w:p w14:paraId="2F2CE038" w14:textId="77777777" w:rsidR="00F026E8" w:rsidRPr="00FE7622" w:rsidRDefault="00F026E8" w:rsidP="00AF19CC">
            <w:pPr>
              <w:pStyle w:val="72TabletextTablesTableFigureBoxstyles"/>
              <w:rPr>
                <w:rFonts w:eastAsia="Calibri"/>
                <w:color w:val="auto"/>
              </w:rPr>
            </w:pPr>
            <w:r w:rsidRPr="00FE7622">
              <w:rPr>
                <w:rFonts w:eastAsia="Calibri"/>
                <w:color w:val="auto"/>
              </w:rPr>
              <w:t>40 (55)</w:t>
            </w:r>
          </w:p>
        </w:tc>
      </w:tr>
      <w:tr w:rsidR="00F026E8" w:rsidRPr="00FE7622" w14:paraId="3FB0ECAA" w14:textId="77777777" w:rsidTr="00AF19CC">
        <w:trPr>
          <w:cantSplit/>
        </w:trPr>
        <w:tc>
          <w:tcPr>
            <w:tcW w:w="0" w:type="auto"/>
            <w:shd w:val="clear" w:color="auto" w:fill="auto"/>
          </w:tcPr>
          <w:p w14:paraId="5FC17A9D" w14:textId="6904E0DD" w:rsidR="00F026E8" w:rsidRPr="00FE7622" w:rsidRDefault="00F026E8" w:rsidP="00AF19CC">
            <w:pPr>
              <w:pStyle w:val="72TabletextTablesTableFigureBoxstyles"/>
              <w:rPr>
                <w:rFonts w:eastAsia="Calibri"/>
              </w:rPr>
            </w:pPr>
            <w:r w:rsidRPr="00FE7622">
              <w:rPr>
                <w:rFonts w:eastAsia="Calibri"/>
                <w:color w:val="auto"/>
              </w:rPr>
              <w:t xml:space="preserve">Mean Charlson </w:t>
            </w:r>
            <w:r w:rsidR="001126CF" w:rsidRPr="00FE7622">
              <w:rPr>
                <w:rFonts w:eastAsia="Calibri"/>
                <w:color w:val="auto"/>
              </w:rPr>
              <w:t>C</w:t>
            </w:r>
            <w:r w:rsidRPr="00FE7622">
              <w:rPr>
                <w:rFonts w:eastAsia="Calibri"/>
                <w:color w:val="auto"/>
              </w:rPr>
              <w:t>omorbidity</w:t>
            </w:r>
            <w:r w:rsidR="001126CF" w:rsidRPr="00FE7622">
              <w:rPr>
                <w:rFonts w:eastAsia="Calibri"/>
                <w:color w:val="auto"/>
              </w:rPr>
              <w:t xml:space="preserve"> Index</w:t>
            </w:r>
            <w:r w:rsidRPr="00FE7622">
              <w:rPr>
                <w:rFonts w:eastAsia="Calibri"/>
                <w:color w:val="auto"/>
              </w:rPr>
              <w:t xml:space="preserve"> score (</w:t>
            </w:r>
            <w:r w:rsidRPr="00842651">
              <w:rPr>
                <w:rFonts w:eastAsia="Calibri"/>
                <w:color w:val="auto"/>
              </w:rPr>
              <w:t>SD</w:t>
            </w:r>
            <w:r w:rsidRPr="00FE7622">
              <w:rPr>
                <w:rFonts w:eastAsia="Calibri"/>
                <w:color w:val="auto"/>
              </w:rPr>
              <w:t>)</w:t>
            </w:r>
          </w:p>
        </w:tc>
        <w:tc>
          <w:tcPr>
            <w:tcW w:w="0" w:type="auto"/>
            <w:shd w:val="clear" w:color="auto" w:fill="auto"/>
          </w:tcPr>
          <w:p w14:paraId="1C89C203" w14:textId="77777777" w:rsidR="00F026E8" w:rsidRPr="00FE7622" w:rsidRDefault="00F026E8" w:rsidP="00AF19CC">
            <w:pPr>
              <w:pStyle w:val="72TabletextTablesTableFigureBoxstyles"/>
              <w:rPr>
                <w:rFonts w:eastAsia="Calibri"/>
              </w:rPr>
            </w:pPr>
            <w:r w:rsidRPr="00FE7622">
              <w:rPr>
                <w:rFonts w:eastAsia="Calibri"/>
                <w:color w:val="auto"/>
              </w:rPr>
              <w:t>0.7 (1.0)</w:t>
            </w:r>
          </w:p>
        </w:tc>
        <w:tc>
          <w:tcPr>
            <w:tcW w:w="0" w:type="auto"/>
            <w:shd w:val="clear" w:color="auto" w:fill="auto"/>
          </w:tcPr>
          <w:p w14:paraId="6BE4B2EC" w14:textId="77777777" w:rsidR="00F026E8" w:rsidRPr="00FE7622" w:rsidRDefault="00F026E8" w:rsidP="00AF19CC">
            <w:pPr>
              <w:pStyle w:val="72TabletextTablesTableFigureBoxstyles"/>
              <w:rPr>
                <w:rFonts w:eastAsia="Calibri"/>
                <w:color w:val="auto"/>
              </w:rPr>
            </w:pPr>
            <w:r w:rsidRPr="00FE7622">
              <w:rPr>
                <w:rFonts w:eastAsia="Calibri"/>
                <w:color w:val="auto"/>
              </w:rPr>
              <w:t>0.7 (1.0)</w:t>
            </w:r>
          </w:p>
        </w:tc>
      </w:tr>
      <w:tr w:rsidR="00F026E8" w:rsidRPr="00FE7622" w14:paraId="66A77AFC" w14:textId="77777777" w:rsidTr="00AF19CC">
        <w:trPr>
          <w:cantSplit/>
        </w:trPr>
        <w:tc>
          <w:tcPr>
            <w:tcW w:w="0" w:type="auto"/>
            <w:shd w:val="clear" w:color="auto" w:fill="auto"/>
          </w:tcPr>
          <w:p w14:paraId="01740303" w14:textId="77777777"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SARC-F</w:t>
            </w:r>
            <w:r w:rsidRPr="00FE7622">
              <w:rPr>
                <w:rFonts w:eastAsia="Calibri"/>
                <w:color w:val="auto"/>
              </w:rPr>
              <w:t xml:space="preserve"> score (</w:t>
            </w:r>
            <w:r w:rsidRPr="00842651">
              <w:rPr>
                <w:rFonts w:eastAsia="Calibri"/>
                <w:color w:val="auto"/>
              </w:rPr>
              <w:t>SD</w:t>
            </w:r>
            <w:r w:rsidRPr="00FE7622">
              <w:rPr>
                <w:rFonts w:eastAsia="Calibri"/>
                <w:color w:val="auto"/>
              </w:rPr>
              <w:t>)</w:t>
            </w:r>
          </w:p>
        </w:tc>
        <w:tc>
          <w:tcPr>
            <w:tcW w:w="0" w:type="auto"/>
            <w:shd w:val="clear" w:color="auto" w:fill="auto"/>
          </w:tcPr>
          <w:p w14:paraId="5AA447FB" w14:textId="77777777" w:rsidR="00F026E8" w:rsidRPr="00FE7622" w:rsidRDefault="00F026E8" w:rsidP="00AF19CC">
            <w:pPr>
              <w:pStyle w:val="72TabletextTablesTableFigureBoxstyles"/>
              <w:rPr>
                <w:rFonts w:eastAsia="Calibri"/>
              </w:rPr>
            </w:pPr>
            <w:r w:rsidRPr="00FE7622">
              <w:rPr>
                <w:rFonts w:eastAsia="Calibri"/>
                <w:color w:val="auto"/>
              </w:rPr>
              <w:t>4.14 (1.26)</w:t>
            </w:r>
          </w:p>
        </w:tc>
        <w:tc>
          <w:tcPr>
            <w:tcW w:w="0" w:type="auto"/>
            <w:shd w:val="clear" w:color="auto" w:fill="auto"/>
          </w:tcPr>
          <w:p w14:paraId="6B6A435F" w14:textId="77777777" w:rsidR="00F026E8" w:rsidRPr="00FE7622" w:rsidRDefault="00F026E8" w:rsidP="00AF19CC">
            <w:pPr>
              <w:pStyle w:val="72TabletextTablesTableFigureBoxstyles"/>
              <w:rPr>
                <w:rFonts w:eastAsia="Calibri"/>
                <w:color w:val="auto"/>
              </w:rPr>
            </w:pPr>
            <w:r w:rsidRPr="00FE7622">
              <w:rPr>
                <w:rFonts w:eastAsia="Calibri"/>
                <w:color w:val="auto"/>
              </w:rPr>
              <w:t>4.30 (1.58)</w:t>
            </w:r>
          </w:p>
        </w:tc>
      </w:tr>
      <w:tr w:rsidR="00450B0B" w:rsidRPr="00FE7622" w14:paraId="48FF8627" w14:textId="77777777" w:rsidTr="00AF19CC">
        <w:trPr>
          <w:cantSplit/>
        </w:trPr>
        <w:tc>
          <w:tcPr>
            <w:tcW w:w="0" w:type="auto"/>
            <w:gridSpan w:val="3"/>
            <w:shd w:val="clear" w:color="auto" w:fill="auto"/>
          </w:tcPr>
          <w:p w14:paraId="5FA49BF2" w14:textId="16708BB4" w:rsidR="00450B0B" w:rsidRPr="00FE7622" w:rsidRDefault="00450B0B" w:rsidP="00AF19CC">
            <w:pPr>
              <w:pStyle w:val="72TabletextTablesTableFigureBoxstyles"/>
              <w:rPr>
                <w:rFonts w:eastAsia="Calibri"/>
                <w:color w:val="auto"/>
              </w:rPr>
            </w:pPr>
            <w:r w:rsidRPr="00FE7622">
              <w:rPr>
                <w:rFonts w:eastAsia="Calibri"/>
                <w:color w:val="auto"/>
              </w:rPr>
              <w:t>Comorbid disease</w:t>
            </w:r>
            <w:r w:rsidR="008910E9" w:rsidRPr="00FE7622">
              <w:rPr>
                <w:rFonts w:eastAsia="Calibri"/>
                <w:color w:val="auto"/>
              </w:rPr>
              <w:t xml:space="preserve">, </w:t>
            </w:r>
            <w:r w:rsidR="00E038BF" w:rsidRPr="00FE7622">
              <w:rPr>
                <w:rFonts w:eastAsia="Calibri"/>
                <w:i/>
                <w:iCs/>
                <w:color w:val="auto"/>
              </w:rPr>
              <w:t>n</w:t>
            </w:r>
            <w:r w:rsidR="008910E9" w:rsidRPr="00FE7622">
              <w:rPr>
                <w:rFonts w:eastAsia="Calibri"/>
                <w:color w:val="auto"/>
              </w:rPr>
              <w:t xml:space="preserve"> (%)</w:t>
            </w:r>
          </w:p>
        </w:tc>
      </w:tr>
      <w:tr w:rsidR="00F026E8" w:rsidRPr="00FE7622" w14:paraId="553AF15A" w14:textId="77777777" w:rsidTr="00AF19CC">
        <w:trPr>
          <w:cantSplit/>
        </w:trPr>
        <w:tc>
          <w:tcPr>
            <w:tcW w:w="0" w:type="auto"/>
            <w:shd w:val="clear" w:color="auto" w:fill="auto"/>
          </w:tcPr>
          <w:p w14:paraId="0DCA6DF2" w14:textId="4ECF239A"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Hypertension</w:t>
            </w:r>
          </w:p>
        </w:tc>
        <w:tc>
          <w:tcPr>
            <w:tcW w:w="0" w:type="auto"/>
            <w:shd w:val="clear" w:color="auto" w:fill="auto"/>
          </w:tcPr>
          <w:p w14:paraId="29E8A658" w14:textId="77777777" w:rsidR="00F026E8" w:rsidRPr="00FE7622" w:rsidRDefault="00F026E8" w:rsidP="00AF19CC">
            <w:pPr>
              <w:pStyle w:val="72TabletextTablesTableFigureBoxstyles"/>
              <w:rPr>
                <w:rFonts w:eastAsia="Calibri"/>
              </w:rPr>
            </w:pPr>
            <w:r w:rsidRPr="00FE7622">
              <w:rPr>
                <w:rFonts w:eastAsia="Calibri"/>
                <w:color w:val="auto"/>
              </w:rPr>
              <w:t>25 (35)</w:t>
            </w:r>
          </w:p>
        </w:tc>
        <w:tc>
          <w:tcPr>
            <w:tcW w:w="0" w:type="auto"/>
            <w:shd w:val="clear" w:color="auto" w:fill="auto"/>
          </w:tcPr>
          <w:p w14:paraId="5D42581B" w14:textId="77777777" w:rsidR="00F026E8" w:rsidRPr="00FE7622" w:rsidRDefault="00F026E8" w:rsidP="00AF19CC">
            <w:pPr>
              <w:pStyle w:val="72TabletextTablesTableFigureBoxstyles"/>
              <w:rPr>
                <w:rFonts w:eastAsia="Calibri"/>
                <w:color w:val="auto"/>
              </w:rPr>
            </w:pPr>
            <w:r w:rsidRPr="00FE7622">
              <w:rPr>
                <w:rFonts w:eastAsia="Calibri"/>
                <w:color w:val="auto"/>
              </w:rPr>
              <w:t>18 (25)</w:t>
            </w:r>
          </w:p>
        </w:tc>
      </w:tr>
      <w:tr w:rsidR="00F026E8" w:rsidRPr="00FE7622" w14:paraId="4B8E4F44" w14:textId="77777777" w:rsidTr="00AF19CC">
        <w:trPr>
          <w:cantSplit/>
        </w:trPr>
        <w:tc>
          <w:tcPr>
            <w:tcW w:w="0" w:type="auto"/>
            <w:shd w:val="clear" w:color="auto" w:fill="auto"/>
          </w:tcPr>
          <w:p w14:paraId="5149F8F7" w14:textId="536C9868"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Ischaemic heart disease</w:t>
            </w:r>
          </w:p>
        </w:tc>
        <w:tc>
          <w:tcPr>
            <w:tcW w:w="0" w:type="auto"/>
            <w:shd w:val="clear" w:color="auto" w:fill="auto"/>
          </w:tcPr>
          <w:p w14:paraId="1DE0EB75" w14:textId="77777777" w:rsidR="00F026E8" w:rsidRPr="00FE7622" w:rsidRDefault="00F026E8" w:rsidP="00AF19CC">
            <w:pPr>
              <w:pStyle w:val="72TabletextTablesTableFigureBoxstyles"/>
              <w:rPr>
                <w:rFonts w:eastAsia="Calibri"/>
              </w:rPr>
            </w:pPr>
            <w:r w:rsidRPr="00FE7622">
              <w:rPr>
                <w:rFonts w:eastAsia="Calibri"/>
                <w:color w:val="auto"/>
              </w:rPr>
              <w:t>5 (7)</w:t>
            </w:r>
          </w:p>
        </w:tc>
        <w:tc>
          <w:tcPr>
            <w:tcW w:w="0" w:type="auto"/>
            <w:shd w:val="clear" w:color="auto" w:fill="auto"/>
          </w:tcPr>
          <w:p w14:paraId="58B5A52B" w14:textId="77777777" w:rsidR="00F026E8" w:rsidRPr="00FE7622" w:rsidRDefault="00F026E8" w:rsidP="00AF19CC">
            <w:pPr>
              <w:pStyle w:val="72TabletextTablesTableFigureBoxstyles"/>
              <w:rPr>
                <w:rFonts w:eastAsia="Calibri"/>
                <w:color w:val="auto"/>
              </w:rPr>
            </w:pPr>
            <w:r w:rsidRPr="00FE7622">
              <w:rPr>
                <w:rFonts w:eastAsia="Calibri"/>
                <w:color w:val="auto"/>
              </w:rPr>
              <w:t>9 (12)</w:t>
            </w:r>
          </w:p>
        </w:tc>
      </w:tr>
      <w:tr w:rsidR="00F026E8" w:rsidRPr="00FE7622" w14:paraId="633A4EA6" w14:textId="77777777" w:rsidTr="00AF19CC">
        <w:trPr>
          <w:cantSplit/>
        </w:trPr>
        <w:tc>
          <w:tcPr>
            <w:tcW w:w="0" w:type="auto"/>
            <w:shd w:val="clear" w:color="auto" w:fill="auto"/>
          </w:tcPr>
          <w:p w14:paraId="2D83CC14" w14:textId="315A0ED0"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Osteoarthritis</w:t>
            </w:r>
          </w:p>
        </w:tc>
        <w:tc>
          <w:tcPr>
            <w:tcW w:w="0" w:type="auto"/>
            <w:shd w:val="clear" w:color="auto" w:fill="auto"/>
          </w:tcPr>
          <w:p w14:paraId="3438F614" w14:textId="77777777" w:rsidR="00F026E8" w:rsidRPr="00FE7622" w:rsidRDefault="00F026E8" w:rsidP="00AF19CC">
            <w:pPr>
              <w:pStyle w:val="72TabletextTablesTableFigureBoxstyles"/>
              <w:rPr>
                <w:rFonts w:eastAsia="Calibri"/>
              </w:rPr>
            </w:pPr>
            <w:r w:rsidRPr="00FE7622">
              <w:rPr>
                <w:rFonts w:eastAsia="Calibri"/>
                <w:color w:val="auto"/>
              </w:rPr>
              <w:t>36 (50)</w:t>
            </w:r>
          </w:p>
        </w:tc>
        <w:tc>
          <w:tcPr>
            <w:tcW w:w="0" w:type="auto"/>
            <w:shd w:val="clear" w:color="auto" w:fill="auto"/>
          </w:tcPr>
          <w:p w14:paraId="08453CCE" w14:textId="77777777" w:rsidR="00F026E8" w:rsidRPr="00FE7622" w:rsidRDefault="00F026E8" w:rsidP="00AF19CC">
            <w:pPr>
              <w:pStyle w:val="72TabletextTablesTableFigureBoxstyles"/>
              <w:rPr>
                <w:rFonts w:eastAsia="Calibri"/>
                <w:color w:val="auto"/>
              </w:rPr>
            </w:pPr>
            <w:r w:rsidRPr="00FE7622">
              <w:rPr>
                <w:rFonts w:eastAsia="Calibri"/>
                <w:color w:val="auto"/>
              </w:rPr>
              <w:t>41 (56)</w:t>
            </w:r>
          </w:p>
        </w:tc>
      </w:tr>
      <w:tr w:rsidR="00F026E8" w:rsidRPr="00FE7622" w14:paraId="279DA9E4" w14:textId="77777777" w:rsidTr="00AF19CC">
        <w:trPr>
          <w:cantSplit/>
        </w:trPr>
        <w:tc>
          <w:tcPr>
            <w:tcW w:w="0" w:type="auto"/>
            <w:shd w:val="clear" w:color="auto" w:fill="auto"/>
          </w:tcPr>
          <w:p w14:paraId="4EE82FC3" w14:textId="37F79B61"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Rheumatoid arthritis</w:t>
            </w:r>
          </w:p>
        </w:tc>
        <w:tc>
          <w:tcPr>
            <w:tcW w:w="0" w:type="auto"/>
            <w:shd w:val="clear" w:color="auto" w:fill="auto"/>
          </w:tcPr>
          <w:p w14:paraId="3C7D368A" w14:textId="77777777" w:rsidR="00F026E8" w:rsidRPr="00FE7622" w:rsidRDefault="00F026E8" w:rsidP="00AF19CC">
            <w:pPr>
              <w:pStyle w:val="72TabletextTablesTableFigureBoxstyles"/>
              <w:rPr>
                <w:rFonts w:eastAsia="Calibri"/>
              </w:rPr>
            </w:pPr>
            <w:r w:rsidRPr="00FE7622">
              <w:rPr>
                <w:rFonts w:eastAsia="Calibri"/>
                <w:color w:val="auto"/>
              </w:rPr>
              <w:t>6 (8)</w:t>
            </w:r>
          </w:p>
        </w:tc>
        <w:tc>
          <w:tcPr>
            <w:tcW w:w="0" w:type="auto"/>
            <w:shd w:val="clear" w:color="auto" w:fill="auto"/>
          </w:tcPr>
          <w:p w14:paraId="2AA218C9" w14:textId="77777777" w:rsidR="00F026E8" w:rsidRPr="00FE7622" w:rsidRDefault="00F026E8" w:rsidP="00AF19CC">
            <w:pPr>
              <w:pStyle w:val="72TabletextTablesTableFigureBoxstyles"/>
              <w:rPr>
                <w:rFonts w:eastAsia="Calibri"/>
                <w:color w:val="auto"/>
              </w:rPr>
            </w:pPr>
            <w:r w:rsidRPr="00FE7622">
              <w:rPr>
                <w:rFonts w:eastAsia="Calibri"/>
                <w:color w:val="auto"/>
              </w:rPr>
              <w:t>4 (5)</w:t>
            </w:r>
          </w:p>
        </w:tc>
      </w:tr>
      <w:tr w:rsidR="00F026E8" w:rsidRPr="00FE7622" w14:paraId="2B4BF8FE" w14:textId="77777777" w:rsidTr="00AF19CC">
        <w:trPr>
          <w:cantSplit/>
        </w:trPr>
        <w:tc>
          <w:tcPr>
            <w:tcW w:w="0" w:type="auto"/>
            <w:shd w:val="clear" w:color="auto" w:fill="auto"/>
          </w:tcPr>
          <w:p w14:paraId="668B659E" w14:textId="57421B98"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Cataracts</w:t>
            </w:r>
          </w:p>
        </w:tc>
        <w:tc>
          <w:tcPr>
            <w:tcW w:w="0" w:type="auto"/>
            <w:shd w:val="clear" w:color="auto" w:fill="auto"/>
          </w:tcPr>
          <w:p w14:paraId="0CC65DC8" w14:textId="77777777" w:rsidR="00F026E8" w:rsidRPr="00FE7622" w:rsidRDefault="00F026E8" w:rsidP="00AF19CC">
            <w:pPr>
              <w:pStyle w:val="72TabletextTablesTableFigureBoxstyles"/>
              <w:rPr>
                <w:rFonts w:eastAsia="Calibri"/>
              </w:rPr>
            </w:pPr>
            <w:r w:rsidRPr="00FE7622">
              <w:rPr>
                <w:rFonts w:eastAsia="Calibri"/>
                <w:color w:val="auto"/>
              </w:rPr>
              <w:t>33 (46)</w:t>
            </w:r>
          </w:p>
        </w:tc>
        <w:tc>
          <w:tcPr>
            <w:tcW w:w="0" w:type="auto"/>
            <w:shd w:val="clear" w:color="auto" w:fill="auto"/>
          </w:tcPr>
          <w:p w14:paraId="31086D0A" w14:textId="77777777" w:rsidR="00F026E8" w:rsidRPr="00FE7622" w:rsidRDefault="00F026E8" w:rsidP="00AF19CC">
            <w:pPr>
              <w:pStyle w:val="72TabletextTablesTableFigureBoxstyles"/>
              <w:rPr>
                <w:rFonts w:eastAsia="Calibri"/>
                <w:color w:val="auto"/>
              </w:rPr>
            </w:pPr>
            <w:r w:rsidRPr="00FE7622">
              <w:rPr>
                <w:rFonts w:eastAsia="Calibri"/>
                <w:color w:val="auto"/>
              </w:rPr>
              <w:t>29 (40)</w:t>
            </w:r>
          </w:p>
        </w:tc>
      </w:tr>
      <w:tr w:rsidR="00F026E8" w:rsidRPr="00FE7622" w14:paraId="2C2D2396" w14:textId="77777777" w:rsidTr="00AF19CC">
        <w:trPr>
          <w:cantSplit/>
        </w:trPr>
        <w:tc>
          <w:tcPr>
            <w:tcW w:w="0" w:type="auto"/>
            <w:shd w:val="clear" w:color="auto" w:fill="auto"/>
          </w:tcPr>
          <w:p w14:paraId="1C9BF261" w14:textId="53A06B31"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Retinopathy</w:t>
            </w:r>
          </w:p>
        </w:tc>
        <w:tc>
          <w:tcPr>
            <w:tcW w:w="0" w:type="auto"/>
            <w:shd w:val="clear" w:color="auto" w:fill="auto"/>
          </w:tcPr>
          <w:p w14:paraId="25AE3F5E" w14:textId="77777777" w:rsidR="00F026E8" w:rsidRPr="00FE7622" w:rsidRDefault="00F026E8" w:rsidP="00AF19CC">
            <w:pPr>
              <w:pStyle w:val="72TabletextTablesTableFigureBoxstyles"/>
              <w:rPr>
                <w:rFonts w:eastAsia="Calibri"/>
              </w:rPr>
            </w:pPr>
            <w:r w:rsidRPr="00FE7622">
              <w:rPr>
                <w:rFonts w:eastAsia="Calibri"/>
                <w:color w:val="auto"/>
              </w:rPr>
              <w:t>3 (4)</w:t>
            </w:r>
          </w:p>
        </w:tc>
        <w:tc>
          <w:tcPr>
            <w:tcW w:w="0" w:type="auto"/>
            <w:shd w:val="clear" w:color="auto" w:fill="auto"/>
          </w:tcPr>
          <w:p w14:paraId="28C1C19B" w14:textId="77777777" w:rsidR="00F026E8" w:rsidRPr="00FE7622" w:rsidRDefault="00F026E8" w:rsidP="00AF19CC">
            <w:pPr>
              <w:pStyle w:val="72TabletextTablesTableFigureBoxstyles"/>
              <w:rPr>
                <w:rFonts w:eastAsia="Calibri"/>
                <w:color w:val="auto"/>
              </w:rPr>
            </w:pPr>
            <w:r w:rsidRPr="00FE7622">
              <w:rPr>
                <w:rFonts w:eastAsia="Calibri"/>
                <w:color w:val="auto"/>
              </w:rPr>
              <w:t>2 (3)</w:t>
            </w:r>
          </w:p>
        </w:tc>
      </w:tr>
      <w:tr w:rsidR="00F026E8" w:rsidRPr="00FE7622" w14:paraId="780772EE" w14:textId="77777777" w:rsidTr="00AF19CC">
        <w:trPr>
          <w:cantSplit/>
        </w:trPr>
        <w:tc>
          <w:tcPr>
            <w:tcW w:w="0" w:type="auto"/>
            <w:shd w:val="clear" w:color="auto" w:fill="auto"/>
          </w:tcPr>
          <w:p w14:paraId="5ABB07E2" w14:textId="199F50DF"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Registered blind</w:t>
            </w:r>
          </w:p>
        </w:tc>
        <w:tc>
          <w:tcPr>
            <w:tcW w:w="0" w:type="auto"/>
            <w:shd w:val="clear" w:color="auto" w:fill="auto"/>
          </w:tcPr>
          <w:p w14:paraId="542A5380" w14:textId="77777777" w:rsidR="00F026E8" w:rsidRPr="00FE7622" w:rsidRDefault="00F026E8" w:rsidP="00AF19CC">
            <w:pPr>
              <w:pStyle w:val="72TabletextTablesTableFigureBoxstyles"/>
              <w:rPr>
                <w:rFonts w:eastAsia="Calibri"/>
              </w:rPr>
            </w:pPr>
            <w:r w:rsidRPr="00FE7622">
              <w:rPr>
                <w:rFonts w:eastAsia="Calibri"/>
                <w:color w:val="auto"/>
              </w:rPr>
              <w:t>1 (1)</w:t>
            </w:r>
          </w:p>
        </w:tc>
        <w:tc>
          <w:tcPr>
            <w:tcW w:w="0" w:type="auto"/>
            <w:shd w:val="clear" w:color="auto" w:fill="auto"/>
          </w:tcPr>
          <w:p w14:paraId="76D22CA3" w14:textId="77777777" w:rsidR="00F026E8" w:rsidRPr="00FE7622" w:rsidRDefault="00F026E8" w:rsidP="00AF19CC">
            <w:pPr>
              <w:pStyle w:val="72TabletextTablesTableFigureBoxstyles"/>
              <w:rPr>
                <w:rFonts w:eastAsia="Calibri"/>
                <w:color w:val="auto"/>
              </w:rPr>
            </w:pPr>
            <w:r w:rsidRPr="00FE7622">
              <w:rPr>
                <w:rFonts w:eastAsia="Calibri"/>
                <w:color w:val="auto"/>
              </w:rPr>
              <w:t>1 (1)</w:t>
            </w:r>
          </w:p>
        </w:tc>
      </w:tr>
      <w:tr w:rsidR="00F026E8" w:rsidRPr="00FE7622" w14:paraId="43554E5D" w14:textId="77777777" w:rsidTr="00AF19CC">
        <w:trPr>
          <w:cantSplit/>
        </w:trPr>
        <w:tc>
          <w:tcPr>
            <w:tcW w:w="0" w:type="auto"/>
            <w:shd w:val="clear" w:color="auto" w:fill="auto"/>
          </w:tcPr>
          <w:p w14:paraId="50D10F45" w14:textId="4B5EA1F1"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Anaemia</w:t>
            </w:r>
          </w:p>
        </w:tc>
        <w:tc>
          <w:tcPr>
            <w:tcW w:w="0" w:type="auto"/>
            <w:shd w:val="clear" w:color="auto" w:fill="auto"/>
          </w:tcPr>
          <w:p w14:paraId="7F4398D0" w14:textId="77777777" w:rsidR="00F026E8" w:rsidRPr="00FE7622" w:rsidRDefault="00F026E8" w:rsidP="00AF19CC">
            <w:pPr>
              <w:pStyle w:val="72TabletextTablesTableFigureBoxstyles"/>
              <w:rPr>
                <w:rFonts w:eastAsia="Calibri"/>
              </w:rPr>
            </w:pPr>
            <w:r w:rsidRPr="00FE7622">
              <w:rPr>
                <w:rFonts w:eastAsia="Calibri"/>
                <w:color w:val="auto"/>
              </w:rPr>
              <w:t>14 (19)</w:t>
            </w:r>
          </w:p>
        </w:tc>
        <w:tc>
          <w:tcPr>
            <w:tcW w:w="0" w:type="auto"/>
            <w:shd w:val="clear" w:color="auto" w:fill="auto"/>
          </w:tcPr>
          <w:p w14:paraId="5F4A6017" w14:textId="77777777" w:rsidR="00F026E8" w:rsidRPr="00FE7622" w:rsidRDefault="00F026E8" w:rsidP="00AF19CC">
            <w:pPr>
              <w:pStyle w:val="72TabletextTablesTableFigureBoxstyles"/>
              <w:rPr>
                <w:rFonts w:eastAsia="Calibri"/>
                <w:color w:val="auto"/>
              </w:rPr>
            </w:pPr>
            <w:r w:rsidRPr="00FE7622">
              <w:rPr>
                <w:rFonts w:eastAsia="Calibri"/>
                <w:color w:val="auto"/>
              </w:rPr>
              <w:t>9 (12)</w:t>
            </w:r>
          </w:p>
        </w:tc>
      </w:tr>
      <w:tr w:rsidR="00F026E8" w:rsidRPr="00FE7622" w14:paraId="7B6521C7" w14:textId="77777777" w:rsidTr="00AF19CC">
        <w:trPr>
          <w:cantSplit/>
        </w:trPr>
        <w:tc>
          <w:tcPr>
            <w:tcW w:w="0" w:type="auto"/>
            <w:shd w:val="clear" w:color="auto" w:fill="auto"/>
          </w:tcPr>
          <w:p w14:paraId="3AAC10DD" w14:textId="16EF845C"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Peripheral neuropathy</w:t>
            </w:r>
          </w:p>
        </w:tc>
        <w:tc>
          <w:tcPr>
            <w:tcW w:w="0" w:type="auto"/>
            <w:shd w:val="clear" w:color="auto" w:fill="auto"/>
          </w:tcPr>
          <w:p w14:paraId="760FC845" w14:textId="77777777" w:rsidR="00F026E8" w:rsidRPr="00FE7622" w:rsidRDefault="00F026E8" w:rsidP="00AF19CC">
            <w:pPr>
              <w:pStyle w:val="72TabletextTablesTableFigureBoxstyles"/>
              <w:rPr>
                <w:rFonts w:eastAsia="Calibri"/>
              </w:rPr>
            </w:pPr>
            <w:r w:rsidRPr="00FE7622">
              <w:rPr>
                <w:rFonts w:eastAsia="Calibri"/>
                <w:color w:val="auto"/>
              </w:rPr>
              <w:t>7 (10)</w:t>
            </w:r>
          </w:p>
        </w:tc>
        <w:tc>
          <w:tcPr>
            <w:tcW w:w="0" w:type="auto"/>
            <w:shd w:val="clear" w:color="auto" w:fill="auto"/>
          </w:tcPr>
          <w:p w14:paraId="5683050A" w14:textId="77777777" w:rsidR="00F026E8" w:rsidRPr="00FE7622" w:rsidRDefault="00F026E8" w:rsidP="00AF19CC">
            <w:pPr>
              <w:pStyle w:val="72TabletextTablesTableFigureBoxstyles"/>
              <w:rPr>
                <w:rFonts w:eastAsia="Calibri"/>
                <w:color w:val="auto"/>
              </w:rPr>
            </w:pPr>
            <w:r w:rsidRPr="00FE7622">
              <w:rPr>
                <w:rFonts w:eastAsia="Calibri"/>
                <w:color w:val="auto"/>
              </w:rPr>
              <w:t>5 (7)</w:t>
            </w:r>
          </w:p>
        </w:tc>
      </w:tr>
      <w:tr w:rsidR="00F026E8" w:rsidRPr="00FE7622" w14:paraId="5150C768" w14:textId="77777777" w:rsidTr="00AF19CC">
        <w:trPr>
          <w:cantSplit/>
        </w:trPr>
        <w:tc>
          <w:tcPr>
            <w:tcW w:w="0" w:type="auto"/>
            <w:shd w:val="clear" w:color="auto" w:fill="auto"/>
          </w:tcPr>
          <w:p w14:paraId="71CDC4A1" w14:textId="65DC106C" w:rsidR="00F026E8" w:rsidRPr="00FE7622" w:rsidRDefault="001126CF" w:rsidP="00AF19CC">
            <w:pPr>
              <w:pStyle w:val="72TabletextTablesTableFigureBoxstyles"/>
              <w:rPr>
                <w:rFonts w:eastAsia="Calibri"/>
              </w:rPr>
            </w:pPr>
            <w:r w:rsidRPr="00FE7622">
              <w:rPr>
                <w:rFonts w:eastAsia="Calibri"/>
                <w:color w:val="auto"/>
              </w:rPr>
              <w:tab/>
            </w:r>
            <w:r w:rsidR="00F026E8" w:rsidRPr="00FE7622">
              <w:rPr>
                <w:rFonts w:eastAsia="Calibri"/>
                <w:color w:val="auto"/>
              </w:rPr>
              <w:t>Fragility fracture</w:t>
            </w:r>
          </w:p>
        </w:tc>
        <w:tc>
          <w:tcPr>
            <w:tcW w:w="0" w:type="auto"/>
            <w:shd w:val="clear" w:color="auto" w:fill="auto"/>
          </w:tcPr>
          <w:p w14:paraId="7DFD3FB5" w14:textId="77777777" w:rsidR="00F026E8" w:rsidRPr="00FE7622" w:rsidRDefault="00F026E8" w:rsidP="00AF19CC">
            <w:pPr>
              <w:pStyle w:val="72TabletextTablesTableFigureBoxstyles"/>
              <w:rPr>
                <w:rFonts w:eastAsia="Calibri"/>
              </w:rPr>
            </w:pPr>
            <w:r w:rsidRPr="00FE7622">
              <w:rPr>
                <w:rFonts w:eastAsia="Calibri"/>
                <w:color w:val="auto"/>
              </w:rPr>
              <w:t>17 (24)</w:t>
            </w:r>
          </w:p>
        </w:tc>
        <w:tc>
          <w:tcPr>
            <w:tcW w:w="0" w:type="auto"/>
            <w:shd w:val="clear" w:color="auto" w:fill="auto"/>
          </w:tcPr>
          <w:p w14:paraId="77820041" w14:textId="77777777" w:rsidR="00F026E8" w:rsidRPr="00FE7622" w:rsidRDefault="00F026E8" w:rsidP="00AF19CC">
            <w:pPr>
              <w:pStyle w:val="72TabletextTablesTableFigureBoxstyles"/>
              <w:rPr>
                <w:rFonts w:eastAsia="Calibri"/>
                <w:color w:val="auto"/>
              </w:rPr>
            </w:pPr>
            <w:r w:rsidRPr="00FE7622">
              <w:rPr>
                <w:rFonts w:eastAsia="Calibri"/>
                <w:color w:val="auto"/>
              </w:rPr>
              <w:t>24 (33)</w:t>
            </w:r>
          </w:p>
        </w:tc>
      </w:tr>
      <w:tr w:rsidR="00F026E8" w:rsidRPr="00FE7622" w14:paraId="78260FE8" w14:textId="77777777" w:rsidTr="00AF19CC">
        <w:trPr>
          <w:cantSplit/>
        </w:trPr>
        <w:tc>
          <w:tcPr>
            <w:tcW w:w="0" w:type="auto"/>
            <w:shd w:val="clear" w:color="auto" w:fill="auto"/>
          </w:tcPr>
          <w:p w14:paraId="3F5176E3" w14:textId="27717BA3" w:rsidR="00F026E8" w:rsidRPr="00FE7622" w:rsidRDefault="00F026E8" w:rsidP="00AF19CC">
            <w:pPr>
              <w:pStyle w:val="72TabletextTablesTableFigureBoxstyles"/>
              <w:rPr>
                <w:rFonts w:eastAsia="Calibri"/>
              </w:rPr>
            </w:pPr>
            <w:r w:rsidRPr="00FE7622">
              <w:rPr>
                <w:rFonts w:eastAsia="Calibri"/>
                <w:color w:val="auto"/>
              </w:rPr>
              <w:t xml:space="preserve">Median number of medications </w:t>
            </w:r>
            <w:r w:rsidR="00061AE9" w:rsidRPr="00FE7622">
              <w:rPr>
                <w:rFonts w:eastAsia="Calibri"/>
                <w:color w:val="auto"/>
              </w:rPr>
              <w:t>(</w:t>
            </w:r>
            <w:r w:rsidRPr="00842651">
              <w:rPr>
                <w:rFonts w:eastAsia="Calibri"/>
                <w:color w:val="auto"/>
              </w:rPr>
              <w:t>IQR</w:t>
            </w:r>
            <w:r w:rsidR="00061AE9" w:rsidRPr="00FE7622">
              <w:rPr>
                <w:rFonts w:eastAsia="Calibri"/>
                <w:color w:val="auto"/>
              </w:rPr>
              <w:t>)</w:t>
            </w:r>
          </w:p>
        </w:tc>
        <w:tc>
          <w:tcPr>
            <w:tcW w:w="0" w:type="auto"/>
            <w:shd w:val="clear" w:color="auto" w:fill="auto"/>
          </w:tcPr>
          <w:p w14:paraId="334AB855" w14:textId="1A012DA3" w:rsidR="00F026E8" w:rsidRPr="00FE7622" w:rsidRDefault="00F026E8" w:rsidP="00AF19CC">
            <w:pPr>
              <w:pStyle w:val="72TabletextTablesTableFigureBoxstyles"/>
              <w:rPr>
                <w:rFonts w:eastAsia="Calibri"/>
              </w:rPr>
            </w:pPr>
            <w:r w:rsidRPr="00FE7622">
              <w:rPr>
                <w:rFonts w:eastAsia="Calibri"/>
                <w:color w:val="auto"/>
              </w:rPr>
              <w:t xml:space="preserve">5 </w:t>
            </w:r>
            <w:r w:rsidR="00061AE9" w:rsidRPr="00FE7622">
              <w:rPr>
                <w:rFonts w:eastAsia="Calibri"/>
                <w:color w:val="auto"/>
              </w:rPr>
              <w:t>(</w:t>
            </w:r>
            <w:r w:rsidRPr="00FE7622">
              <w:rPr>
                <w:rFonts w:eastAsia="Calibri"/>
                <w:color w:val="auto"/>
              </w:rPr>
              <w:t>2</w:t>
            </w:r>
            <w:r w:rsidR="00061AE9" w:rsidRPr="00FE7622">
              <w:rPr>
                <w:rFonts w:eastAsia="Calibri"/>
                <w:color w:val="auto"/>
              </w:rPr>
              <w:t>–</w:t>
            </w:r>
            <w:r w:rsidRPr="00FE7622">
              <w:rPr>
                <w:rFonts w:eastAsia="Calibri"/>
                <w:color w:val="auto"/>
              </w:rPr>
              <w:t>7</w:t>
            </w:r>
            <w:r w:rsidR="00061AE9" w:rsidRPr="00FE7622">
              <w:rPr>
                <w:rFonts w:eastAsia="Calibri"/>
                <w:color w:val="auto"/>
              </w:rPr>
              <w:t>)</w:t>
            </w:r>
          </w:p>
        </w:tc>
        <w:tc>
          <w:tcPr>
            <w:tcW w:w="0" w:type="auto"/>
            <w:shd w:val="clear" w:color="auto" w:fill="auto"/>
          </w:tcPr>
          <w:p w14:paraId="548E74DC" w14:textId="64A8A27D" w:rsidR="00F026E8" w:rsidRPr="00FE7622" w:rsidRDefault="00F026E8" w:rsidP="00AF19CC">
            <w:pPr>
              <w:pStyle w:val="72TabletextTablesTableFigureBoxstyles"/>
              <w:rPr>
                <w:rFonts w:eastAsia="Calibri"/>
                <w:color w:val="auto"/>
              </w:rPr>
            </w:pPr>
            <w:r w:rsidRPr="00FE7622">
              <w:rPr>
                <w:rFonts w:eastAsia="Calibri"/>
                <w:color w:val="auto"/>
              </w:rPr>
              <w:t xml:space="preserve">5 </w:t>
            </w:r>
            <w:r w:rsidR="00061AE9" w:rsidRPr="00FE7622">
              <w:rPr>
                <w:rFonts w:eastAsia="Calibri"/>
                <w:color w:val="auto"/>
              </w:rPr>
              <w:t>(</w:t>
            </w:r>
            <w:r w:rsidRPr="00FE7622">
              <w:rPr>
                <w:rFonts w:eastAsia="Calibri"/>
                <w:color w:val="auto"/>
              </w:rPr>
              <w:t>3</w:t>
            </w:r>
            <w:r w:rsidR="00061AE9" w:rsidRPr="00FE7622">
              <w:rPr>
                <w:rFonts w:eastAsia="Calibri"/>
                <w:color w:val="auto"/>
              </w:rPr>
              <w:t>–</w:t>
            </w:r>
            <w:r w:rsidRPr="00FE7622">
              <w:rPr>
                <w:rFonts w:eastAsia="Calibri"/>
                <w:color w:val="auto"/>
              </w:rPr>
              <w:t>7</w:t>
            </w:r>
            <w:r w:rsidR="00061AE9" w:rsidRPr="00FE7622">
              <w:rPr>
                <w:rFonts w:eastAsia="Calibri"/>
                <w:color w:val="auto"/>
              </w:rPr>
              <w:t>)</w:t>
            </w:r>
          </w:p>
        </w:tc>
      </w:tr>
      <w:tr w:rsidR="00BB3E80" w:rsidRPr="00FE7622" w14:paraId="3D3B3515" w14:textId="77777777" w:rsidTr="00AF19CC">
        <w:trPr>
          <w:cantSplit/>
          <w:trHeight w:val="185"/>
        </w:trPr>
        <w:tc>
          <w:tcPr>
            <w:tcW w:w="0" w:type="auto"/>
            <w:gridSpan w:val="3"/>
            <w:shd w:val="clear" w:color="auto" w:fill="auto"/>
          </w:tcPr>
          <w:p w14:paraId="569F6D91" w14:textId="51EB04F0" w:rsidR="00BB3E80" w:rsidRPr="00FE7622" w:rsidRDefault="00BB3E80" w:rsidP="00AF19CC">
            <w:pPr>
              <w:pStyle w:val="72TabletextTablesTableFigureBoxstyles"/>
              <w:rPr>
                <w:rFonts w:eastAsia="Calibri"/>
                <w:color w:val="auto"/>
              </w:rPr>
            </w:pPr>
            <w:r w:rsidRPr="00FE7622">
              <w:rPr>
                <w:rFonts w:eastAsia="Calibri"/>
                <w:color w:val="auto"/>
              </w:rPr>
              <w:t>Mean weight (kg) (</w:t>
            </w:r>
            <w:r w:rsidRPr="00842651">
              <w:rPr>
                <w:rFonts w:eastAsia="Calibri"/>
                <w:color w:val="auto"/>
              </w:rPr>
              <w:t>SD</w:t>
            </w:r>
            <w:r w:rsidRPr="00FE7622">
              <w:rPr>
                <w:rFonts w:eastAsia="Calibri"/>
                <w:color w:val="auto"/>
              </w:rPr>
              <w:t>)</w:t>
            </w:r>
          </w:p>
        </w:tc>
      </w:tr>
      <w:tr w:rsidR="00BB3E80" w:rsidRPr="00FE7622" w14:paraId="175B16B9" w14:textId="77777777" w:rsidTr="00AF19CC">
        <w:trPr>
          <w:cantSplit/>
        </w:trPr>
        <w:tc>
          <w:tcPr>
            <w:tcW w:w="0" w:type="auto"/>
            <w:shd w:val="clear" w:color="auto" w:fill="auto"/>
          </w:tcPr>
          <w:p w14:paraId="4C91C51D" w14:textId="2847B94C" w:rsidR="00BB3E80" w:rsidRPr="00FE7622" w:rsidRDefault="00BB3E80" w:rsidP="00AF19CC">
            <w:pPr>
              <w:pStyle w:val="72TabletextTablesTableFigureBoxstyles"/>
              <w:rPr>
                <w:rFonts w:eastAsia="Calibri"/>
              </w:rPr>
            </w:pPr>
            <w:r w:rsidRPr="00FE7622">
              <w:rPr>
                <w:rFonts w:eastAsia="Calibri"/>
                <w:color w:val="auto"/>
              </w:rPr>
              <w:tab/>
              <w:t>Men</w:t>
            </w:r>
          </w:p>
        </w:tc>
        <w:tc>
          <w:tcPr>
            <w:tcW w:w="0" w:type="auto"/>
            <w:shd w:val="clear" w:color="auto" w:fill="auto"/>
          </w:tcPr>
          <w:p w14:paraId="0F43C939" w14:textId="2BA7E404" w:rsidR="00BB3E80" w:rsidRPr="00FE7622" w:rsidRDefault="00BB3E80" w:rsidP="00AF19CC">
            <w:pPr>
              <w:pStyle w:val="72TabletextTablesTableFigureBoxstyles"/>
              <w:rPr>
                <w:rFonts w:eastAsia="Calibri"/>
              </w:rPr>
            </w:pPr>
            <w:r w:rsidRPr="00FE7622">
              <w:rPr>
                <w:rFonts w:eastAsia="Calibri"/>
                <w:color w:val="auto"/>
              </w:rPr>
              <w:t>105.8 (151.6)</w:t>
            </w:r>
          </w:p>
        </w:tc>
        <w:tc>
          <w:tcPr>
            <w:tcW w:w="0" w:type="auto"/>
            <w:shd w:val="clear" w:color="auto" w:fill="auto"/>
          </w:tcPr>
          <w:p w14:paraId="368B4176" w14:textId="62E329D8" w:rsidR="00BB3E80" w:rsidRPr="00FE7622" w:rsidRDefault="00BB3E80" w:rsidP="00AF19CC">
            <w:pPr>
              <w:pStyle w:val="72TabletextTablesTableFigureBoxstyles"/>
              <w:rPr>
                <w:rFonts w:eastAsia="Calibri"/>
                <w:color w:val="auto"/>
              </w:rPr>
            </w:pPr>
            <w:r w:rsidRPr="00FE7622">
              <w:rPr>
                <w:rFonts w:eastAsia="Calibri"/>
                <w:color w:val="auto"/>
              </w:rPr>
              <w:t>81.6 (16.1)</w:t>
            </w:r>
          </w:p>
        </w:tc>
      </w:tr>
      <w:tr w:rsidR="00BB3E80" w:rsidRPr="00FE7622" w14:paraId="73F0EA19" w14:textId="77777777" w:rsidTr="00AF19CC">
        <w:trPr>
          <w:cantSplit/>
        </w:trPr>
        <w:tc>
          <w:tcPr>
            <w:tcW w:w="0" w:type="auto"/>
            <w:shd w:val="clear" w:color="auto" w:fill="auto"/>
          </w:tcPr>
          <w:p w14:paraId="70991AB0" w14:textId="629C4EC8" w:rsidR="00BB3E80" w:rsidRPr="00FE7622" w:rsidRDefault="00BB3E80"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3CA1C7CD" w14:textId="25E3A435" w:rsidR="00BB3E80" w:rsidRPr="00FE7622" w:rsidRDefault="00BB3E80" w:rsidP="00AF19CC">
            <w:pPr>
              <w:pStyle w:val="72TabletextTablesTableFigureBoxstyles"/>
              <w:rPr>
                <w:rFonts w:eastAsia="Calibri"/>
              </w:rPr>
            </w:pPr>
            <w:r w:rsidRPr="00FE7622">
              <w:rPr>
                <w:rFonts w:eastAsia="Calibri"/>
                <w:color w:val="auto"/>
              </w:rPr>
              <w:t>66.3 (10.5)</w:t>
            </w:r>
          </w:p>
        </w:tc>
        <w:tc>
          <w:tcPr>
            <w:tcW w:w="0" w:type="auto"/>
            <w:shd w:val="clear" w:color="auto" w:fill="auto"/>
          </w:tcPr>
          <w:p w14:paraId="257AD2AC" w14:textId="291F4DDC" w:rsidR="00BB3E80" w:rsidRPr="00FE7622" w:rsidRDefault="00BB3E80" w:rsidP="00AF19CC">
            <w:pPr>
              <w:pStyle w:val="72TabletextTablesTableFigureBoxstyles"/>
              <w:rPr>
                <w:rFonts w:eastAsia="Calibri"/>
                <w:color w:val="auto"/>
              </w:rPr>
            </w:pPr>
            <w:r w:rsidRPr="00FE7622">
              <w:rPr>
                <w:rFonts w:eastAsia="Calibri"/>
                <w:color w:val="auto"/>
              </w:rPr>
              <w:t>63.8 (12.5)</w:t>
            </w:r>
          </w:p>
        </w:tc>
      </w:tr>
      <w:tr w:rsidR="00F026E8" w:rsidRPr="00FE7622" w14:paraId="586D9A25" w14:textId="77777777" w:rsidTr="00AF19CC">
        <w:trPr>
          <w:cantSplit/>
        </w:trPr>
        <w:tc>
          <w:tcPr>
            <w:tcW w:w="0" w:type="auto"/>
            <w:shd w:val="clear" w:color="auto" w:fill="auto"/>
          </w:tcPr>
          <w:p w14:paraId="205989BD" w14:textId="2EF58574" w:rsidR="00F026E8" w:rsidRPr="00FE7622" w:rsidRDefault="00F026E8" w:rsidP="00AF19CC">
            <w:pPr>
              <w:pStyle w:val="72TabletextTablesTableFigureBoxstyles"/>
              <w:rPr>
                <w:rFonts w:eastAsia="Calibri"/>
              </w:rPr>
            </w:pPr>
            <w:r w:rsidRPr="00FE7622">
              <w:rPr>
                <w:rFonts w:eastAsia="Calibri"/>
                <w:color w:val="auto"/>
              </w:rPr>
              <w:t xml:space="preserve">Mean </w:t>
            </w:r>
            <w:r w:rsidR="00F137F5" w:rsidRPr="00842651">
              <w:rPr>
                <w:rFonts w:eastAsia="Calibri"/>
                <w:color w:val="auto"/>
              </w:rPr>
              <w:t>BMI</w:t>
            </w:r>
            <w:r w:rsidRPr="00FE7622">
              <w:rPr>
                <w:rFonts w:eastAsia="Calibri"/>
                <w:color w:val="auto"/>
              </w:rPr>
              <w:t xml:space="preserve"> (kg/m</w:t>
            </w:r>
            <w:r w:rsidR="00E038BF" w:rsidRPr="00FE7622">
              <w:rPr>
                <w:rFonts w:eastAsia="Calibri"/>
                <w:color w:val="auto"/>
                <w:vertAlign w:val="superscript"/>
              </w:rPr>
              <w:t>2</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2605DE78" w14:textId="77777777" w:rsidR="00F026E8" w:rsidRPr="00FE7622" w:rsidRDefault="00F026E8" w:rsidP="00AF19CC">
            <w:pPr>
              <w:pStyle w:val="72TabletextTablesTableFigureBoxstyles"/>
              <w:rPr>
                <w:rFonts w:eastAsia="Calibri"/>
              </w:rPr>
            </w:pPr>
            <w:r w:rsidRPr="00FE7622">
              <w:rPr>
                <w:rFonts w:eastAsia="Calibri"/>
                <w:color w:val="auto"/>
              </w:rPr>
              <w:t>27.1 (3.3)</w:t>
            </w:r>
          </w:p>
        </w:tc>
        <w:tc>
          <w:tcPr>
            <w:tcW w:w="0" w:type="auto"/>
            <w:shd w:val="clear" w:color="auto" w:fill="auto"/>
          </w:tcPr>
          <w:p w14:paraId="4A346E05" w14:textId="77777777" w:rsidR="00F026E8" w:rsidRPr="00FE7622" w:rsidRDefault="00F026E8" w:rsidP="00AF19CC">
            <w:pPr>
              <w:pStyle w:val="72TabletextTablesTableFigureBoxstyles"/>
              <w:rPr>
                <w:rFonts w:eastAsia="Calibri"/>
                <w:color w:val="auto"/>
              </w:rPr>
            </w:pPr>
            <w:r w:rsidRPr="00FE7622">
              <w:rPr>
                <w:rFonts w:eastAsia="Calibri"/>
                <w:color w:val="auto"/>
              </w:rPr>
              <w:t>26.5 (4.5)</w:t>
            </w:r>
          </w:p>
        </w:tc>
      </w:tr>
      <w:tr w:rsidR="00F026E8" w:rsidRPr="00FE7622" w14:paraId="0F8BD676" w14:textId="77777777" w:rsidTr="00AF19CC">
        <w:trPr>
          <w:cantSplit/>
        </w:trPr>
        <w:tc>
          <w:tcPr>
            <w:tcW w:w="0" w:type="auto"/>
            <w:shd w:val="clear" w:color="auto" w:fill="auto"/>
          </w:tcPr>
          <w:p w14:paraId="7FBF5F98" w14:textId="1C0D74C8" w:rsidR="00F026E8" w:rsidRPr="00FE7622" w:rsidRDefault="00F026E8" w:rsidP="00AF19CC">
            <w:pPr>
              <w:pStyle w:val="72TabletextTablesTableFigureBoxstyles"/>
              <w:rPr>
                <w:rFonts w:eastAsia="Calibri"/>
              </w:rPr>
            </w:pPr>
            <w:bookmarkStart w:id="112" w:name="_Hlk61387768"/>
            <w:r w:rsidRPr="00FE7622">
              <w:rPr>
                <w:rFonts w:eastAsia="Calibri"/>
                <w:color w:val="auto"/>
              </w:rPr>
              <w:t>Mean estimated GFR (ml/min</w:t>
            </w:r>
            <w:r w:rsidR="00AA0C18" w:rsidRPr="00FE7622">
              <w:rPr>
                <w:rFonts w:eastAsia="Calibri"/>
                <w:color w:val="auto"/>
              </w:rPr>
              <w:t>ute</w:t>
            </w:r>
            <w:r w:rsidRPr="00FE7622">
              <w:rPr>
                <w:rFonts w:eastAsia="Calibri"/>
                <w:color w:val="auto"/>
              </w:rPr>
              <w:t>/1.73</w:t>
            </w:r>
            <w:r w:rsidR="00AA0C18" w:rsidRPr="00FE7622">
              <w:rPr>
                <w:rFonts w:eastAsia="Calibri"/>
                <w:color w:val="auto"/>
              </w:rPr>
              <w:t> </w:t>
            </w:r>
            <w:r w:rsidRPr="00FE7622">
              <w:rPr>
                <w:rFonts w:eastAsia="Calibri"/>
                <w:color w:val="auto"/>
              </w:rPr>
              <w:t>m</w:t>
            </w:r>
            <w:r w:rsidR="00E038BF" w:rsidRPr="00FE7622">
              <w:rPr>
                <w:rFonts w:eastAsia="Calibri"/>
                <w:color w:val="auto"/>
                <w:vertAlign w:val="superscript"/>
              </w:rPr>
              <w:t>2</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6BC34878" w14:textId="77777777" w:rsidR="00F026E8" w:rsidRPr="00FE7622" w:rsidRDefault="00F026E8" w:rsidP="00AF19CC">
            <w:pPr>
              <w:pStyle w:val="72TabletextTablesTableFigureBoxstyles"/>
              <w:rPr>
                <w:rFonts w:eastAsia="Calibri"/>
              </w:rPr>
            </w:pPr>
            <w:r w:rsidRPr="00FE7622">
              <w:rPr>
                <w:rFonts w:eastAsia="Calibri"/>
                <w:color w:val="auto"/>
              </w:rPr>
              <w:t>80 (19)</w:t>
            </w:r>
          </w:p>
        </w:tc>
        <w:tc>
          <w:tcPr>
            <w:tcW w:w="0" w:type="auto"/>
            <w:shd w:val="clear" w:color="auto" w:fill="auto"/>
          </w:tcPr>
          <w:p w14:paraId="3DC02658" w14:textId="77777777" w:rsidR="00F026E8" w:rsidRPr="00FE7622" w:rsidRDefault="00F026E8" w:rsidP="00AF19CC">
            <w:pPr>
              <w:pStyle w:val="72TabletextTablesTableFigureBoxstyles"/>
              <w:rPr>
                <w:rFonts w:eastAsia="Calibri"/>
                <w:color w:val="auto"/>
              </w:rPr>
            </w:pPr>
            <w:r w:rsidRPr="00FE7622">
              <w:rPr>
                <w:rFonts w:eastAsia="Calibri"/>
                <w:color w:val="auto"/>
              </w:rPr>
              <w:t>82 (21)</w:t>
            </w:r>
          </w:p>
        </w:tc>
      </w:tr>
      <w:bookmarkEnd w:id="112"/>
      <w:tr w:rsidR="00F026E8" w:rsidRPr="00FE7622" w14:paraId="6764BA0E" w14:textId="77777777" w:rsidTr="00AF19CC">
        <w:trPr>
          <w:cantSplit/>
        </w:trPr>
        <w:tc>
          <w:tcPr>
            <w:tcW w:w="0" w:type="auto"/>
            <w:shd w:val="clear" w:color="auto" w:fill="auto"/>
          </w:tcPr>
          <w:p w14:paraId="02AF3434" w14:textId="32F19ECD" w:rsidR="00F026E8" w:rsidRPr="00FE7622" w:rsidRDefault="00F026E8" w:rsidP="00AF19CC">
            <w:pPr>
              <w:pStyle w:val="72TabletextTablesTableFigureBoxstyles"/>
              <w:rPr>
                <w:rFonts w:eastAsia="Calibri"/>
              </w:rPr>
            </w:pPr>
            <w:r w:rsidRPr="00FE7622">
              <w:rPr>
                <w:rFonts w:eastAsia="Calibri"/>
                <w:color w:val="auto"/>
              </w:rPr>
              <w:t>Mean serum albumin (g/</w:t>
            </w:r>
            <w:r w:rsidR="00AA0C18" w:rsidRPr="00FE7622">
              <w:rPr>
                <w:rFonts w:eastAsia="Calibri"/>
                <w:color w:val="auto"/>
              </w:rPr>
              <w:t>l</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16725F5F" w14:textId="77777777" w:rsidR="00F026E8" w:rsidRPr="00FE7622" w:rsidRDefault="00F026E8" w:rsidP="00AF19CC">
            <w:pPr>
              <w:pStyle w:val="72TabletextTablesTableFigureBoxstyles"/>
              <w:rPr>
                <w:rFonts w:eastAsia="Calibri"/>
              </w:rPr>
            </w:pPr>
            <w:r w:rsidRPr="00FE7622">
              <w:rPr>
                <w:rFonts w:eastAsia="Calibri"/>
                <w:color w:val="auto"/>
              </w:rPr>
              <w:t>40 (4)</w:t>
            </w:r>
          </w:p>
        </w:tc>
        <w:tc>
          <w:tcPr>
            <w:tcW w:w="0" w:type="auto"/>
            <w:shd w:val="clear" w:color="auto" w:fill="auto"/>
          </w:tcPr>
          <w:p w14:paraId="3CC186FF" w14:textId="77777777" w:rsidR="00F026E8" w:rsidRPr="00FE7622" w:rsidRDefault="00F026E8" w:rsidP="00AF19CC">
            <w:pPr>
              <w:pStyle w:val="72TabletextTablesTableFigureBoxstyles"/>
              <w:rPr>
                <w:rFonts w:eastAsia="Calibri"/>
                <w:color w:val="auto"/>
              </w:rPr>
            </w:pPr>
            <w:r w:rsidRPr="00FE7622">
              <w:rPr>
                <w:rFonts w:eastAsia="Calibri"/>
                <w:color w:val="auto"/>
              </w:rPr>
              <w:t>40 (4)</w:t>
            </w:r>
          </w:p>
        </w:tc>
      </w:tr>
      <w:tr w:rsidR="00F026E8" w:rsidRPr="00FE7622" w14:paraId="0765439B" w14:textId="77777777" w:rsidTr="00AF19CC">
        <w:trPr>
          <w:cantSplit/>
        </w:trPr>
        <w:tc>
          <w:tcPr>
            <w:tcW w:w="0" w:type="auto"/>
            <w:shd w:val="clear" w:color="auto" w:fill="auto"/>
          </w:tcPr>
          <w:p w14:paraId="1E4287A0" w14:textId="77777777" w:rsidR="00F026E8" w:rsidRPr="00FE7622" w:rsidRDefault="00F026E8" w:rsidP="00AF19CC">
            <w:pPr>
              <w:pStyle w:val="72TabletextTablesTableFigureBoxstyles"/>
              <w:rPr>
                <w:rFonts w:eastAsia="Calibri"/>
              </w:rPr>
            </w:pPr>
            <w:r w:rsidRPr="00FE7622">
              <w:rPr>
                <w:rFonts w:eastAsia="Calibri"/>
                <w:color w:val="auto"/>
              </w:rPr>
              <w:t>Mean systolic blood pressure (mmHg) (</w:t>
            </w:r>
            <w:r w:rsidRPr="00842651">
              <w:rPr>
                <w:rFonts w:eastAsia="Calibri"/>
                <w:color w:val="auto"/>
              </w:rPr>
              <w:t>SD</w:t>
            </w:r>
            <w:r w:rsidRPr="00FE7622">
              <w:rPr>
                <w:rFonts w:eastAsia="Calibri"/>
                <w:color w:val="auto"/>
              </w:rPr>
              <w:t>)</w:t>
            </w:r>
          </w:p>
        </w:tc>
        <w:tc>
          <w:tcPr>
            <w:tcW w:w="0" w:type="auto"/>
            <w:shd w:val="clear" w:color="auto" w:fill="auto"/>
          </w:tcPr>
          <w:p w14:paraId="7959C51C" w14:textId="77777777" w:rsidR="00F026E8" w:rsidRPr="00FE7622" w:rsidRDefault="00F026E8" w:rsidP="00AF19CC">
            <w:pPr>
              <w:pStyle w:val="72TabletextTablesTableFigureBoxstyles"/>
              <w:rPr>
                <w:rFonts w:eastAsia="Calibri"/>
              </w:rPr>
            </w:pPr>
            <w:r w:rsidRPr="00FE7622">
              <w:rPr>
                <w:rFonts w:eastAsia="Calibri"/>
                <w:color w:val="auto"/>
              </w:rPr>
              <w:t>145 (19)</w:t>
            </w:r>
          </w:p>
        </w:tc>
        <w:tc>
          <w:tcPr>
            <w:tcW w:w="0" w:type="auto"/>
            <w:shd w:val="clear" w:color="auto" w:fill="auto"/>
          </w:tcPr>
          <w:p w14:paraId="03EBC806" w14:textId="77777777" w:rsidR="00F026E8" w:rsidRPr="00FE7622" w:rsidRDefault="00F026E8" w:rsidP="00AF19CC">
            <w:pPr>
              <w:pStyle w:val="72TabletextTablesTableFigureBoxstyles"/>
              <w:rPr>
                <w:rFonts w:eastAsia="Calibri"/>
                <w:color w:val="auto"/>
              </w:rPr>
            </w:pPr>
            <w:r w:rsidRPr="00FE7622">
              <w:rPr>
                <w:rFonts w:eastAsia="Calibri"/>
                <w:color w:val="auto"/>
              </w:rPr>
              <w:t>144 (18)</w:t>
            </w:r>
          </w:p>
        </w:tc>
      </w:tr>
      <w:tr w:rsidR="00F026E8" w:rsidRPr="00FE7622" w14:paraId="5CBF6072" w14:textId="77777777" w:rsidTr="00AF19CC">
        <w:trPr>
          <w:cantSplit/>
        </w:trPr>
        <w:tc>
          <w:tcPr>
            <w:tcW w:w="0" w:type="auto"/>
            <w:shd w:val="clear" w:color="auto" w:fill="auto"/>
          </w:tcPr>
          <w:p w14:paraId="52DF5857" w14:textId="77777777" w:rsidR="00F026E8" w:rsidRPr="00FE7622" w:rsidRDefault="00F026E8" w:rsidP="00AF19CC">
            <w:pPr>
              <w:pStyle w:val="72TabletextTablesTableFigureBoxstyles"/>
              <w:rPr>
                <w:rFonts w:eastAsia="Calibri"/>
              </w:rPr>
            </w:pPr>
            <w:r w:rsidRPr="00FE7622">
              <w:rPr>
                <w:rFonts w:eastAsia="Calibri"/>
                <w:color w:val="auto"/>
              </w:rPr>
              <w:t>Mean diastolic blood pressure (mmHg) (</w:t>
            </w:r>
            <w:r w:rsidRPr="00842651">
              <w:rPr>
                <w:rFonts w:eastAsia="Calibri"/>
                <w:color w:val="auto"/>
              </w:rPr>
              <w:t>SD</w:t>
            </w:r>
            <w:r w:rsidRPr="00FE7622">
              <w:rPr>
                <w:rFonts w:eastAsia="Calibri"/>
                <w:color w:val="auto"/>
              </w:rPr>
              <w:t>)</w:t>
            </w:r>
          </w:p>
        </w:tc>
        <w:tc>
          <w:tcPr>
            <w:tcW w:w="0" w:type="auto"/>
            <w:shd w:val="clear" w:color="auto" w:fill="auto"/>
          </w:tcPr>
          <w:p w14:paraId="5D4CE2F0" w14:textId="77777777" w:rsidR="00F026E8" w:rsidRPr="00FE7622" w:rsidRDefault="00F026E8" w:rsidP="00AF19CC">
            <w:pPr>
              <w:pStyle w:val="72TabletextTablesTableFigureBoxstyles"/>
              <w:rPr>
                <w:rFonts w:eastAsia="Calibri"/>
              </w:rPr>
            </w:pPr>
            <w:r w:rsidRPr="00FE7622">
              <w:rPr>
                <w:rFonts w:eastAsia="Calibri"/>
                <w:color w:val="auto"/>
              </w:rPr>
              <w:t>79 (10)</w:t>
            </w:r>
          </w:p>
        </w:tc>
        <w:tc>
          <w:tcPr>
            <w:tcW w:w="0" w:type="auto"/>
            <w:shd w:val="clear" w:color="auto" w:fill="auto"/>
          </w:tcPr>
          <w:p w14:paraId="69AAE927" w14:textId="77777777" w:rsidR="00F026E8" w:rsidRPr="00FE7622" w:rsidRDefault="00F026E8" w:rsidP="00AF19CC">
            <w:pPr>
              <w:pStyle w:val="72TabletextTablesTableFigureBoxstyles"/>
              <w:rPr>
                <w:rFonts w:eastAsia="Calibri"/>
                <w:color w:val="auto"/>
              </w:rPr>
            </w:pPr>
            <w:r w:rsidRPr="00FE7622">
              <w:rPr>
                <w:rFonts w:eastAsia="Calibri"/>
                <w:color w:val="auto"/>
              </w:rPr>
              <w:t>77 (10)</w:t>
            </w:r>
          </w:p>
        </w:tc>
      </w:tr>
      <w:tr w:rsidR="00F026E8" w:rsidRPr="00FE7622" w14:paraId="28F625D3" w14:textId="77777777" w:rsidTr="00AF19CC">
        <w:trPr>
          <w:cantSplit/>
        </w:trPr>
        <w:tc>
          <w:tcPr>
            <w:tcW w:w="0" w:type="auto"/>
            <w:shd w:val="clear" w:color="auto" w:fill="auto"/>
          </w:tcPr>
          <w:p w14:paraId="34E3E91B" w14:textId="77777777" w:rsidR="00F026E8" w:rsidRPr="00FE7622" w:rsidRDefault="00F026E8" w:rsidP="00AF19CC">
            <w:pPr>
              <w:pStyle w:val="72TabletextTablesTableFigureBoxstyles"/>
              <w:rPr>
                <w:rFonts w:eastAsia="Calibri"/>
              </w:rPr>
            </w:pPr>
            <w:r w:rsidRPr="00FE7622">
              <w:rPr>
                <w:rFonts w:eastAsia="Calibri"/>
                <w:color w:val="auto"/>
              </w:rPr>
              <w:t>Mean systolic blood pressure drop (mmHg) (</w:t>
            </w:r>
            <w:r w:rsidRPr="00842651">
              <w:rPr>
                <w:rFonts w:eastAsia="Calibri"/>
                <w:color w:val="auto"/>
              </w:rPr>
              <w:t>SD</w:t>
            </w:r>
            <w:r w:rsidRPr="00FE7622">
              <w:rPr>
                <w:rFonts w:eastAsia="Calibri"/>
                <w:color w:val="auto"/>
              </w:rPr>
              <w:t>)</w:t>
            </w:r>
          </w:p>
        </w:tc>
        <w:tc>
          <w:tcPr>
            <w:tcW w:w="0" w:type="auto"/>
            <w:shd w:val="clear" w:color="auto" w:fill="auto"/>
          </w:tcPr>
          <w:p w14:paraId="267275AB" w14:textId="77777777" w:rsidR="00F026E8" w:rsidRPr="00FE7622" w:rsidRDefault="00F026E8" w:rsidP="00AF19CC">
            <w:pPr>
              <w:pStyle w:val="72TabletextTablesTableFigureBoxstyles"/>
              <w:rPr>
                <w:rFonts w:eastAsia="Calibri"/>
              </w:rPr>
            </w:pPr>
            <w:r w:rsidRPr="00FE7622">
              <w:rPr>
                <w:rFonts w:eastAsia="Calibri"/>
                <w:color w:val="auto"/>
              </w:rPr>
              <w:t>7 (12)</w:t>
            </w:r>
          </w:p>
        </w:tc>
        <w:tc>
          <w:tcPr>
            <w:tcW w:w="0" w:type="auto"/>
            <w:shd w:val="clear" w:color="auto" w:fill="auto"/>
          </w:tcPr>
          <w:p w14:paraId="1018F831" w14:textId="77777777" w:rsidR="00F026E8" w:rsidRPr="00FE7622" w:rsidRDefault="00F026E8" w:rsidP="00AF19CC">
            <w:pPr>
              <w:pStyle w:val="72TabletextTablesTableFigureBoxstyles"/>
              <w:rPr>
                <w:rFonts w:eastAsia="Calibri"/>
                <w:color w:val="auto"/>
              </w:rPr>
            </w:pPr>
            <w:r w:rsidRPr="00FE7622">
              <w:rPr>
                <w:rFonts w:eastAsia="Calibri"/>
                <w:color w:val="auto"/>
              </w:rPr>
              <w:t>10 (12)</w:t>
            </w:r>
          </w:p>
        </w:tc>
      </w:tr>
      <w:tr w:rsidR="00F026E8" w:rsidRPr="00FE7622" w14:paraId="2F354736" w14:textId="77777777" w:rsidTr="00AF19CC">
        <w:trPr>
          <w:cantSplit/>
        </w:trPr>
        <w:tc>
          <w:tcPr>
            <w:tcW w:w="0" w:type="auto"/>
            <w:shd w:val="clear" w:color="auto" w:fill="auto"/>
          </w:tcPr>
          <w:p w14:paraId="0615E812" w14:textId="77777777" w:rsidR="00F026E8" w:rsidRPr="00FE7622" w:rsidRDefault="00F026E8" w:rsidP="00AF19CC">
            <w:pPr>
              <w:pStyle w:val="72TabletextTablesTableFigureBoxstyles"/>
              <w:rPr>
                <w:rFonts w:eastAsia="Calibri"/>
              </w:rPr>
            </w:pPr>
            <w:r w:rsidRPr="00FE7622">
              <w:rPr>
                <w:rFonts w:eastAsia="Calibri"/>
                <w:color w:val="auto"/>
              </w:rPr>
              <w:t>Mean diastolic blood pressure drop (mmHg) (</w:t>
            </w:r>
            <w:r w:rsidRPr="00842651">
              <w:rPr>
                <w:rFonts w:eastAsia="Calibri"/>
                <w:color w:val="auto"/>
              </w:rPr>
              <w:t>SD</w:t>
            </w:r>
            <w:r w:rsidRPr="00FE7622">
              <w:rPr>
                <w:rFonts w:eastAsia="Calibri"/>
                <w:color w:val="auto"/>
              </w:rPr>
              <w:t>)</w:t>
            </w:r>
          </w:p>
        </w:tc>
        <w:tc>
          <w:tcPr>
            <w:tcW w:w="0" w:type="auto"/>
            <w:shd w:val="clear" w:color="auto" w:fill="auto"/>
          </w:tcPr>
          <w:p w14:paraId="1174BAE8" w14:textId="77777777" w:rsidR="00F026E8" w:rsidRPr="00FE7622" w:rsidRDefault="00F026E8" w:rsidP="00AF19CC">
            <w:pPr>
              <w:pStyle w:val="72TabletextTablesTableFigureBoxstyles"/>
              <w:rPr>
                <w:rFonts w:eastAsia="Calibri"/>
              </w:rPr>
            </w:pPr>
            <w:r w:rsidRPr="00FE7622">
              <w:rPr>
                <w:rFonts w:eastAsia="Calibri"/>
                <w:color w:val="auto"/>
              </w:rPr>
              <w:t>1 (7)</w:t>
            </w:r>
          </w:p>
        </w:tc>
        <w:tc>
          <w:tcPr>
            <w:tcW w:w="0" w:type="auto"/>
            <w:shd w:val="clear" w:color="auto" w:fill="auto"/>
          </w:tcPr>
          <w:p w14:paraId="46330AE2" w14:textId="77777777" w:rsidR="00F026E8" w:rsidRPr="00FE7622" w:rsidRDefault="00F026E8" w:rsidP="00AF19CC">
            <w:pPr>
              <w:pStyle w:val="72TabletextTablesTableFigureBoxstyles"/>
              <w:rPr>
                <w:rFonts w:eastAsia="Calibri"/>
                <w:color w:val="auto"/>
              </w:rPr>
            </w:pPr>
            <w:r w:rsidRPr="00FE7622">
              <w:rPr>
                <w:rFonts w:eastAsia="Calibri"/>
                <w:color w:val="auto"/>
              </w:rPr>
              <w:t>2 (7)</w:t>
            </w:r>
          </w:p>
        </w:tc>
      </w:tr>
      <w:tr w:rsidR="00F026E8" w:rsidRPr="00FE7622" w14:paraId="4B8C4388" w14:textId="77777777" w:rsidTr="00AF19CC">
        <w:trPr>
          <w:cantSplit/>
        </w:trPr>
        <w:tc>
          <w:tcPr>
            <w:tcW w:w="0" w:type="auto"/>
            <w:shd w:val="clear" w:color="auto" w:fill="auto"/>
          </w:tcPr>
          <w:p w14:paraId="5EBDDE82" w14:textId="77777777"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SPPB</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350DFA2B" w14:textId="77777777" w:rsidR="00F026E8" w:rsidRPr="00FE7622" w:rsidRDefault="00F026E8" w:rsidP="00AF19CC">
            <w:pPr>
              <w:pStyle w:val="72TabletextTablesTableFigureBoxstyles"/>
              <w:rPr>
                <w:rFonts w:eastAsia="Calibri"/>
              </w:rPr>
            </w:pPr>
            <w:r w:rsidRPr="00FE7622">
              <w:rPr>
                <w:rFonts w:eastAsia="Calibri"/>
                <w:color w:val="auto"/>
              </w:rPr>
              <w:t>7.0 (2.1)</w:t>
            </w:r>
          </w:p>
        </w:tc>
        <w:tc>
          <w:tcPr>
            <w:tcW w:w="0" w:type="auto"/>
            <w:shd w:val="clear" w:color="auto" w:fill="auto"/>
          </w:tcPr>
          <w:p w14:paraId="74430E66" w14:textId="77777777" w:rsidR="00F026E8" w:rsidRPr="00FE7622" w:rsidRDefault="00F026E8" w:rsidP="00AF19CC">
            <w:pPr>
              <w:pStyle w:val="72TabletextTablesTableFigureBoxstyles"/>
              <w:rPr>
                <w:rFonts w:eastAsia="Calibri"/>
                <w:color w:val="auto"/>
              </w:rPr>
            </w:pPr>
            <w:r w:rsidRPr="00FE7622">
              <w:rPr>
                <w:rFonts w:eastAsia="Calibri"/>
                <w:color w:val="auto"/>
              </w:rPr>
              <w:t>7.0 (2.5)</w:t>
            </w:r>
          </w:p>
        </w:tc>
      </w:tr>
      <w:tr w:rsidR="006940C6" w:rsidRPr="00FE7622" w14:paraId="066CCCB3" w14:textId="77777777" w:rsidTr="00AF19CC">
        <w:trPr>
          <w:cantSplit/>
        </w:trPr>
        <w:tc>
          <w:tcPr>
            <w:tcW w:w="0" w:type="auto"/>
            <w:gridSpan w:val="3"/>
            <w:shd w:val="clear" w:color="auto" w:fill="auto"/>
          </w:tcPr>
          <w:p w14:paraId="3A987928" w14:textId="7E036298" w:rsidR="006940C6" w:rsidRPr="00FE7622" w:rsidRDefault="006940C6" w:rsidP="00AF19CC">
            <w:pPr>
              <w:pStyle w:val="72TabletextTablesTableFigureBoxstyles"/>
              <w:rPr>
                <w:rFonts w:eastAsia="Calibri"/>
                <w:color w:val="auto"/>
              </w:rPr>
            </w:pPr>
            <w:r w:rsidRPr="00FE7622">
              <w:rPr>
                <w:rFonts w:eastAsia="Calibri"/>
                <w:color w:val="auto"/>
              </w:rPr>
              <w:t xml:space="preserve">Mean appendicular muscle mass by </w:t>
            </w:r>
            <w:r w:rsidRPr="00842651">
              <w:rPr>
                <w:rFonts w:eastAsia="Calibri"/>
                <w:color w:val="auto"/>
              </w:rPr>
              <w:t>DXA</w:t>
            </w:r>
            <w:r w:rsidRPr="00FE7622">
              <w:rPr>
                <w:rFonts w:eastAsia="Calibri"/>
                <w:color w:val="auto"/>
              </w:rPr>
              <w:t xml:space="preserve"> (kg/m</w:t>
            </w:r>
            <w:r w:rsidR="00E038BF" w:rsidRPr="00FE7622">
              <w:rPr>
                <w:rFonts w:eastAsia="Calibri"/>
                <w:color w:val="auto"/>
                <w:vertAlign w:val="superscript"/>
              </w:rPr>
              <w:t>2</w:t>
            </w:r>
            <w:r w:rsidRPr="00FE7622">
              <w:rPr>
                <w:rFonts w:eastAsia="Calibri"/>
                <w:color w:val="auto"/>
              </w:rPr>
              <w:t>) (</w:t>
            </w:r>
            <w:r w:rsidRPr="00842651">
              <w:rPr>
                <w:rFonts w:eastAsia="Calibri"/>
                <w:color w:val="auto"/>
              </w:rPr>
              <w:t>SD</w:t>
            </w:r>
            <w:r w:rsidRPr="00FE7622">
              <w:rPr>
                <w:rFonts w:eastAsia="Calibri"/>
                <w:color w:val="auto"/>
              </w:rPr>
              <w:t>)</w:t>
            </w:r>
          </w:p>
        </w:tc>
      </w:tr>
      <w:tr w:rsidR="006940C6" w:rsidRPr="00FE7622" w14:paraId="47F4C118" w14:textId="77777777" w:rsidTr="00AF19CC">
        <w:trPr>
          <w:cantSplit/>
        </w:trPr>
        <w:tc>
          <w:tcPr>
            <w:tcW w:w="0" w:type="auto"/>
            <w:shd w:val="clear" w:color="auto" w:fill="auto"/>
          </w:tcPr>
          <w:p w14:paraId="43DAE605" w14:textId="3A7BA1AA" w:rsidR="006940C6" w:rsidRPr="00FE7622" w:rsidRDefault="006940C6" w:rsidP="00AF19CC">
            <w:pPr>
              <w:pStyle w:val="72TabletextTablesTableFigureBoxstyles"/>
              <w:rPr>
                <w:rFonts w:eastAsia="Calibri"/>
              </w:rPr>
            </w:pPr>
            <w:r w:rsidRPr="00FE7622">
              <w:rPr>
                <w:rFonts w:eastAsia="Calibri"/>
                <w:color w:val="auto"/>
              </w:rPr>
              <w:tab/>
              <w:t>Men</w:t>
            </w:r>
          </w:p>
        </w:tc>
        <w:tc>
          <w:tcPr>
            <w:tcW w:w="0" w:type="auto"/>
            <w:shd w:val="clear" w:color="auto" w:fill="auto"/>
          </w:tcPr>
          <w:p w14:paraId="3FB726C2" w14:textId="77777777" w:rsidR="006940C6" w:rsidRPr="00FE7622" w:rsidRDefault="006940C6" w:rsidP="00AF19CC">
            <w:pPr>
              <w:pStyle w:val="72TabletextTablesTableFigureBoxstyles"/>
              <w:rPr>
                <w:rFonts w:eastAsia="Calibri"/>
              </w:rPr>
            </w:pPr>
            <w:r w:rsidRPr="00FE7622">
              <w:rPr>
                <w:rFonts w:eastAsia="Calibri"/>
                <w:color w:val="auto"/>
              </w:rPr>
              <w:t>7.21 (1.53)</w:t>
            </w:r>
          </w:p>
        </w:tc>
        <w:tc>
          <w:tcPr>
            <w:tcW w:w="0" w:type="auto"/>
            <w:shd w:val="clear" w:color="auto" w:fill="auto"/>
          </w:tcPr>
          <w:p w14:paraId="7056AB41" w14:textId="77777777" w:rsidR="006940C6" w:rsidRPr="00FE7622" w:rsidRDefault="006940C6" w:rsidP="00AF19CC">
            <w:pPr>
              <w:pStyle w:val="72TabletextTablesTableFigureBoxstyles"/>
              <w:rPr>
                <w:rFonts w:eastAsia="Calibri"/>
                <w:color w:val="auto"/>
              </w:rPr>
            </w:pPr>
            <w:r w:rsidRPr="00FE7622">
              <w:rPr>
                <w:rFonts w:eastAsia="Calibri"/>
                <w:color w:val="auto"/>
              </w:rPr>
              <w:t>7.26 (0.87)</w:t>
            </w:r>
          </w:p>
        </w:tc>
      </w:tr>
      <w:tr w:rsidR="006940C6" w:rsidRPr="00FE7622" w14:paraId="5718027B" w14:textId="77777777" w:rsidTr="00AF19CC">
        <w:trPr>
          <w:cantSplit/>
        </w:trPr>
        <w:tc>
          <w:tcPr>
            <w:tcW w:w="0" w:type="auto"/>
            <w:shd w:val="clear" w:color="auto" w:fill="auto"/>
          </w:tcPr>
          <w:p w14:paraId="0F490E4D" w14:textId="33F5BD7E" w:rsidR="006940C6" w:rsidRPr="00FE7622" w:rsidRDefault="006940C6"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00B6528E" w14:textId="77777777" w:rsidR="006940C6" w:rsidRPr="00FE7622" w:rsidRDefault="006940C6" w:rsidP="00AF19CC">
            <w:pPr>
              <w:pStyle w:val="72TabletextTablesTableFigureBoxstyles"/>
              <w:rPr>
                <w:rFonts w:eastAsia="Calibri"/>
              </w:rPr>
            </w:pPr>
            <w:r w:rsidRPr="00FE7622">
              <w:rPr>
                <w:rFonts w:eastAsia="Calibri"/>
                <w:color w:val="auto"/>
              </w:rPr>
              <w:t>5.75 (0.57)</w:t>
            </w:r>
          </w:p>
        </w:tc>
        <w:tc>
          <w:tcPr>
            <w:tcW w:w="0" w:type="auto"/>
            <w:shd w:val="clear" w:color="auto" w:fill="auto"/>
          </w:tcPr>
          <w:p w14:paraId="6D89B600" w14:textId="77777777" w:rsidR="006940C6" w:rsidRPr="00FE7622" w:rsidRDefault="006940C6" w:rsidP="00AF19CC">
            <w:pPr>
              <w:pStyle w:val="72TabletextTablesTableFigureBoxstyles"/>
              <w:rPr>
                <w:rFonts w:eastAsia="Calibri"/>
                <w:color w:val="auto"/>
              </w:rPr>
            </w:pPr>
            <w:r w:rsidRPr="00FE7622">
              <w:rPr>
                <w:rFonts w:eastAsia="Calibri"/>
                <w:color w:val="auto"/>
              </w:rPr>
              <w:t>5.72 (0.76)</w:t>
            </w:r>
          </w:p>
        </w:tc>
      </w:tr>
      <w:tr w:rsidR="006940C6" w:rsidRPr="00FE7622" w14:paraId="63C5A4A5" w14:textId="77777777" w:rsidTr="00AF19CC">
        <w:trPr>
          <w:cantSplit/>
        </w:trPr>
        <w:tc>
          <w:tcPr>
            <w:tcW w:w="0" w:type="auto"/>
            <w:gridSpan w:val="3"/>
            <w:shd w:val="clear" w:color="auto" w:fill="auto"/>
          </w:tcPr>
          <w:p w14:paraId="789E162D" w14:textId="7B1F0073" w:rsidR="006940C6" w:rsidRPr="00FE7622" w:rsidRDefault="006940C6" w:rsidP="00AF19CC">
            <w:pPr>
              <w:pStyle w:val="72TabletextTablesTableFigureBoxstyles"/>
              <w:rPr>
                <w:rFonts w:eastAsia="Calibri"/>
                <w:color w:val="auto"/>
              </w:rPr>
            </w:pPr>
            <w:r w:rsidRPr="00FE7622">
              <w:rPr>
                <w:rFonts w:eastAsia="Calibri"/>
                <w:color w:val="auto"/>
              </w:rPr>
              <w:t>Mean maximal handgrip strength (kg) (</w:t>
            </w:r>
            <w:r w:rsidRPr="00842651">
              <w:rPr>
                <w:rFonts w:eastAsia="Calibri"/>
                <w:color w:val="auto"/>
              </w:rPr>
              <w:t>SD</w:t>
            </w:r>
            <w:r w:rsidRPr="00FE7622">
              <w:rPr>
                <w:rFonts w:eastAsia="Calibri"/>
                <w:color w:val="auto"/>
              </w:rPr>
              <w:t>)</w:t>
            </w:r>
          </w:p>
        </w:tc>
      </w:tr>
      <w:tr w:rsidR="006940C6" w:rsidRPr="00FE7622" w14:paraId="4FCBCDF5" w14:textId="77777777" w:rsidTr="00AF19CC">
        <w:trPr>
          <w:cantSplit/>
        </w:trPr>
        <w:tc>
          <w:tcPr>
            <w:tcW w:w="0" w:type="auto"/>
            <w:shd w:val="clear" w:color="auto" w:fill="auto"/>
          </w:tcPr>
          <w:p w14:paraId="32D5281D" w14:textId="7573503B" w:rsidR="006940C6" w:rsidRPr="00FE7622" w:rsidRDefault="006940C6" w:rsidP="00AF19CC">
            <w:pPr>
              <w:pStyle w:val="72TabletextTablesTableFigureBoxstyles"/>
              <w:rPr>
                <w:rFonts w:eastAsia="Calibri"/>
              </w:rPr>
            </w:pPr>
            <w:r w:rsidRPr="00FE7622">
              <w:rPr>
                <w:rFonts w:eastAsia="Calibri"/>
                <w:color w:val="auto"/>
              </w:rPr>
              <w:tab/>
              <w:t>Men</w:t>
            </w:r>
          </w:p>
        </w:tc>
        <w:tc>
          <w:tcPr>
            <w:tcW w:w="0" w:type="auto"/>
            <w:shd w:val="clear" w:color="auto" w:fill="auto"/>
          </w:tcPr>
          <w:p w14:paraId="3670A4A5" w14:textId="77777777" w:rsidR="006940C6" w:rsidRPr="00FE7622" w:rsidRDefault="006940C6" w:rsidP="00AF19CC">
            <w:pPr>
              <w:pStyle w:val="72TabletextTablesTableFigureBoxstyles"/>
              <w:rPr>
                <w:rFonts w:eastAsia="Calibri"/>
              </w:rPr>
            </w:pPr>
            <w:r w:rsidRPr="00FE7622">
              <w:rPr>
                <w:rFonts w:eastAsia="Calibri"/>
                <w:color w:val="auto"/>
              </w:rPr>
              <w:t>22.3 (6.4)</w:t>
            </w:r>
          </w:p>
        </w:tc>
        <w:tc>
          <w:tcPr>
            <w:tcW w:w="0" w:type="auto"/>
            <w:shd w:val="clear" w:color="auto" w:fill="auto"/>
          </w:tcPr>
          <w:p w14:paraId="1A692C0E" w14:textId="77777777" w:rsidR="006940C6" w:rsidRPr="00FE7622" w:rsidRDefault="006940C6" w:rsidP="00AF19CC">
            <w:pPr>
              <w:pStyle w:val="72TabletextTablesTableFigureBoxstyles"/>
              <w:rPr>
                <w:rFonts w:eastAsia="Calibri"/>
                <w:color w:val="auto"/>
              </w:rPr>
            </w:pPr>
            <w:r w:rsidRPr="00FE7622">
              <w:rPr>
                <w:rFonts w:eastAsia="Calibri"/>
                <w:color w:val="auto"/>
              </w:rPr>
              <w:t>23.9 (5.3)</w:t>
            </w:r>
          </w:p>
        </w:tc>
      </w:tr>
      <w:tr w:rsidR="006940C6" w:rsidRPr="00FE7622" w14:paraId="22F13395" w14:textId="77777777" w:rsidTr="00AF19CC">
        <w:trPr>
          <w:cantSplit/>
        </w:trPr>
        <w:tc>
          <w:tcPr>
            <w:tcW w:w="0" w:type="auto"/>
            <w:shd w:val="clear" w:color="auto" w:fill="auto"/>
          </w:tcPr>
          <w:p w14:paraId="67251E10" w14:textId="63D9CFE2" w:rsidR="006940C6" w:rsidRPr="00FE7622" w:rsidRDefault="006940C6"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15FF3504" w14:textId="77777777" w:rsidR="006940C6" w:rsidRPr="00FE7622" w:rsidRDefault="006940C6" w:rsidP="00AF19CC">
            <w:pPr>
              <w:pStyle w:val="72TabletextTablesTableFigureBoxstyles"/>
              <w:rPr>
                <w:rFonts w:eastAsia="Calibri"/>
              </w:rPr>
            </w:pPr>
            <w:r w:rsidRPr="00FE7622">
              <w:rPr>
                <w:rFonts w:eastAsia="Calibri"/>
                <w:color w:val="auto"/>
              </w:rPr>
              <w:t>13.7 (3.9)</w:t>
            </w:r>
          </w:p>
        </w:tc>
        <w:tc>
          <w:tcPr>
            <w:tcW w:w="0" w:type="auto"/>
            <w:shd w:val="clear" w:color="auto" w:fill="auto"/>
          </w:tcPr>
          <w:p w14:paraId="7AA18ED3" w14:textId="77777777" w:rsidR="006940C6" w:rsidRPr="00FE7622" w:rsidRDefault="006940C6" w:rsidP="00AF19CC">
            <w:pPr>
              <w:pStyle w:val="72TabletextTablesTableFigureBoxstyles"/>
              <w:rPr>
                <w:rFonts w:eastAsia="Calibri"/>
                <w:color w:val="auto"/>
              </w:rPr>
            </w:pPr>
            <w:r w:rsidRPr="00FE7622">
              <w:rPr>
                <w:rFonts w:eastAsia="Calibri"/>
                <w:color w:val="auto"/>
              </w:rPr>
              <w:t>13.7 (3.9)</w:t>
            </w:r>
          </w:p>
        </w:tc>
      </w:tr>
      <w:tr w:rsidR="006940C6" w:rsidRPr="00FE7622" w14:paraId="578B12F0" w14:textId="77777777" w:rsidTr="00AF19CC">
        <w:trPr>
          <w:cantSplit/>
        </w:trPr>
        <w:tc>
          <w:tcPr>
            <w:tcW w:w="0" w:type="auto"/>
            <w:gridSpan w:val="3"/>
            <w:shd w:val="clear" w:color="auto" w:fill="auto"/>
          </w:tcPr>
          <w:p w14:paraId="3556A1D4" w14:textId="60161F69" w:rsidR="006940C6" w:rsidRPr="00FE7622" w:rsidRDefault="006940C6" w:rsidP="00AF19CC">
            <w:pPr>
              <w:pStyle w:val="72TabletextTablesTableFigureBoxstyles"/>
              <w:rPr>
                <w:rFonts w:eastAsia="Calibri"/>
                <w:color w:val="auto"/>
              </w:rPr>
            </w:pPr>
            <w:r w:rsidRPr="00FE7622">
              <w:rPr>
                <w:rFonts w:eastAsia="Calibri"/>
                <w:color w:val="auto"/>
              </w:rPr>
              <w:t>Mean maximal quadriceps strength (kg) (</w:t>
            </w:r>
            <w:r w:rsidRPr="00842651">
              <w:rPr>
                <w:rFonts w:eastAsia="Calibri"/>
                <w:color w:val="auto"/>
              </w:rPr>
              <w:t>SD</w:t>
            </w:r>
            <w:r w:rsidRPr="00FE7622">
              <w:rPr>
                <w:rFonts w:eastAsia="Calibri"/>
                <w:color w:val="auto"/>
              </w:rPr>
              <w:t>)</w:t>
            </w:r>
          </w:p>
        </w:tc>
      </w:tr>
      <w:tr w:rsidR="006940C6" w:rsidRPr="00FE7622" w14:paraId="1FCBF515" w14:textId="77777777" w:rsidTr="00AF19CC">
        <w:trPr>
          <w:cantSplit/>
        </w:trPr>
        <w:tc>
          <w:tcPr>
            <w:tcW w:w="0" w:type="auto"/>
            <w:shd w:val="clear" w:color="auto" w:fill="auto"/>
          </w:tcPr>
          <w:p w14:paraId="3CFA736C" w14:textId="3608F309" w:rsidR="006940C6" w:rsidRPr="00FE7622" w:rsidRDefault="006940C6" w:rsidP="00AF19CC">
            <w:pPr>
              <w:pStyle w:val="72TabletextTablesTableFigureBoxstyles"/>
              <w:rPr>
                <w:rFonts w:eastAsia="Calibri"/>
              </w:rPr>
            </w:pPr>
            <w:r w:rsidRPr="00FE7622">
              <w:rPr>
                <w:rFonts w:eastAsia="Calibri"/>
                <w:color w:val="auto"/>
              </w:rPr>
              <w:tab/>
              <w:t>Men</w:t>
            </w:r>
          </w:p>
        </w:tc>
        <w:tc>
          <w:tcPr>
            <w:tcW w:w="0" w:type="auto"/>
            <w:shd w:val="clear" w:color="auto" w:fill="auto"/>
          </w:tcPr>
          <w:p w14:paraId="6F2ADC36" w14:textId="77777777" w:rsidR="006940C6" w:rsidRPr="00FE7622" w:rsidRDefault="006940C6" w:rsidP="00AF19CC">
            <w:pPr>
              <w:pStyle w:val="72TabletextTablesTableFigureBoxstyles"/>
              <w:rPr>
                <w:rFonts w:eastAsia="Calibri"/>
              </w:rPr>
            </w:pPr>
            <w:r w:rsidRPr="00FE7622">
              <w:rPr>
                <w:rFonts w:eastAsia="Calibri"/>
                <w:color w:val="auto"/>
              </w:rPr>
              <w:t>16.8 (8.5)</w:t>
            </w:r>
          </w:p>
        </w:tc>
        <w:tc>
          <w:tcPr>
            <w:tcW w:w="0" w:type="auto"/>
            <w:shd w:val="clear" w:color="auto" w:fill="auto"/>
          </w:tcPr>
          <w:p w14:paraId="5A4EE59F" w14:textId="77777777" w:rsidR="006940C6" w:rsidRPr="00FE7622" w:rsidRDefault="006940C6" w:rsidP="00AF19CC">
            <w:pPr>
              <w:pStyle w:val="72TabletextTablesTableFigureBoxstyles"/>
              <w:rPr>
                <w:rFonts w:eastAsia="Calibri"/>
                <w:color w:val="auto"/>
              </w:rPr>
            </w:pPr>
            <w:r w:rsidRPr="00FE7622">
              <w:rPr>
                <w:rFonts w:eastAsia="Calibri"/>
                <w:color w:val="auto"/>
              </w:rPr>
              <w:t>15.5 (5.5)</w:t>
            </w:r>
          </w:p>
        </w:tc>
      </w:tr>
      <w:tr w:rsidR="006940C6" w:rsidRPr="00FE7622" w14:paraId="315AF366" w14:textId="77777777" w:rsidTr="00AF19CC">
        <w:trPr>
          <w:cantSplit/>
        </w:trPr>
        <w:tc>
          <w:tcPr>
            <w:tcW w:w="0" w:type="auto"/>
            <w:shd w:val="clear" w:color="auto" w:fill="auto"/>
          </w:tcPr>
          <w:p w14:paraId="21A81CFD" w14:textId="10606342" w:rsidR="006940C6" w:rsidRPr="00FE7622" w:rsidRDefault="006940C6" w:rsidP="00AF19CC">
            <w:pPr>
              <w:pStyle w:val="72TabletextTablesTableFigureBoxstyles"/>
              <w:rPr>
                <w:rFonts w:eastAsia="Calibri"/>
              </w:rPr>
            </w:pPr>
            <w:r w:rsidRPr="00FE7622">
              <w:rPr>
                <w:rFonts w:eastAsia="Calibri"/>
                <w:color w:val="auto"/>
              </w:rPr>
              <w:tab/>
              <w:t>Women</w:t>
            </w:r>
          </w:p>
        </w:tc>
        <w:tc>
          <w:tcPr>
            <w:tcW w:w="0" w:type="auto"/>
            <w:shd w:val="clear" w:color="auto" w:fill="auto"/>
          </w:tcPr>
          <w:p w14:paraId="496CE183" w14:textId="77777777" w:rsidR="006940C6" w:rsidRPr="00FE7622" w:rsidRDefault="006940C6" w:rsidP="00AF19CC">
            <w:pPr>
              <w:pStyle w:val="72TabletextTablesTableFigureBoxstyles"/>
              <w:rPr>
                <w:rFonts w:eastAsia="Calibri"/>
              </w:rPr>
            </w:pPr>
            <w:r w:rsidRPr="00FE7622">
              <w:rPr>
                <w:rFonts w:eastAsia="Calibri"/>
                <w:color w:val="auto"/>
              </w:rPr>
              <w:t>9.7 (4.4)</w:t>
            </w:r>
          </w:p>
        </w:tc>
        <w:tc>
          <w:tcPr>
            <w:tcW w:w="0" w:type="auto"/>
            <w:shd w:val="clear" w:color="auto" w:fill="auto"/>
          </w:tcPr>
          <w:p w14:paraId="711442FE" w14:textId="77777777" w:rsidR="006940C6" w:rsidRPr="00FE7622" w:rsidRDefault="006940C6" w:rsidP="00AF19CC">
            <w:pPr>
              <w:pStyle w:val="72TabletextTablesTableFigureBoxstyles"/>
              <w:rPr>
                <w:rFonts w:eastAsia="Calibri"/>
                <w:color w:val="auto"/>
              </w:rPr>
            </w:pPr>
            <w:r w:rsidRPr="00FE7622">
              <w:rPr>
                <w:rFonts w:eastAsia="Calibri"/>
                <w:color w:val="auto"/>
              </w:rPr>
              <w:t>11.5 (5.2)</w:t>
            </w:r>
          </w:p>
        </w:tc>
      </w:tr>
      <w:tr w:rsidR="00F026E8" w:rsidRPr="00FE7622" w14:paraId="12E824DB" w14:textId="77777777" w:rsidTr="00AF19CC">
        <w:trPr>
          <w:cantSplit/>
        </w:trPr>
        <w:tc>
          <w:tcPr>
            <w:tcW w:w="0" w:type="auto"/>
            <w:shd w:val="clear" w:color="auto" w:fill="auto"/>
          </w:tcPr>
          <w:p w14:paraId="093863E7" w14:textId="34CD0B2A" w:rsidR="00F026E8" w:rsidRPr="00FE7622" w:rsidRDefault="00F026E8" w:rsidP="00AF19CC">
            <w:pPr>
              <w:pStyle w:val="72TabletextTablesTableFigureBoxstyles"/>
              <w:rPr>
                <w:rFonts w:eastAsia="Calibri"/>
              </w:rPr>
            </w:pPr>
            <w:r w:rsidRPr="00FE7622">
              <w:rPr>
                <w:rFonts w:eastAsia="Calibri"/>
                <w:color w:val="auto"/>
              </w:rPr>
              <w:t xml:space="preserve">Mean </w:t>
            </w:r>
            <w:r w:rsidR="001126CF" w:rsidRPr="00FE7622">
              <w:rPr>
                <w:rFonts w:eastAsia="Calibri"/>
                <w:color w:val="auto"/>
              </w:rPr>
              <w:t>6</w:t>
            </w:r>
            <w:r w:rsidRPr="00FE7622">
              <w:rPr>
                <w:rFonts w:eastAsia="Calibri"/>
                <w:color w:val="auto"/>
              </w:rPr>
              <w:t>-minute walk distance (m) (</w:t>
            </w:r>
            <w:r w:rsidRPr="00842651">
              <w:rPr>
                <w:rFonts w:eastAsia="Calibri"/>
                <w:color w:val="auto"/>
              </w:rPr>
              <w:t>SD</w:t>
            </w:r>
            <w:r w:rsidRPr="00FE7622">
              <w:rPr>
                <w:rFonts w:eastAsia="Calibri"/>
                <w:color w:val="auto"/>
              </w:rPr>
              <w:t>)</w:t>
            </w:r>
          </w:p>
        </w:tc>
        <w:tc>
          <w:tcPr>
            <w:tcW w:w="0" w:type="auto"/>
            <w:shd w:val="clear" w:color="auto" w:fill="auto"/>
          </w:tcPr>
          <w:p w14:paraId="535D5235" w14:textId="77777777" w:rsidR="00F026E8" w:rsidRPr="00FE7622" w:rsidRDefault="00F026E8" w:rsidP="00AF19CC">
            <w:pPr>
              <w:pStyle w:val="72TabletextTablesTableFigureBoxstyles"/>
              <w:rPr>
                <w:rFonts w:eastAsia="Calibri"/>
              </w:rPr>
            </w:pPr>
            <w:r w:rsidRPr="00FE7622">
              <w:rPr>
                <w:rFonts w:eastAsia="Calibri"/>
                <w:color w:val="auto"/>
              </w:rPr>
              <w:t>310 (111)</w:t>
            </w:r>
          </w:p>
        </w:tc>
        <w:tc>
          <w:tcPr>
            <w:tcW w:w="0" w:type="auto"/>
            <w:shd w:val="clear" w:color="auto" w:fill="auto"/>
          </w:tcPr>
          <w:p w14:paraId="3E27AB6C" w14:textId="77777777" w:rsidR="00F026E8" w:rsidRPr="00FE7622" w:rsidRDefault="00F026E8" w:rsidP="00AF19CC">
            <w:pPr>
              <w:pStyle w:val="72TabletextTablesTableFigureBoxstyles"/>
              <w:rPr>
                <w:rFonts w:eastAsia="Calibri"/>
                <w:color w:val="auto"/>
              </w:rPr>
            </w:pPr>
            <w:r w:rsidRPr="00FE7622">
              <w:rPr>
                <w:rFonts w:eastAsia="Calibri"/>
                <w:color w:val="auto"/>
              </w:rPr>
              <w:t>301 (110)</w:t>
            </w:r>
          </w:p>
        </w:tc>
      </w:tr>
      <w:tr w:rsidR="00F026E8" w:rsidRPr="00FE7622" w14:paraId="2EDE3E16" w14:textId="77777777" w:rsidTr="00AF19CC">
        <w:trPr>
          <w:cantSplit/>
        </w:trPr>
        <w:tc>
          <w:tcPr>
            <w:tcW w:w="0" w:type="auto"/>
            <w:shd w:val="clear" w:color="auto" w:fill="auto"/>
          </w:tcPr>
          <w:p w14:paraId="6EDA9822" w14:textId="743337D0" w:rsidR="00F026E8" w:rsidRPr="00FE7622" w:rsidRDefault="00F026E8" w:rsidP="00AF19CC">
            <w:pPr>
              <w:pStyle w:val="72TabletextTablesTableFigureBoxstyles"/>
              <w:rPr>
                <w:rFonts w:eastAsia="Calibri"/>
              </w:rPr>
            </w:pPr>
            <w:r w:rsidRPr="00FE7622">
              <w:rPr>
                <w:rFonts w:eastAsia="Calibri"/>
                <w:color w:val="auto"/>
              </w:rPr>
              <w:t>Mean 4</w:t>
            </w:r>
            <w:r w:rsidR="00F137F5" w:rsidRPr="00FE7622">
              <w:rPr>
                <w:rFonts w:eastAsia="Calibri"/>
                <w:color w:val="auto"/>
              </w:rPr>
              <w:t>-</w:t>
            </w:r>
            <w:r w:rsidRPr="00FE7622">
              <w:rPr>
                <w:rFonts w:eastAsia="Calibri"/>
                <w:color w:val="auto"/>
              </w:rPr>
              <w:t>metre walk speed (m/s</w:t>
            </w:r>
            <w:r w:rsidR="001126CF" w:rsidRPr="00FE7622">
              <w:rPr>
                <w:rFonts w:eastAsia="Calibri"/>
                <w:color w:val="auto"/>
              </w:rPr>
              <w:t>econd</w:t>
            </w:r>
            <w:r w:rsidRPr="00FE7622">
              <w:rPr>
                <w:rFonts w:eastAsia="Calibri"/>
                <w:color w:val="auto"/>
              </w:rPr>
              <w:t>) (</w:t>
            </w:r>
            <w:r w:rsidRPr="00842651">
              <w:rPr>
                <w:rFonts w:eastAsia="Calibri"/>
                <w:color w:val="auto"/>
              </w:rPr>
              <w:t>SD</w:t>
            </w:r>
            <w:r w:rsidRPr="00FE7622">
              <w:rPr>
                <w:rFonts w:eastAsia="Calibri"/>
                <w:color w:val="auto"/>
              </w:rPr>
              <w:t>)</w:t>
            </w:r>
          </w:p>
        </w:tc>
        <w:tc>
          <w:tcPr>
            <w:tcW w:w="0" w:type="auto"/>
            <w:shd w:val="clear" w:color="auto" w:fill="auto"/>
          </w:tcPr>
          <w:p w14:paraId="530B417E" w14:textId="77777777" w:rsidR="00F026E8" w:rsidRPr="00FE7622" w:rsidRDefault="00F026E8" w:rsidP="00AF19CC">
            <w:pPr>
              <w:pStyle w:val="72TabletextTablesTableFigureBoxstyles"/>
              <w:rPr>
                <w:rFonts w:eastAsia="Calibri"/>
              </w:rPr>
            </w:pPr>
            <w:r w:rsidRPr="00FE7622">
              <w:rPr>
                <w:rFonts w:eastAsia="Calibri"/>
                <w:color w:val="auto"/>
              </w:rPr>
              <w:t>0.74 (0.23)</w:t>
            </w:r>
          </w:p>
        </w:tc>
        <w:tc>
          <w:tcPr>
            <w:tcW w:w="0" w:type="auto"/>
            <w:shd w:val="clear" w:color="auto" w:fill="auto"/>
          </w:tcPr>
          <w:p w14:paraId="71DC6366" w14:textId="77777777" w:rsidR="00F026E8" w:rsidRPr="00FE7622" w:rsidRDefault="00F026E8" w:rsidP="00AF19CC">
            <w:pPr>
              <w:pStyle w:val="72TabletextTablesTableFigureBoxstyles"/>
              <w:rPr>
                <w:rFonts w:eastAsia="Calibri"/>
                <w:color w:val="auto"/>
              </w:rPr>
            </w:pPr>
            <w:r w:rsidRPr="00FE7622">
              <w:rPr>
                <w:rFonts w:eastAsia="Calibri"/>
                <w:color w:val="auto"/>
              </w:rPr>
              <w:t>0.75 (0.24)</w:t>
            </w:r>
          </w:p>
        </w:tc>
      </w:tr>
      <w:tr w:rsidR="00F026E8" w:rsidRPr="00FE7622" w14:paraId="6F418D5C" w14:textId="77777777" w:rsidTr="00AF19CC">
        <w:trPr>
          <w:cantSplit/>
        </w:trPr>
        <w:tc>
          <w:tcPr>
            <w:tcW w:w="0" w:type="auto"/>
            <w:shd w:val="clear" w:color="auto" w:fill="auto"/>
          </w:tcPr>
          <w:p w14:paraId="1F00998D" w14:textId="56F86896" w:rsidR="00F026E8" w:rsidRPr="00FE7622" w:rsidRDefault="00F026E8" w:rsidP="00AF19CC">
            <w:pPr>
              <w:pStyle w:val="72TabletextTablesTableFigureBoxstyles"/>
              <w:rPr>
                <w:rFonts w:eastAsia="Calibri"/>
              </w:rPr>
            </w:pPr>
            <w:r w:rsidRPr="00FE7622">
              <w:rPr>
                <w:rFonts w:eastAsia="Calibri"/>
                <w:color w:val="auto"/>
              </w:rPr>
              <w:t>Median chair rise time (s</w:t>
            </w:r>
            <w:r w:rsidR="001126CF" w:rsidRPr="00FE7622">
              <w:rPr>
                <w:rFonts w:eastAsia="Calibri"/>
                <w:color w:val="auto"/>
              </w:rPr>
              <w:t>econds</w:t>
            </w:r>
            <w:r w:rsidRPr="00FE7622">
              <w:rPr>
                <w:rFonts w:eastAsia="Calibri"/>
                <w:color w:val="auto"/>
              </w:rPr>
              <w:t xml:space="preserve">) </w:t>
            </w:r>
            <w:r w:rsidR="00EC0F25" w:rsidRPr="00FE7622">
              <w:rPr>
                <w:rFonts w:eastAsia="Calibri"/>
                <w:color w:val="auto"/>
              </w:rPr>
              <w:t>(</w:t>
            </w:r>
            <w:r w:rsidRPr="00842651">
              <w:rPr>
                <w:rFonts w:eastAsia="Calibri"/>
                <w:color w:val="auto"/>
              </w:rPr>
              <w:t>IQR</w:t>
            </w:r>
            <w:r w:rsidR="00EC0F25" w:rsidRPr="00FE7622">
              <w:rPr>
                <w:rFonts w:eastAsia="Calibri"/>
                <w:color w:val="auto"/>
              </w:rPr>
              <w:t>)</w:t>
            </w:r>
          </w:p>
        </w:tc>
        <w:tc>
          <w:tcPr>
            <w:tcW w:w="0" w:type="auto"/>
            <w:shd w:val="clear" w:color="auto" w:fill="auto"/>
          </w:tcPr>
          <w:p w14:paraId="750F7B9A" w14:textId="0A202B39" w:rsidR="00F026E8" w:rsidRPr="00FE7622" w:rsidRDefault="00F026E8" w:rsidP="00AF19CC">
            <w:pPr>
              <w:pStyle w:val="72TabletextTablesTableFigureBoxstyles"/>
              <w:rPr>
                <w:rFonts w:eastAsia="Calibri"/>
              </w:rPr>
            </w:pPr>
            <w:r w:rsidRPr="00FE7622">
              <w:rPr>
                <w:rFonts w:eastAsia="Calibri"/>
                <w:color w:val="auto"/>
              </w:rPr>
              <w:t xml:space="preserve">21.6 </w:t>
            </w:r>
            <w:r w:rsidR="00EC0F25" w:rsidRPr="00FE7622">
              <w:rPr>
                <w:rFonts w:eastAsia="Calibri"/>
                <w:color w:val="auto"/>
              </w:rPr>
              <w:t>(</w:t>
            </w:r>
            <w:r w:rsidRPr="00FE7622">
              <w:rPr>
                <w:rFonts w:eastAsia="Calibri"/>
                <w:color w:val="auto"/>
              </w:rPr>
              <w:t>17.5</w:t>
            </w:r>
            <w:r w:rsidR="00EC0F25" w:rsidRPr="00FE7622">
              <w:rPr>
                <w:rFonts w:eastAsia="Calibri"/>
                <w:color w:val="auto"/>
              </w:rPr>
              <w:t>–</w:t>
            </w:r>
            <w:r w:rsidRPr="00FE7622">
              <w:rPr>
                <w:rFonts w:eastAsia="Calibri"/>
                <w:color w:val="auto"/>
              </w:rPr>
              <w:t>26.9</w:t>
            </w:r>
            <w:r w:rsidR="00EC0F25" w:rsidRPr="00FE7622">
              <w:rPr>
                <w:rFonts w:eastAsia="Calibri"/>
                <w:color w:val="auto"/>
              </w:rPr>
              <w:t>)</w:t>
            </w:r>
          </w:p>
        </w:tc>
        <w:tc>
          <w:tcPr>
            <w:tcW w:w="0" w:type="auto"/>
            <w:shd w:val="clear" w:color="auto" w:fill="auto"/>
          </w:tcPr>
          <w:p w14:paraId="6E05CACA" w14:textId="0E72E63A" w:rsidR="00F026E8" w:rsidRPr="00FE7622" w:rsidRDefault="00F026E8" w:rsidP="00AF19CC">
            <w:pPr>
              <w:pStyle w:val="72TabletextTablesTableFigureBoxstyles"/>
              <w:rPr>
                <w:rFonts w:eastAsia="Calibri"/>
                <w:color w:val="auto"/>
              </w:rPr>
            </w:pPr>
            <w:r w:rsidRPr="00FE7622">
              <w:rPr>
                <w:rFonts w:eastAsia="Calibri"/>
                <w:color w:val="auto"/>
              </w:rPr>
              <w:t xml:space="preserve">22.9 </w:t>
            </w:r>
            <w:r w:rsidR="00EC0F25" w:rsidRPr="00FE7622">
              <w:rPr>
                <w:rFonts w:eastAsia="Calibri"/>
                <w:color w:val="auto"/>
              </w:rPr>
              <w:t>(</w:t>
            </w:r>
            <w:r w:rsidRPr="00FE7622">
              <w:rPr>
                <w:rFonts w:eastAsia="Calibri"/>
                <w:color w:val="auto"/>
              </w:rPr>
              <w:t>16.3</w:t>
            </w:r>
            <w:r w:rsidR="00EC0F25" w:rsidRPr="00FE7622">
              <w:rPr>
                <w:rFonts w:eastAsia="Calibri"/>
                <w:color w:val="auto"/>
              </w:rPr>
              <w:t>–</w:t>
            </w:r>
            <w:r w:rsidRPr="00FE7622">
              <w:rPr>
                <w:rFonts w:eastAsia="Calibri"/>
                <w:color w:val="auto"/>
              </w:rPr>
              <w:t>27.9</w:t>
            </w:r>
            <w:r w:rsidR="00EC0F25" w:rsidRPr="00FE7622">
              <w:rPr>
                <w:rFonts w:eastAsia="Calibri"/>
                <w:color w:val="auto"/>
              </w:rPr>
              <w:t>)</w:t>
            </w:r>
          </w:p>
        </w:tc>
      </w:tr>
      <w:tr w:rsidR="00F026E8" w:rsidRPr="00FE7622" w14:paraId="0EC7C11B" w14:textId="77777777" w:rsidTr="00AF19CC">
        <w:trPr>
          <w:cantSplit/>
        </w:trPr>
        <w:tc>
          <w:tcPr>
            <w:tcW w:w="0" w:type="auto"/>
            <w:shd w:val="clear" w:color="auto" w:fill="auto"/>
          </w:tcPr>
          <w:p w14:paraId="40D8E481" w14:textId="28D63D32"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EQ</w:t>
            </w:r>
            <w:r w:rsidR="00F137F5" w:rsidRPr="00842651">
              <w:rPr>
                <w:rFonts w:eastAsia="Calibri"/>
                <w:color w:val="auto"/>
              </w:rPr>
              <w:t>-</w:t>
            </w:r>
            <w:r w:rsidRPr="00842651">
              <w:rPr>
                <w:rFonts w:eastAsia="Calibri"/>
                <w:color w:val="auto"/>
              </w:rPr>
              <w:t>5D-3L</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BC2F9DC" w14:textId="77777777" w:rsidR="00F026E8" w:rsidRPr="00FE7622" w:rsidRDefault="00F026E8" w:rsidP="00AF19CC">
            <w:pPr>
              <w:pStyle w:val="72TabletextTablesTableFigureBoxstyles"/>
              <w:rPr>
                <w:rFonts w:eastAsia="Calibri"/>
              </w:rPr>
            </w:pPr>
            <w:r w:rsidRPr="00FE7622">
              <w:rPr>
                <w:rFonts w:eastAsia="Calibri"/>
                <w:color w:val="auto"/>
              </w:rPr>
              <w:t>0.77 (0.11)</w:t>
            </w:r>
          </w:p>
        </w:tc>
        <w:tc>
          <w:tcPr>
            <w:tcW w:w="0" w:type="auto"/>
            <w:shd w:val="clear" w:color="auto" w:fill="auto"/>
          </w:tcPr>
          <w:p w14:paraId="61F85452" w14:textId="77777777" w:rsidR="00F026E8" w:rsidRPr="00FE7622" w:rsidRDefault="00F026E8" w:rsidP="00AF19CC">
            <w:pPr>
              <w:pStyle w:val="72TabletextTablesTableFigureBoxstyles"/>
              <w:rPr>
                <w:rFonts w:eastAsia="Calibri"/>
                <w:color w:val="auto"/>
              </w:rPr>
            </w:pPr>
            <w:r w:rsidRPr="00FE7622">
              <w:rPr>
                <w:rFonts w:eastAsia="Calibri"/>
                <w:color w:val="auto"/>
              </w:rPr>
              <w:t>0.78 (0.10)</w:t>
            </w:r>
          </w:p>
        </w:tc>
      </w:tr>
      <w:tr w:rsidR="00F026E8" w:rsidRPr="00FE7622" w14:paraId="3003F99A" w14:textId="77777777" w:rsidTr="00AF19CC">
        <w:trPr>
          <w:cantSplit/>
        </w:trPr>
        <w:tc>
          <w:tcPr>
            <w:tcW w:w="0" w:type="auto"/>
            <w:shd w:val="clear" w:color="auto" w:fill="auto"/>
          </w:tcPr>
          <w:p w14:paraId="2047F131" w14:textId="3DF66CFF"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EQ</w:t>
            </w:r>
            <w:r w:rsidR="00F137F5" w:rsidRPr="00842651">
              <w:rPr>
                <w:rFonts w:eastAsia="Calibri"/>
                <w:color w:val="auto"/>
              </w:rPr>
              <w:t>-</w:t>
            </w:r>
            <w:r w:rsidRPr="00842651">
              <w:rPr>
                <w:rFonts w:eastAsia="Calibri"/>
                <w:color w:val="auto"/>
              </w:rPr>
              <w:t>5D</w:t>
            </w:r>
            <w:r w:rsidRPr="00FE7622">
              <w:rPr>
                <w:rFonts w:eastAsia="Calibri"/>
                <w:color w:val="auto"/>
              </w:rPr>
              <w:t xml:space="preserve"> thermometer (</w:t>
            </w:r>
            <w:r w:rsidRPr="00842651">
              <w:rPr>
                <w:rFonts w:eastAsia="Calibri"/>
                <w:color w:val="auto"/>
              </w:rPr>
              <w:t>SD</w:t>
            </w:r>
            <w:r w:rsidRPr="00FE7622">
              <w:rPr>
                <w:rFonts w:eastAsia="Calibri"/>
                <w:color w:val="auto"/>
              </w:rPr>
              <w:t>)</w:t>
            </w:r>
          </w:p>
        </w:tc>
        <w:tc>
          <w:tcPr>
            <w:tcW w:w="0" w:type="auto"/>
            <w:shd w:val="clear" w:color="auto" w:fill="auto"/>
          </w:tcPr>
          <w:p w14:paraId="02FCAA1D" w14:textId="77777777" w:rsidR="00F026E8" w:rsidRPr="00FE7622" w:rsidRDefault="00F026E8" w:rsidP="00AF19CC">
            <w:pPr>
              <w:pStyle w:val="72TabletextTablesTableFigureBoxstyles"/>
              <w:rPr>
                <w:rFonts w:eastAsia="Calibri"/>
              </w:rPr>
            </w:pPr>
            <w:r w:rsidRPr="00FE7622">
              <w:rPr>
                <w:rFonts w:eastAsia="Calibri"/>
                <w:color w:val="auto"/>
              </w:rPr>
              <w:t>73 (17)</w:t>
            </w:r>
          </w:p>
        </w:tc>
        <w:tc>
          <w:tcPr>
            <w:tcW w:w="0" w:type="auto"/>
            <w:shd w:val="clear" w:color="auto" w:fill="auto"/>
          </w:tcPr>
          <w:p w14:paraId="3216CEB0" w14:textId="77777777" w:rsidR="00F026E8" w:rsidRPr="00FE7622" w:rsidRDefault="00F026E8" w:rsidP="00AF19CC">
            <w:pPr>
              <w:pStyle w:val="72TabletextTablesTableFigureBoxstyles"/>
              <w:rPr>
                <w:rFonts w:eastAsia="Calibri"/>
                <w:color w:val="auto"/>
              </w:rPr>
            </w:pPr>
            <w:r w:rsidRPr="00FE7622">
              <w:rPr>
                <w:rFonts w:eastAsia="Calibri"/>
                <w:color w:val="auto"/>
              </w:rPr>
              <w:t>70 (13)</w:t>
            </w:r>
          </w:p>
        </w:tc>
      </w:tr>
      <w:tr w:rsidR="00F026E8" w:rsidRPr="00FE7622" w14:paraId="44E96A30" w14:textId="77777777" w:rsidTr="00AF19CC">
        <w:trPr>
          <w:cantSplit/>
        </w:trPr>
        <w:tc>
          <w:tcPr>
            <w:tcW w:w="0" w:type="auto"/>
            <w:shd w:val="clear" w:color="auto" w:fill="auto"/>
          </w:tcPr>
          <w:p w14:paraId="238B5440" w14:textId="0895FC71" w:rsidR="00F026E8" w:rsidRPr="00FE7622" w:rsidRDefault="00F026E8" w:rsidP="00AF19CC">
            <w:pPr>
              <w:pStyle w:val="72TabletextTablesTableFigureBoxstyles"/>
              <w:rPr>
                <w:rFonts w:eastAsia="Calibri"/>
              </w:rPr>
            </w:pPr>
            <w:r w:rsidRPr="00FE7622">
              <w:rPr>
                <w:rFonts w:eastAsia="Calibri"/>
                <w:color w:val="auto"/>
              </w:rPr>
              <w:t>Mean NEADL (</w:t>
            </w:r>
            <w:r w:rsidRPr="00842651">
              <w:rPr>
                <w:rFonts w:eastAsia="Calibri"/>
                <w:color w:val="auto"/>
              </w:rPr>
              <w:t>SD</w:t>
            </w:r>
            <w:r w:rsidRPr="00FE7622">
              <w:rPr>
                <w:rFonts w:eastAsia="Calibri"/>
                <w:color w:val="auto"/>
              </w:rPr>
              <w:t>)</w:t>
            </w:r>
          </w:p>
        </w:tc>
        <w:tc>
          <w:tcPr>
            <w:tcW w:w="0" w:type="auto"/>
            <w:shd w:val="clear" w:color="auto" w:fill="auto"/>
          </w:tcPr>
          <w:p w14:paraId="332BE3C8" w14:textId="77777777" w:rsidR="00F026E8" w:rsidRPr="00FE7622" w:rsidRDefault="00F026E8" w:rsidP="00AF19CC">
            <w:pPr>
              <w:pStyle w:val="72TabletextTablesTableFigureBoxstyles"/>
              <w:rPr>
                <w:rFonts w:eastAsia="Calibri"/>
              </w:rPr>
            </w:pPr>
            <w:r w:rsidRPr="00FE7622">
              <w:rPr>
                <w:rFonts w:eastAsia="Calibri"/>
                <w:color w:val="auto"/>
              </w:rPr>
              <w:t>55.3 (9.9)</w:t>
            </w:r>
          </w:p>
        </w:tc>
        <w:tc>
          <w:tcPr>
            <w:tcW w:w="0" w:type="auto"/>
            <w:shd w:val="clear" w:color="auto" w:fill="auto"/>
          </w:tcPr>
          <w:p w14:paraId="35CE42E7" w14:textId="77777777" w:rsidR="00F026E8" w:rsidRPr="00FE7622" w:rsidRDefault="00F026E8" w:rsidP="00AF19CC">
            <w:pPr>
              <w:pStyle w:val="72TabletextTablesTableFigureBoxstyles"/>
              <w:rPr>
                <w:rFonts w:eastAsia="Calibri"/>
                <w:color w:val="auto"/>
              </w:rPr>
            </w:pPr>
            <w:r w:rsidRPr="00FE7622">
              <w:rPr>
                <w:rFonts w:eastAsia="Calibri"/>
                <w:color w:val="auto"/>
              </w:rPr>
              <w:t>54.4 (10.3)</w:t>
            </w:r>
          </w:p>
        </w:tc>
      </w:tr>
      <w:tr w:rsidR="00F026E8" w:rsidRPr="00FE7622" w14:paraId="7B7A43E2" w14:textId="77777777" w:rsidTr="00AF19CC">
        <w:trPr>
          <w:cantSplit/>
        </w:trPr>
        <w:tc>
          <w:tcPr>
            <w:tcW w:w="0" w:type="auto"/>
            <w:shd w:val="clear" w:color="auto" w:fill="auto"/>
          </w:tcPr>
          <w:p w14:paraId="499B9E36" w14:textId="77777777" w:rsidR="00F026E8" w:rsidRPr="00FE7622" w:rsidRDefault="00F026E8" w:rsidP="00AF19CC">
            <w:pPr>
              <w:pStyle w:val="72TabletextTablesTableFigureBoxstyles"/>
              <w:rPr>
                <w:rFonts w:eastAsia="Calibri"/>
                <w:color w:val="auto"/>
              </w:rPr>
            </w:pPr>
            <w:r w:rsidRPr="00FE7622">
              <w:rPr>
                <w:rFonts w:eastAsia="Calibri"/>
                <w:color w:val="auto"/>
              </w:rPr>
              <w:t>Mean T-score at hip (</w:t>
            </w:r>
            <w:r w:rsidRPr="00842651">
              <w:rPr>
                <w:rFonts w:eastAsia="Calibri"/>
                <w:color w:val="auto"/>
              </w:rPr>
              <w:t>SD</w:t>
            </w:r>
            <w:r w:rsidRPr="00FE7622">
              <w:rPr>
                <w:rFonts w:eastAsia="Calibri"/>
                <w:color w:val="auto"/>
              </w:rPr>
              <w:t>)</w:t>
            </w:r>
          </w:p>
        </w:tc>
        <w:tc>
          <w:tcPr>
            <w:tcW w:w="0" w:type="auto"/>
            <w:shd w:val="clear" w:color="auto" w:fill="auto"/>
          </w:tcPr>
          <w:p w14:paraId="7211513C" w14:textId="77777777" w:rsidR="00F026E8" w:rsidRPr="00FE7622" w:rsidRDefault="00F026E8" w:rsidP="00AF19CC">
            <w:pPr>
              <w:pStyle w:val="72TabletextTablesTableFigureBoxstyles"/>
              <w:rPr>
                <w:rFonts w:eastAsia="Calibri"/>
                <w:color w:val="auto"/>
              </w:rPr>
            </w:pPr>
            <w:r w:rsidRPr="00FE7622">
              <w:rPr>
                <w:rFonts w:eastAsia="Calibri"/>
                <w:color w:val="auto"/>
              </w:rPr>
              <w:t>–1.2 (1.4)</w:t>
            </w:r>
          </w:p>
        </w:tc>
        <w:tc>
          <w:tcPr>
            <w:tcW w:w="0" w:type="auto"/>
            <w:shd w:val="clear" w:color="auto" w:fill="auto"/>
          </w:tcPr>
          <w:p w14:paraId="1D665FEA" w14:textId="77777777" w:rsidR="00F026E8" w:rsidRPr="00FE7622" w:rsidRDefault="00F026E8" w:rsidP="00AF19CC">
            <w:pPr>
              <w:pStyle w:val="72TabletextTablesTableFigureBoxstyles"/>
              <w:rPr>
                <w:rFonts w:eastAsia="Calibri"/>
                <w:color w:val="auto"/>
              </w:rPr>
            </w:pPr>
            <w:r w:rsidRPr="00FE7622">
              <w:rPr>
                <w:rFonts w:eastAsia="Calibri"/>
                <w:color w:val="auto"/>
              </w:rPr>
              <w:t>–1.4 (1.1)</w:t>
            </w:r>
          </w:p>
        </w:tc>
      </w:tr>
      <w:tr w:rsidR="00F026E8" w:rsidRPr="00FE7622" w14:paraId="0DD00101" w14:textId="77777777" w:rsidTr="00AF19CC">
        <w:trPr>
          <w:cantSplit/>
        </w:trPr>
        <w:tc>
          <w:tcPr>
            <w:tcW w:w="0" w:type="auto"/>
            <w:shd w:val="clear" w:color="auto" w:fill="auto"/>
          </w:tcPr>
          <w:p w14:paraId="1C8B37EE" w14:textId="77777777" w:rsidR="00F026E8" w:rsidRPr="00FE7622" w:rsidRDefault="00F026E8" w:rsidP="00AF19CC">
            <w:pPr>
              <w:pStyle w:val="72TabletextTablesTableFigureBoxstyles"/>
              <w:rPr>
                <w:rFonts w:eastAsia="Calibri"/>
              </w:rPr>
            </w:pPr>
            <w:r w:rsidRPr="00FE7622">
              <w:rPr>
                <w:rFonts w:eastAsia="Calibri"/>
                <w:color w:val="auto"/>
              </w:rPr>
              <w:t>Mean total protein intake per day (g/kg body weight) (</w:t>
            </w:r>
            <w:r w:rsidRPr="00842651">
              <w:rPr>
                <w:rFonts w:eastAsia="Calibri"/>
                <w:color w:val="auto"/>
              </w:rPr>
              <w:t>SD</w:t>
            </w:r>
            <w:r w:rsidRPr="00FE7622">
              <w:rPr>
                <w:rFonts w:eastAsia="Calibri"/>
                <w:color w:val="auto"/>
              </w:rPr>
              <w:t>)</w:t>
            </w:r>
          </w:p>
        </w:tc>
        <w:tc>
          <w:tcPr>
            <w:tcW w:w="0" w:type="auto"/>
            <w:shd w:val="clear" w:color="auto" w:fill="auto"/>
          </w:tcPr>
          <w:p w14:paraId="23ED5EA2" w14:textId="77777777" w:rsidR="00F026E8" w:rsidRPr="00FE7622" w:rsidRDefault="00F026E8" w:rsidP="00AF19CC">
            <w:pPr>
              <w:pStyle w:val="72TabletextTablesTableFigureBoxstyles"/>
              <w:rPr>
                <w:rFonts w:eastAsia="Calibri"/>
              </w:rPr>
            </w:pPr>
            <w:r w:rsidRPr="00FE7622">
              <w:rPr>
                <w:rFonts w:eastAsia="Calibri"/>
                <w:color w:val="auto"/>
              </w:rPr>
              <w:t>1.05 (0.50)</w:t>
            </w:r>
          </w:p>
        </w:tc>
        <w:tc>
          <w:tcPr>
            <w:tcW w:w="0" w:type="auto"/>
            <w:shd w:val="clear" w:color="auto" w:fill="auto"/>
          </w:tcPr>
          <w:p w14:paraId="64543707" w14:textId="77777777" w:rsidR="00F026E8" w:rsidRPr="00FE7622" w:rsidRDefault="00F026E8" w:rsidP="00AF19CC">
            <w:pPr>
              <w:pStyle w:val="72TabletextTablesTableFigureBoxstyles"/>
              <w:rPr>
                <w:rFonts w:eastAsia="Calibri"/>
                <w:color w:val="auto"/>
              </w:rPr>
            </w:pPr>
            <w:r w:rsidRPr="00FE7622">
              <w:rPr>
                <w:rFonts w:eastAsia="Calibri"/>
                <w:color w:val="auto"/>
              </w:rPr>
              <w:t>1.24 (0.96)</w:t>
            </w:r>
          </w:p>
        </w:tc>
      </w:tr>
      <w:tr w:rsidR="00F026E8" w:rsidRPr="00FE7622" w14:paraId="01A26AAF" w14:textId="77777777" w:rsidTr="00AF19CC">
        <w:trPr>
          <w:cantSplit/>
        </w:trPr>
        <w:tc>
          <w:tcPr>
            <w:tcW w:w="0" w:type="auto"/>
            <w:gridSpan w:val="3"/>
            <w:shd w:val="clear" w:color="auto" w:fill="auto"/>
          </w:tcPr>
          <w:p w14:paraId="7FC347B2" w14:textId="78E4C034" w:rsidR="00F026E8" w:rsidRPr="00FE7622" w:rsidRDefault="00F026E8" w:rsidP="00AF19CC">
            <w:pPr>
              <w:pStyle w:val="75TablenotesTablesTableFigureBoxstyles"/>
              <w:rPr>
                <w:rFonts w:ascii="Calibri" w:eastAsia="Calibri" w:hAnsi="Calibri"/>
                <w:lang w:val="en-GB"/>
              </w:rPr>
            </w:pPr>
            <w:r w:rsidRPr="00FE7622">
              <w:rPr>
                <w:lang w:val="en-GB"/>
              </w:rPr>
              <w:t>GFR</w:t>
            </w:r>
            <w:r w:rsidR="00047963" w:rsidRPr="00FE7622">
              <w:rPr>
                <w:lang w:val="en-GB"/>
              </w:rPr>
              <w:t>,</w:t>
            </w:r>
            <w:r w:rsidRPr="00FE7622">
              <w:rPr>
                <w:lang w:val="en-GB"/>
              </w:rPr>
              <w:t xml:space="preserve"> </w:t>
            </w:r>
            <w:r w:rsidR="00047963" w:rsidRPr="00FE7622">
              <w:rPr>
                <w:lang w:val="en-GB"/>
              </w:rPr>
              <w:t>glomerular filtration rate</w:t>
            </w:r>
            <w:r w:rsidR="00701EB8" w:rsidRPr="00FE7622">
              <w:rPr>
                <w:lang w:val="en-GB"/>
              </w:rPr>
              <w:t>; NEADL, Nottingham Extended Activities of Daily Living</w:t>
            </w:r>
            <w:r w:rsidR="00047963" w:rsidRPr="00FE7622">
              <w:rPr>
                <w:lang w:val="en-GB"/>
              </w:rPr>
              <w:t>.</w:t>
            </w:r>
          </w:p>
        </w:tc>
      </w:tr>
    </w:tbl>
    <w:p w14:paraId="1F00224D" w14:textId="037A8138" w:rsidR="00E038BF" w:rsidRPr="00FE7622" w:rsidRDefault="00E038BF" w:rsidP="00372DD7">
      <w:pPr>
        <w:pStyle w:val="53BheadHeadingsHeadingstyles"/>
      </w:pPr>
      <w:bookmarkStart w:id="113" w:name="_Toc79684536"/>
      <w:r w:rsidRPr="00FE7622">
        <w:t>Adherence</w:t>
      </w:r>
      <w:bookmarkEnd w:id="113"/>
    </w:p>
    <w:p w14:paraId="29C8549B" w14:textId="44C69A1F" w:rsidR="00F026E8" w:rsidRPr="00FE7622" w:rsidRDefault="00F026E8" w:rsidP="00372DD7">
      <w:pPr>
        <w:pStyle w:val="602TextfoTextstylesTextstyles"/>
        <w:rPr>
          <w:color w:val="auto"/>
        </w:rPr>
      </w:pPr>
      <w:r w:rsidRPr="00FE7622">
        <w:rPr>
          <w:color w:val="auto"/>
        </w:rPr>
        <w:t xml:space="preserve">Adherence was the same in the group receiving leucine (median 76.2%, </w:t>
      </w:r>
      <w:r w:rsidRPr="00842651">
        <w:rPr>
          <w:color w:val="auto"/>
        </w:rPr>
        <w:t>IQR</w:t>
      </w:r>
      <w:r w:rsidRPr="00FE7622">
        <w:rPr>
          <w:color w:val="auto"/>
        </w:rPr>
        <w:t xml:space="preserve"> 38.5–97.3%) </w:t>
      </w:r>
      <w:r w:rsidR="008910E9" w:rsidRPr="00FE7622">
        <w:rPr>
          <w:color w:val="auto"/>
        </w:rPr>
        <w:t>and</w:t>
      </w:r>
      <w:r w:rsidRPr="00FE7622">
        <w:rPr>
          <w:color w:val="auto"/>
        </w:rPr>
        <w:t xml:space="preserve"> in the group receiving placebo (</w:t>
      </w:r>
      <w:r w:rsidR="008910E9" w:rsidRPr="00FE7622">
        <w:rPr>
          <w:color w:val="auto"/>
        </w:rPr>
        <w:t xml:space="preserve">median </w:t>
      </w:r>
      <w:r w:rsidRPr="00FE7622">
        <w:rPr>
          <w:color w:val="auto"/>
        </w:rPr>
        <w:t xml:space="preserve">75.6%, </w:t>
      </w:r>
      <w:r w:rsidRPr="00842651">
        <w:rPr>
          <w:color w:val="auto"/>
        </w:rPr>
        <w:t>IQR</w:t>
      </w:r>
      <w:r w:rsidRPr="00FE7622">
        <w:rPr>
          <w:color w:val="auto"/>
        </w:rPr>
        <w:t xml:space="preserve"> 50.5–92.3%) (</w:t>
      </w:r>
      <w:r w:rsidR="00E038BF" w:rsidRPr="00FE7622">
        <w:rPr>
          <w:i/>
          <w:color w:val="auto"/>
        </w:rPr>
        <w:t>p</w:t>
      </w:r>
      <w:r w:rsidR="00372DD7" w:rsidRPr="00FE7622">
        <w:rPr>
          <w:color w:val="auto"/>
        </w:rPr>
        <w:t> = </w:t>
      </w:r>
      <w:r w:rsidRPr="00FE7622">
        <w:rPr>
          <w:color w:val="auto"/>
        </w:rPr>
        <w:t>0.99).</w:t>
      </w:r>
    </w:p>
    <w:p w14:paraId="55958DC9" w14:textId="18111AE7" w:rsidR="00E038BF" w:rsidRPr="00FE7622" w:rsidRDefault="00E038BF" w:rsidP="00372DD7">
      <w:pPr>
        <w:pStyle w:val="52AheadHeadingsHeadingstyles"/>
      </w:pPr>
      <w:bookmarkStart w:id="114" w:name="_Toc79684537"/>
      <w:r w:rsidRPr="00FE7622">
        <w:t>Primary outcome analysis</w:t>
      </w:r>
      <w:bookmarkEnd w:id="114"/>
    </w:p>
    <w:p w14:paraId="301816A3" w14:textId="12137A2C" w:rsidR="00F026E8" w:rsidRPr="00FE7622" w:rsidRDefault="00E038BF" w:rsidP="00372DD7">
      <w:pPr>
        <w:pStyle w:val="602TextfoTextstylesTextstyles"/>
        <w:rPr>
          <w:color w:val="auto"/>
        </w:rPr>
      </w:pPr>
      <w:r w:rsidRPr="00FE7622">
        <w:rPr>
          <w:i/>
          <w:color w:val="FF0000"/>
        </w:rPr>
        <w:t>Table 12</w:t>
      </w:r>
      <w:r w:rsidR="00F026E8" w:rsidRPr="00FE7622">
        <w:rPr>
          <w:color w:val="auto"/>
        </w:rPr>
        <w:t xml:space="preserve"> shows the analyses for the primary outcome (between-group difference in </w:t>
      </w:r>
      <w:r w:rsidR="00F026E8" w:rsidRPr="00842651">
        <w:rPr>
          <w:color w:val="auto"/>
        </w:rPr>
        <w:t>SPPB</w:t>
      </w:r>
      <w:r w:rsidR="00F026E8" w:rsidRPr="00FE7622">
        <w:rPr>
          <w:color w:val="auto"/>
        </w:rPr>
        <w:t xml:space="preserve">) for leucine </w:t>
      </w:r>
      <w:r w:rsidR="008910E9" w:rsidRPr="00FE7622">
        <w:rPr>
          <w:color w:val="auto"/>
        </w:rPr>
        <w:t>compared with</w:t>
      </w:r>
      <w:r w:rsidR="00F026E8" w:rsidRPr="00FE7622">
        <w:rPr>
          <w:color w:val="auto"/>
        </w:rPr>
        <w:t xml:space="preserve"> placebo. Again, no significant treatment effect was seen in unadjusted or adjusted analyses; the point estimate of effect in adjusted analyses was close to zero</w:t>
      </w:r>
      <w:r w:rsidR="008910E9" w:rsidRPr="00FE7622">
        <w:rPr>
          <w:color w:val="auto"/>
        </w:rPr>
        <w:t>,</w:t>
      </w:r>
      <w:r w:rsidR="00F026E8" w:rsidRPr="00FE7622">
        <w:rPr>
          <w:color w:val="auto"/>
        </w:rPr>
        <w:t xml:space="preserve"> although the </w:t>
      </w:r>
      <w:r w:rsidR="008910E9" w:rsidRPr="00842651">
        <w:rPr>
          <w:color w:val="auto"/>
        </w:rPr>
        <w:t>CIs</w:t>
      </w:r>
      <w:r w:rsidR="00F026E8" w:rsidRPr="00FE7622">
        <w:rPr>
          <w:color w:val="auto"/>
        </w:rPr>
        <w:t xml:space="preserve"> do not exclude an effect size consistent with a clinically important difference of 1.0 points. Sensitivity analyses examining the difference at the 12-month time</w:t>
      </w:r>
      <w:r w:rsidR="008910E9" w:rsidRPr="00FE7622">
        <w:rPr>
          <w:color w:val="auto"/>
        </w:rPr>
        <w:t xml:space="preserve"> </w:t>
      </w:r>
      <w:r w:rsidR="00F026E8" w:rsidRPr="00FE7622">
        <w:rPr>
          <w:color w:val="auto"/>
        </w:rPr>
        <w:t>point, and imputing values of zero as a worst-case scenario</w:t>
      </w:r>
      <w:r w:rsidR="008910E9" w:rsidRPr="00FE7622">
        <w:rPr>
          <w:color w:val="auto"/>
        </w:rPr>
        <w:t>,</w:t>
      </w:r>
      <w:r w:rsidR="00F026E8" w:rsidRPr="00FE7622">
        <w:rPr>
          <w:color w:val="auto"/>
        </w:rPr>
        <w:t xml:space="preserve"> show similar results, again with wide </w:t>
      </w:r>
      <w:r w:rsidR="008910E9" w:rsidRPr="00842651">
        <w:rPr>
          <w:color w:val="auto"/>
        </w:rPr>
        <w:t>CIs</w:t>
      </w:r>
      <w:r w:rsidR="00F026E8" w:rsidRPr="00FE7622">
        <w:rPr>
          <w:color w:val="auto"/>
        </w:rPr>
        <w:t xml:space="preserve">. Prespecified subgroup analyses are shown in </w:t>
      </w:r>
      <w:r w:rsidRPr="00FE7622">
        <w:rPr>
          <w:i/>
          <w:color w:val="FF0000"/>
        </w:rPr>
        <w:t>Table 13</w:t>
      </w:r>
      <w:r w:rsidR="00F026E8" w:rsidRPr="00FE7622">
        <w:rPr>
          <w:color w:val="auto"/>
        </w:rPr>
        <w:t>. Participants with protein intake below the median level of 1.01</w:t>
      </w:r>
      <w:r w:rsidR="008910E9" w:rsidRPr="00FE7622">
        <w:rPr>
          <w:color w:val="auto"/>
        </w:rPr>
        <w:t> </w:t>
      </w:r>
      <w:r w:rsidR="00F026E8" w:rsidRPr="00FE7622">
        <w:rPr>
          <w:color w:val="auto"/>
        </w:rPr>
        <w:t xml:space="preserve">g/kg/day showed a treatment effect of 2.6 points compared </w:t>
      </w:r>
      <w:r w:rsidR="008910E9" w:rsidRPr="00FE7622">
        <w:rPr>
          <w:color w:val="auto"/>
        </w:rPr>
        <w:t>with</w:t>
      </w:r>
      <w:r w:rsidR="00F026E8" w:rsidRPr="00FE7622">
        <w:rPr>
          <w:color w:val="auto"/>
        </w:rPr>
        <w:t xml:space="preserve"> –0.1 points for those with a protein intake above the median; </w:t>
      </w:r>
      <w:r w:rsidR="008910E9" w:rsidRPr="00FE7622">
        <w:rPr>
          <w:color w:val="auto"/>
        </w:rPr>
        <w:t xml:space="preserve">however, </w:t>
      </w:r>
      <w:r w:rsidR="00F026E8" w:rsidRPr="00FE7622">
        <w:rPr>
          <w:color w:val="auto"/>
        </w:rPr>
        <w:t>the subgroup interaction was not significant on formal analysis. Adherence did not have a significant impact on the primary outcome when included in the adjusted model as a continuous variable (</w:t>
      </w:r>
      <w:r w:rsidRPr="00FE7622">
        <w:rPr>
          <w:i/>
          <w:color w:val="auto"/>
        </w:rPr>
        <w:t>p</w:t>
      </w:r>
      <w:r w:rsidR="00372DD7" w:rsidRPr="00FE7622">
        <w:rPr>
          <w:color w:val="auto"/>
        </w:rPr>
        <w:t> = </w:t>
      </w:r>
      <w:r w:rsidR="00F026E8" w:rsidRPr="00FE7622">
        <w:rPr>
          <w:color w:val="auto"/>
        </w:rPr>
        <w:t>0.85)</w:t>
      </w:r>
      <w:r w:rsidR="00F137F5" w:rsidRPr="00FE7622">
        <w:rPr>
          <w:color w:val="auto"/>
        </w:rPr>
        <w:t>.</w:t>
      </w:r>
    </w:p>
    <w:p w14:paraId="272933AC" w14:textId="6546990E" w:rsidR="00F026E8" w:rsidRPr="00FE7622" w:rsidRDefault="00E038BF" w:rsidP="00F026E8">
      <w:pPr>
        <w:pStyle w:val="70TablelegendTablesTableFigureBoxstyles"/>
        <w:rPr>
          <w:lang w:val="en-GB"/>
        </w:rPr>
      </w:pPr>
      <w:r w:rsidRPr="00FE7622">
        <w:rPr>
          <w:b/>
        </w:rPr>
        <w:t>TABLE 12</w:t>
      </w:r>
      <w:r w:rsidRPr="00FE7622">
        <w:rPr>
          <w:b/>
        </w:rPr>
        <w:t> </w:t>
      </w:r>
      <w:r w:rsidR="00F026E8" w:rsidRPr="00FE7622">
        <w:rPr>
          <w:lang w:val="en-GB"/>
        </w:rPr>
        <w:t xml:space="preserve">Primary outcome for leucine </w:t>
      </w:r>
      <w:r w:rsidR="00375182" w:rsidRPr="00FE7622">
        <w:rPr>
          <w:lang w:val="en-GB"/>
        </w:rPr>
        <w:t>compared with</w:t>
      </w:r>
      <w:r w:rsidR="00F026E8" w:rsidRPr="00FE7622">
        <w:rPr>
          <w:lang w:val="en-GB"/>
        </w:rPr>
        <w:t xml:space="preserve"> placebo analysis</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1940"/>
        <w:gridCol w:w="880"/>
        <w:gridCol w:w="888"/>
        <w:gridCol w:w="2118"/>
        <w:gridCol w:w="621"/>
        <w:gridCol w:w="1963"/>
        <w:gridCol w:w="621"/>
      </w:tblGrid>
      <w:tr w:rsidR="00F026E8" w:rsidRPr="00FE7622" w14:paraId="4957040A" w14:textId="77777777" w:rsidTr="00AF19CC">
        <w:trPr>
          <w:cantSplit/>
        </w:trPr>
        <w:tc>
          <w:tcPr>
            <w:tcW w:w="0" w:type="auto"/>
            <w:shd w:val="clear" w:color="auto" w:fill="auto"/>
          </w:tcPr>
          <w:p w14:paraId="72B019C2" w14:textId="606AA9A4" w:rsidR="00F026E8" w:rsidRPr="00FE7622" w:rsidRDefault="00E038BF" w:rsidP="00AF19CC">
            <w:pPr>
              <w:pStyle w:val="710TableheadTablesTableFigureBoxstyles"/>
              <w:rPr>
                <w:rFonts w:eastAsia="Calibri"/>
              </w:rPr>
            </w:pPr>
            <w:r w:rsidRPr="00FE7622">
              <w:rPr>
                <w:rFonts w:eastAsia="Calibri"/>
              </w:rPr>
              <w:t>Outcome</w:t>
            </w:r>
          </w:p>
        </w:tc>
        <w:tc>
          <w:tcPr>
            <w:tcW w:w="0" w:type="auto"/>
            <w:shd w:val="clear" w:color="auto" w:fill="auto"/>
          </w:tcPr>
          <w:p w14:paraId="68D9243B" w14:textId="76FAE692" w:rsidR="00F026E8" w:rsidRPr="00FE7622" w:rsidRDefault="00E038BF" w:rsidP="00AF19CC">
            <w:pPr>
              <w:pStyle w:val="710TableheadTablesTableFigureBoxstyles"/>
              <w:rPr>
                <w:rFonts w:eastAsia="Calibri"/>
              </w:rPr>
            </w:pPr>
            <w:r w:rsidRPr="00FE7622">
              <w:rPr>
                <w:rFonts w:eastAsia="Calibri"/>
              </w:rPr>
              <w:t>Leucine</w:t>
            </w:r>
          </w:p>
        </w:tc>
        <w:tc>
          <w:tcPr>
            <w:tcW w:w="0" w:type="auto"/>
            <w:shd w:val="clear" w:color="auto" w:fill="auto"/>
          </w:tcPr>
          <w:p w14:paraId="6D4FD5E7" w14:textId="126C61C2" w:rsidR="00F026E8" w:rsidRPr="00FE7622" w:rsidRDefault="00E038BF" w:rsidP="00AF19CC">
            <w:pPr>
              <w:pStyle w:val="710TableheadTablesTableFigureBoxstyles"/>
              <w:rPr>
                <w:rFonts w:eastAsia="Calibri"/>
              </w:rPr>
            </w:pPr>
            <w:r w:rsidRPr="00FE7622">
              <w:rPr>
                <w:rFonts w:eastAsia="Calibri"/>
              </w:rPr>
              <w:t>Placebo</w:t>
            </w:r>
          </w:p>
        </w:tc>
        <w:tc>
          <w:tcPr>
            <w:tcW w:w="0" w:type="auto"/>
            <w:shd w:val="clear" w:color="auto" w:fill="auto"/>
          </w:tcPr>
          <w:p w14:paraId="2ACE0365" w14:textId="62EF068C" w:rsidR="00F026E8" w:rsidRPr="00FE7622" w:rsidRDefault="00E038BF" w:rsidP="00AF19CC">
            <w:pPr>
              <w:pStyle w:val="710TableheadTablesTableFigureBoxstyles"/>
              <w:rPr>
                <w:rFonts w:eastAsia="Calibri"/>
              </w:rPr>
            </w:pPr>
            <w:r w:rsidRPr="00FE7622">
              <w:rPr>
                <w:rFonts w:eastAsia="Calibri"/>
              </w:rPr>
              <w:t xml:space="preserve">Unadjusted treatment effect (95% </w:t>
            </w:r>
            <w:r w:rsidRPr="00842651">
              <w:rPr>
                <w:rFonts w:eastAsia="Calibri"/>
              </w:rPr>
              <w:t>CI</w:t>
            </w:r>
            <w:r w:rsidRPr="00FE7622">
              <w:rPr>
                <w:rFonts w:eastAsia="Calibri"/>
              </w:rPr>
              <w:t>)</w:t>
            </w:r>
          </w:p>
        </w:tc>
        <w:tc>
          <w:tcPr>
            <w:tcW w:w="0" w:type="auto"/>
            <w:shd w:val="clear" w:color="auto" w:fill="auto"/>
          </w:tcPr>
          <w:p w14:paraId="3C64F290" w14:textId="06DB161C"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c>
          <w:tcPr>
            <w:tcW w:w="0" w:type="auto"/>
            <w:shd w:val="clear" w:color="auto" w:fill="auto"/>
          </w:tcPr>
          <w:p w14:paraId="07BA52FC" w14:textId="1DEBDD35" w:rsidR="00F026E8" w:rsidRPr="00FE7622" w:rsidRDefault="00E038BF" w:rsidP="00AF19CC">
            <w:pPr>
              <w:pStyle w:val="710TableheadTablesTableFigureBoxstyles"/>
              <w:rPr>
                <w:rFonts w:eastAsia="Calibri"/>
              </w:rPr>
            </w:pPr>
            <w:r w:rsidRPr="00FE7622">
              <w:rPr>
                <w:rFonts w:eastAsia="Calibri"/>
              </w:rPr>
              <w:t xml:space="preserve">Adjusted treatment effect (95% </w:t>
            </w:r>
            <w:r w:rsidRPr="00842651">
              <w:rPr>
                <w:rFonts w:eastAsia="Calibri"/>
              </w:rPr>
              <w:t>CI</w:t>
            </w:r>
            <w:r w:rsidRPr="00FE7622">
              <w:rPr>
                <w:rFonts w:eastAsia="Calibri"/>
              </w:rPr>
              <w:t>)</w:t>
            </w:r>
          </w:p>
        </w:tc>
        <w:tc>
          <w:tcPr>
            <w:tcW w:w="0" w:type="auto"/>
            <w:shd w:val="clear" w:color="auto" w:fill="auto"/>
          </w:tcPr>
          <w:p w14:paraId="120E4AC4" w14:textId="7C91F418"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r>
      <w:tr w:rsidR="00F026E8" w:rsidRPr="00FE7622" w14:paraId="08FD1677" w14:textId="77777777" w:rsidTr="00AF19CC">
        <w:trPr>
          <w:cantSplit/>
        </w:trPr>
        <w:tc>
          <w:tcPr>
            <w:tcW w:w="0" w:type="auto"/>
            <w:shd w:val="clear" w:color="auto" w:fill="auto"/>
          </w:tcPr>
          <w:p w14:paraId="2A42CE5F" w14:textId="6A3BA001" w:rsidR="00F026E8" w:rsidRPr="00FE7622" w:rsidRDefault="00F026E8" w:rsidP="00AF19CC">
            <w:pPr>
              <w:pStyle w:val="72TabletextTablesTableFigureBoxstyles"/>
              <w:rPr>
                <w:rFonts w:eastAsia="Calibri"/>
              </w:rPr>
            </w:pPr>
            <w:r w:rsidRPr="00FE7622">
              <w:rPr>
                <w:rFonts w:eastAsia="Calibri"/>
                <w:color w:val="auto"/>
              </w:rPr>
              <w:t xml:space="preserve">Baseline </w:t>
            </w:r>
            <w:r w:rsidRPr="00842651">
              <w:rPr>
                <w:rFonts w:eastAsia="Calibri"/>
                <w:color w:val="auto"/>
              </w:rPr>
              <w:t>SPPB</w:t>
            </w:r>
            <w:r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FF3EB13" w14:textId="77777777" w:rsidR="00F026E8" w:rsidRPr="00FE7622" w:rsidRDefault="00F026E8" w:rsidP="00AF19CC">
            <w:pPr>
              <w:pStyle w:val="72TabletextTablesTableFigureBoxstyles"/>
              <w:rPr>
                <w:rFonts w:eastAsia="Calibri"/>
              </w:rPr>
            </w:pPr>
            <w:r w:rsidRPr="00FE7622">
              <w:rPr>
                <w:rFonts w:eastAsia="Calibri"/>
                <w:color w:val="auto"/>
              </w:rPr>
              <w:t>7.0 (72, 2.1)</w:t>
            </w:r>
          </w:p>
        </w:tc>
        <w:tc>
          <w:tcPr>
            <w:tcW w:w="0" w:type="auto"/>
            <w:shd w:val="clear" w:color="auto" w:fill="auto"/>
          </w:tcPr>
          <w:p w14:paraId="2B8E2C91" w14:textId="77777777" w:rsidR="00F026E8" w:rsidRPr="00FE7622" w:rsidRDefault="00F026E8" w:rsidP="00AF19CC">
            <w:pPr>
              <w:pStyle w:val="72TabletextTablesTableFigureBoxstyles"/>
              <w:rPr>
                <w:rFonts w:eastAsia="Calibri"/>
              </w:rPr>
            </w:pPr>
            <w:r w:rsidRPr="00FE7622">
              <w:rPr>
                <w:rFonts w:eastAsia="Calibri"/>
                <w:color w:val="auto"/>
              </w:rPr>
              <w:t>7.0 (73, 2.5)</w:t>
            </w:r>
          </w:p>
        </w:tc>
        <w:tc>
          <w:tcPr>
            <w:tcW w:w="0" w:type="auto"/>
            <w:vMerge w:val="restart"/>
            <w:shd w:val="clear" w:color="auto" w:fill="auto"/>
          </w:tcPr>
          <w:p w14:paraId="14B3D5EA" w14:textId="1704DDC0" w:rsidR="00F026E8" w:rsidRPr="00FE7622" w:rsidRDefault="00F026E8" w:rsidP="00AF19CC">
            <w:pPr>
              <w:pStyle w:val="72TabletextTablesTableFigureBoxstyles"/>
              <w:rPr>
                <w:rFonts w:eastAsia="Calibri"/>
              </w:rPr>
            </w:pPr>
            <w:r w:rsidRPr="00FE7622">
              <w:rPr>
                <w:rFonts w:eastAsia="Calibri"/>
                <w:color w:val="auto"/>
              </w:rPr>
              <w:t>0.1</w:t>
            </w:r>
            <w:r w:rsidR="008910E9" w:rsidRPr="00FE7622">
              <w:rPr>
                <w:rFonts w:eastAsia="Calibri"/>
                <w:color w:val="auto"/>
              </w:rPr>
              <w:t xml:space="preserve"> </w:t>
            </w:r>
            <w:r w:rsidRPr="00FE7622">
              <w:rPr>
                <w:rFonts w:eastAsia="Calibri"/>
                <w:color w:val="auto"/>
              </w:rPr>
              <w:t>(–0.7</w:t>
            </w:r>
            <w:r w:rsidR="00575B20" w:rsidRPr="00FE7622">
              <w:rPr>
                <w:rFonts w:eastAsia="Calibri"/>
                <w:color w:val="auto"/>
              </w:rPr>
              <w:t xml:space="preserve"> to</w:t>
            </w:r>
            <w:r w:rsidRPr="00FE7622">
              <w:rPr>
                <w:rFonts w:eastAsia="Calibri"/>
                <w:color w:val="auto"/>
              </w:rPr>
              <w:t xml:space="preserve"> 0.8)</w:t>
            </w:r>
          </w:p>
        </w:tc>
        <w:tc>
          <w:tcPr>
            <w:tcW w:w="0" w:type="auto"/>
            <w:vMerge w:val="restart"/>
            <w:shd w:val="clear" w:color="auto" w:fill="auto"/>
          </w:tcPr>
          <w:p w14:paraId="52222CE7" w14:textId="77777777" w:rsidR="00F026E8" w:rsidRPr="00FE7622" w:rsidRDefault="00F026E8" w:rsidP="00AF19CC">
            <w:pPr>
              <w:pStyle w:val="72TabletextTablesTableFigureBoxstyles"/>
              <w:rPr>
                <w:rFonts w:eastAsia="Calibri"/>
              </w:rPr>
            </w:pPr>
            <w:r w:rsidRPr="00FE7622">
              <w:rPr>
                <w:rFonts w:eastAsia="Calibri"/>
                <w:color w:val="auto"/>
              </w:rPr>
              <w:t>0.83</w:t>
            </w:r>
          </w:p>
        </w:tc>
        <w:tc>
          <w:tcPr>
            <w:tcW w:w="0" w:type="auto"/>
            <w:vMerge w:val="restart"/>
            <w:shd w:val="clear" w:color="auto" w:fill="auto"/>
          </w:tcPr>
          <w:p w14:paraId="110F7A69" w14:textId="65762858" w:rsidR="00F026E8" w:rsidRPr="00FE7622" w:rsidRDefault="00F026E8" w:rsidP="00AF19CC">
            <w:pPr>
              <w:pStyle w:val="72TabletextTablesTableFigureBoxstyles"/>
              <w:rPr>
                <w:rFonts w:eastAsia="Calibri"/>
              </w:rPr>
            </w:pPr>
            <w:r w:rsidRPr="00FE7622">
              <w:rPr>
                <w:rFonts w:eastAsia="Calibri"/>
                <w:color w:val="auto"/>
              </w:rPr>
              <w:t>0.1</w:t>
            </w:r>
            <w:r w:rsidR="008910E9" w:rsidRPr="00FE7622">
              <w:rPr>
                <w:rFonts w:eastAsia="Calibri"/>
                <w:color w:val="auto"/>
              </w:rPr>
              <w:t xml:space="preserve"> </w:t>
            </w:r>
            <w:r w:rsidRPr="00FE7622">
              <w:rPr>
                <w:rFonts w:eastAsia="Calibri"/>
                <w:color w:val="auto"/>
              </w:rPr>
              <w:t>(–1.0</w:t>
            </w:r>
            <w:r w:rsidR="00575B20" w:rsidRPr="00FE7622">
              <w:rPr>
                <w:rFonts w:eastAsia="Calibri"/>
                <w:color w:val="auto"/>
              </w:rPr>
              <w:t xml:space="preserve"> to</w:t>
            </w:r>
            <w:r w:rsidRPr="00FE7622">
              <w:rPr>
                <w:rFonts w:eastAsia="Calibri"/>
                <w:color w:val="auto"/>
              </w:rPr>
              <w:t xml:space="preserve"> 1.1)</w:t>
            </w:r>
          </w:p>
        </w:tc>
        <w:tc>
          <w:tcPr>
            <w:tcW w:w="0" w:type="auto"/>
            <w:vMerge w:val="restart"/>
            <w:shd w:val="clear" w:color="auto" w:fill="auto"/>
          </w:tcPr>
          <w:p w14:paraId="19D7DB19" w14:textId="77777777" w:rsidR="00F026E8" w:rsidRPr="00FE7622" w:rsidRDefault="00F026E8" w:rsidP="00AF19CC">
            <w:pPr>
              <w:pStyle w:val="72TabletextTablesTableFigureBoxstyles"/>
              <w:rPr>
                <w:rFonts w:eastAsia="Calibri"/>
                <w:color w:val="auto"/>
              </w:rPr>
            </w:pPr>
            <w:r w:rsidRPr="00FE7622">
              <w:rPr>
                <w:rFonts w:eastAsia="Calibri"/>
                <w:color w:val="auto"/>
              </w:rPr>
              <w:t>0.90</w:t>
            </w:r>
          </w:p>
        </w:tc>
      </w:tr>
      <w:tr w:rsidR="00F026E8" w:rsidRPr="00FE7622" w14:paraId="776ED8F3" w14:textId="77777777" w:rsidTr="00AF19CC">
        <w:trPr>
          <w:cantSplit/>
        </w:trPr>
        <w:tc>
          <w:tcPr>
            <w:tcW w:w="0" w:type="auto"/>
            <w:shd w:val="clear" w:color="auto" w:fill="auto"/>
          </w:tcPr>
          <w:p w14:paraId="70539889" w14:textId="0C7638A2" w:rsidR="00F026E8" w:rsidRPr="00FE7622" w:rsidRDefault="00F026E8" w:rsidP="00AF19CC">
            <w:pPr>
              <w:pStyle w:val="72TabletextTablesTableFigureBoxstyles"/>
              <w:rPr>
                <w:rFonts w:eastAsia="Calibri"/>
              </w:rPr>
            </w:pPr>
            <w:r w:rsidRPr="00FE7622">
              <w:rPr>
                <w:rFonts w:eastAsia="Calibri"/>
                <w:color w:val="auto"/>
              </w:rPr>
              <w:t>6</w:t>
            </w:r>
            <w:r w:rsidR="00575B20"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 xml:space="preserve"> </w:t>
            </w:r>
            <w:r w:rsidR="00A267B2" w:rsidRPr="00FE7622">
              <w:rPr>
                <w:rFonts w:eastAsia="Calibri"/>
                <w:color w:val="auto"/>
              </w:rPr>
              <w:t>(</w:t>
            </w:r>
            <w:r w:rsidR="00E038BF" w:rsidRPr="00FE7622">
              <w:rPr>
                <w:rFonts w:eastAsia="Calibri"/>
                <w:i/>
                <w:iCs/>
                <w:color w:val="auto"/>
              </w:rPr>
              <w:t>n</w:t>
            </w:r>
            <w:r w:rsidR="00A267B2" w:rsidRPr="00FE7622">
              <w:rPr>
                <w:rFonts w:eastAsia="Calibri"/>
                <w:color w:val="auto"/>
              </w:rPr>
              <w:t xml:space="preserve">, </w:t>
            </w:r>
            <w:r w:rsidR="00A267B2" w:rsidRPr="00842651">
              <w:rPr>
                <w:rFonts w:eastAsia="Calibri"/>
                <w:color w:val="auto"/>
              </w:rPr>
              <w:t>SD</w:t>
            </w:r>
            <w:r w:rsidR="00A267B2" w:rsidRPr="00FE7622">
              <w:rPr>
                <w:rFonts w:eastAsia="Calibri"/>
                <w:color w:val="auto"/>
              </w:rPr>
              <w:t>)</w:t>
            </w:r>
          </w:p>
        </w:tc>
        <w:tc>
          <w:tcPr>
            <w:tcW w:w="0" w:type="auto"/>
            <w:shd w:val="clear" w:color="auto" w:fill="auto"/>
          </w:tcPr>
          <w:p w14:paraId="520FC0A5" w14:textId="77777777" w:rsidR="00F026E8" w:rsidRPr="00FE7622" w:rsidRDefault="00F026E8" w:rsidP="00AF19CC">
            <w:pPr>
              <w:pStyle w:val="72TabletextTablesTableFigureBoxstyles"/>
              <w:rPr>
                <w:rFonts w:eastAsia="Calibri"/>
              </w:rPr>
            </w:pPr>
            <w:r w:rsidRPr="00FE7622">
              <w:rPr>
                <w:rFonts w:eastAsia="Calibri"/>
                <w:color w:val="auto"/>
              </w:rPr>
              <w:t>7.2 (59, 2.6)</w:t>
            </w:r>
          </w:p>
        </w:tc>
        <w:tc>
          <w:tcPr>
            <w:tcW w:w="0" w:type="auto"/>
            <w:shd w:val="clear" w:color="auto" w:fill="auto"/>
          </w:tcPr>
          <w:p w14:paraId="415E63F7" w14:textId="77777777" w:rsidR="00F026E8" w:rsidRPr="00FE7622" w:rsidRDefault="00F026E8" w:rsidP="00AF19CC">
            <w:pPr>
              <w:pStyle w:val="72TabletextTablesTableFigureBoxstyles"/>
              <w:rPr>
                <w:rFonts w:eastAsia="Calibri"/>
                <w:color w:val="auto"/>
              </w:rPr>
            </w:pPr>
            <w:r w:rsidRPr="00FE7622">
              <w:rPr>
                <w:rFonts w:eastAsia="Calibri"/>
                <w:color w:val="auto"/>
              </w:rPr>
              <w:t>7.1 (62, 2.6)</w:t>
            </w:r>
          </w:p>
        </w:tc>
        <w:tc>
          <w:tcPr>
            <w:tcW w:w="0" w:type="auto"/>
            <w:vMerge/>
            <w:shd w:val="clear" w:color="auto" w:fill="auto"/>
          </w:tcPr>
          <w:p w14:paraId="5D2DD564" w14:textId="77777777" w:rsidR="00F026E8" w:rsidRPr="00FE7622" w:rsidRDefault="00F026E8" w:rsidP="00AF19CC">
            <w:pPr>
              <w:spacing w:line="360" w:lineRule="auto"/>
              <w:rPr>
                <w:rFonts w:eastAsia="Calibri" w:cs="Calibri"/>
              </w:rPr>
            </w:pPr>
          </w:p>
        </w:tc>
        <w:tc>
          <w:tcPr>
            <w:tcW w:w="0" w:type="auto"/>
            <w:vMerge/>
            <w:shd w:val="clear" w:color="auto" w:fill="auto"/>
          </w:tcPr>
          <w:p w14:paraId="4260554A" w14:textId="77777777" w:rsidR="00F026E8" w:rsidRPr="00FE7622" w:rsidRDefault="00F026E8" w:rsidP="00AF19CC">
            <w:pPr>
              <w:spacing w:line="360" w:lineRule="auto"/>
              <w:rPr>
                <w:rFonts w:eastAsia="Calibri" w:cs="Calibri"/>
              </w:rPr>
            </w:pPr>
          </w:p>
        </w:tc>
        <w:tc>
          <w:tcPr>
            <w:tcW w:w="0" w:type="auto"/>
            <w:vMerge/>
            <w:shd w:val="clear" w:color="auto" w:fill="auto"/>
          </w:tcPr>
          <w:p w14:paraId="04B4CA4F" w14:textId="77777777" w:rsidR="00F026E8" w:rsidRPr="00FE7622" w:rsidRDefault="00F026E8" w:rsidP="00AF19CC">
            <w:pPr>
              <w:spacing w:line="360" w:lineRule="auto"/>
              <w:rPr>
                <w:rFonts w:eastAsia="Calibri" w:cs="Calibri"/>
              </w:rPr>
            </w:pPr>
          </w:p>
        </w:tc>
        <w:tc>
          <w:tcPr>
            <w:tcW w:w="0" w:type="auto"/>
            <w:vMerge/>
            <w:shd w:val="clear" w:color="auto" w:fill="auto"/>
          </w:tcPr>
          <w:p w14:paraId="26C1E4AF" w14:textId="77777777" w:rsidR="00F026E8" w:rsidRPr="00FE7622" w:rsidRDefault="00F026E8" w:rsidP="00AF19CC">
            <w:pPr>
              <w:spacing w:line="360" w:lineRule="auto"/>
              <w:rPr>
                <w:rFonts w:eastAsia="Calibri" w:cs="Calibri"/>
              </w:rPr>
            </w:pPr>
          </w:p>
        </w:tc>
      </w:tr>
      <w:tr w:rsidR="00F026E8" w:rsidRPr="00FE7622" w14:paraId="4D5D41E9" w14:textId="77777777" w:rsidTr="00AF19CC">
        <w:trPr>
          <w:cantSplit/>
        </w:trPr>
        <w:tc>
          <w:tcPr>
            <w:tcW w:w="0" w:type="auto"/>
            <w:shd w:val="clear" w:color="auto" w:fill="auto"/>
          </w:tcPr>
          <w:p w14:paraId="7285D823" w14:textId="2E675267" w:rsidR="00F026E8" w:rsidRPr="00FE7622" w:rsidRDefault="00F026E8" w:rsidP="00AF19CC">
            <w:pPr>
              <w:pStyle w:val="72TabletextTablesTableFigureBoxstyles"/>
              <w:rPr>
                <w:rFonts w:eastAsia="Calibri"/>
              </w:rPr>
            </w:pPr>
            <w:r w:rsidRPr="00FE7622">
              <w:rPr>
                <w:rFonts w:eastAsia="Calibri"/>
                <w:color w:val="auto"/>
              </w:rPr>
              <w:t>12</w:t>
            </w:r>
            <w:r w:rsidR="00575B20"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 xml:space="preserve"> </w:t>
            </w:r>
            <w:r w:rsidR="00A267B2" w:rsidRPr="00FE7622">
              <w:rPr>
                <w:rFonts w:eastAsia="Calibri"/>
                <w:color w:val="auto"/>
              </w:rPr>
              <w:t>(</w:t>
            </w:r>
            <w:r w:rsidR="00E038BF" w:rsidRPr="00FE7622">
              <w:rPr>
                <w:rFonts w:eastAsia="Calibri"/>
                <w:i/>
                <w:iCs/>
                <w:color w:val="auto"/>
              </w:rPr>
              <w:t>n</w:t>
            </w:r>
            <w:r w:rsidR="00A267B2" w:rsidRPr="00FE7622">
              <w:rPr>
                <w:rFonts w:eastAsia="Calibri"/>
                <w:color w:val="auto"/>
              </w:rPr>
              <w:t xml:space="preserve">, </w:t>
            </w:r>
            <w:r w:rsidR="00A267B2" w:rsidRPr="00842651">
              <w:rPr>
                <w:rFonts w:eastAsia="Calibri"/>
                <w:color w:val="auto"/>
              </w:rPr>
              <w:t>SD</w:t>
            </w:r>
            <w:r w:rsidR="00A267B2" w:rsidRPr="00FE7622">
              <w:rPr>
                <w:rFonts w:eastAsia="Calibri"/>
                <w:color w:val="auto"/>
              </w:rPr>
              <w:t>)</w:t>
            </w:r>
          </w:p>
        </w:tc>
        <w:tc>
          <w:tcPr>
            <w:tcW w:w="0" w:type="auto"/>
            <w:shd w:val="clear" w:color="auto" w:fill="auto"/>
          </w:tcPr>
          <w:p w14:paraId="13C1AC48" w14:textId="77777777" w:rsidR="00F026E8" w:rsidRPr="00FE7622" w:rsidRDefault="00F026E8" w:rsidP="00AF19CC">
            <w:pPr>
              <w:pStyle w:val="72TabletextTablesTableFigureBoxstyles"/>
              <w:rPr>
                <w:rFonts w:eastAsia="Calibri"/>
              </w:rPr>
            </w:pPr>
            <w:r w:rsidRPr="00FE7622">
              <w:rPr>
                <w:rFonts w:eastAsia="Calibri"/>
                <w:color w:val="auto"/>
              </w:rPr>
              <w:t>7.3 (52, 2.7)</w:t>
            </w:r>
          </w:p>
        </w:tc>
        <w:tc>
          <w:tcPr>
            <w:tcW w:w="0" w:type="auto"/>
            <w:shd w:val="clear" w:color="auto" w:fill="auto"/>
          </w:tcPr>
          <w:p w14:paraId="07FAF97C" w14:textId="77777777" w:rsidR="00F026E8" w:rsidRPr="00FE7622" w:rsidRDefault="00F026E8" w:rsidP="00AF19CC">
            <w:pPr>
              <w:pStyle w:val="72TabletextTablesTableFigureBoxstyles"/>
              <w:rPr>
                <w:rFonts w:eastAsia="Calibri"/>
                <w:color w:val="auto"/>
              </w:rPr>
            </w:pPr>
            <w:r w:rsidRPr="00FE7622">
              <w:rPr>
                <w:rFonts w:eastAsia="Calibri"/>
                <w:color w:val="auto"/>
              </w:rPr>
              <w:t>7.5 (57, 2.8)</w:t>
            </w:r>
          </w:p>
        </w:tc>
        <w:tc>
          <w:tcPr>
            <w:tcW w:w="0" w:type="auto"/>
            <w:vMerge/>
            <w:shd w:val="clear" w:color="auto" w:fill="auto"/>
          </w:tcPr>
          <w:p w14:paraId="4241CDC8" w14:textId="77777777" w:rsidR="00F026E8" w:rsidRPr="00FE7622" w:rsidRDefault="00F026E8" w:rsidP="00AF19CC">
            <w:pPr>
              <w:spacing w:line="360" w:lineRule="auto"/>
              <w:rPr>
                <w:rFonts w:eastAsia="Calibri" w:cs="Calibri"/>
              </w:rPr>
            </w:pPr>
          </w:p>
        </w:tc>
        <w:tc>
          <w:tcPr>
            <w:tcW w:w="0" w:type="auto"/>
            <w:vMerge/>
            <w:shd w:val="clear" w:color="auto" w:fill="auto"/>
          </w:tcPr>
          <w:p w14:paraId="71805349" w14:textId="77777777" w:rsidR="00F026E8" w:rsidRPr="00FE7622" w:rsidRDefault="00F026E8" w:rsidP="00AF19CC">
            <w:pPr>
              <w:spacing w:line="360" w:lineRule="auto"/>
              <w:rPr>
                <w:rFonts w:eastAsia="Calibri" w:cs="Calibri"/>
              </w:rPr>
            </w:pPr>
          </w:p>
        </w:tc>
        <w:tc>
          <w:tcPr>
            <w:tcW w:w="0" w:type="auto"/>
            <w:vMerge/>
            <w:shd w:val="clear" w:color="auto" w:fill="auto"/>
          </w:tcPr>
          <w:p w14:paraId="63080B5B" w14:textId="77777777" w:rsidR="00F026E8" w:rsidRPr="00FE7622" w:rsidRDefault="00F026E8" w:rsidP="00AF19CC">
            <w:pPr>
              <w:spacing w:line="360" w:lineRule="auto"/>
              <w:rPr>
                <w:rFonts w:eastAsia="Calibri" w:cs="Calibri"/>
              </w:rPr>
            </w:pPr>
          </w:p>
        </w:tc>
        <w:tc>
          <w:tcPr>
            <w:tcW w:w="0" w:type="auto"/>
            <w:vMerge/>
            <w:shd w:val="clear" w:color="auto" w:fill="auto"/>
          </w:tcPr>
          <w:p w14:paraId="46A89B5E" w14:textId="77777777" w:rsidR="00F026E8" w:rsidRPr="00FE7622" w:rsidRDefault="00F026E8" w:rsidP="00AF19CC">
            <w:pPr>
              <w:spacing w:line="360" w:lineRule="auto"/>
              <w:rPr>
                <w:rFonts w:eastAsia="Calibri" w:cs="Calibri"/>
              </w:rPr>
            </w:pPr>
          </w:p>
        </w:tc>
      </w:tr>
      <w:tr w:rsidR="00F026E8" w:rsidRPr="00FE7622" w14:paraId="2808EC42" w14:textId="77777777" w:rsidTr="00AF19CC">
        <w:trPr>
          <w:cantSplit/>
        </w:trPr>
        <w:tc>
          <w:tcPr>
            <w:tcW w:w="0" w:type="auto"/>
            <w:gridSpan w:val="7"/>
            <w:shd w:val="clear" w:color="auto" w:fill="auto"/>
          </w:tcPr>
          <w:p w14:paraId="0DB65C8B" w14:textId="064E459E" w:rsidR="00F026E8" w:rsidRPr="00FE7622" w:rsidRDefault="00E038BF" w:rsidP="00AF19CC">
            <w:pPr>
              <w:pStyle w:val="711TablesubheadATablesTableFigureBoxstyles"/>
              <w:rPr>
                <w:rFonts w:eastAsia="Calibri"/>
                <w:color w:val="auto"/>
              </w:rPr>
            </w:pPr>
            <w:r w:rsidRPr="00FE7622">
              <w:rPr>
                <w:rFonts w:eastAsia="Calibri"/>
                <w:color w:val="auto"/>
              </w:rPr>
              <w:t>Sensitivity analysis (12 months only)</w:t>
            </w:r>
          </w:p>
        </w:tc>
      </w:tr>
      <w:tr w:rsidR="00F026E8" w:rsidRPr="00FE7622" w14:paraId="65835CA8" w14:textId="77777777" w:rsidTr="00AF19CC">
        <w:trPr>
          <w:cantSplit/>
        </w:trPr>
        <w:tc>
          <w:tcPr>
            <w:tcW w:w="0" w:type="auto"/>
            <w:shd w:val="clear" w:color="auto" w:fill="auto"/>
          </w:tcPr>
          <w:p w14:paraId="795C5672" w14:textId="0BAE9EB9" w:rsidR="00F026E8" w:rsidRPr="00FE7622" w:rsidRDefault="00F026E8" w:rsidP="00AF19CC">
            <w:pPr>
              <w:pStyle w:val="72TabletextTablesTableFigureBoxstyles"/>
              <w:rPr>
                <w:rFonts w:eastAsia="Calibri"/>
              </w:rPr>
            </w:pPr>
            <w:r w:rsidRPr="00FE7622">
              <w:rPr>
                <w:rFonts w:eastAsia="Calibri"/>
                <w:color w:val="auto"/>
              </w:rPr>
              <w:t>12</w:t>
            </w:r>
            <w:r w:rsidR="00575B20"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 xml:space="preserve"> </w:t>
            </w:r>
            <w:r w:rsidR="00A267B2" w:rsidRPr="00FE7622">
              <w:rPr>
                <w:rFonts w:eastAsia="Calibri"/>
                <w:color w:val="auto"/>
              </w:rPr>
              <w:t>(</w:t>
            </w:r>
            <w:r w:rsidR="00E038BF" w:rsidRPr="00FE7622">
              <w:rPr>
                <w:rFonts w:eastAsia="Calibri"/>
                <w:i/>
                <w:iCs/>
                <w:color w:val="auto"/>
              </w:rPr>
              <w:t>n</w:t>
            </w:r>
            <w:r w:rsidR="00A267B2" w:rsidRPr="00FE7622">
              <w:rPr>
                <w:rFonts w:eastAsia="Calibri"/>
                <w:color w:val="auto"/>
              </w:rPr>
              <w:t xml:space="preserve">, </w:t>
            </w:r>
            <w:r w:rsidR="00A267B2" w:rsidRPr="00842651">
              <w:rPr>
                <w:rFonts w:eastAsia="Calibri"/>
                <w:color w:val="auto"/>
              </w:rPr>
              <w:t>SD</w:t>
            </w:r>
            <w:r w:rsidR="00A267B2" w:rsidRPr="00FE7622">
              <w:rPr>
                <w:rFonts w:eastAsia="Calibri"/>
                <w:color w:val="auto"/>
              </w:rPr>
              <w:t>)</w:t>
            </w:r>
          </w:p>
        </w:tc>
        <w:tc>
          <w:tcPr>
            <w:tcW w:w="0" w:type="auto"/>
            <w:shd w:val="clear" w:color="auto" w:fill="auto"/>
          </w:tcPr>
          <w:p w14:paraId="666D55A3" w14:textId="77777777" w:rsidR="00F026E8" w:rsidRPr="00FE7622" w:rsidRDefault="00F026E8" w:rsidP="00AF19CC">
            <w:pPr>
              <w:pStyle w:val="72TabletextTablesTableFigureBoxstyles"/>
              <w:rPr>
                <w:rFonts w:eastAsia="Calibri"/>
              </w:rPr>
            </w:pPr>
            <w:r w:rsidRPr="00FE7622">
              <w:rPr>
                <w:rFonts w:eastAsia="Calibri"/>
                <w:color w:val="auto"/>
              </w:rPr>
              <w:t>7.3 (52, 2.7)</w:t>
            </w:r>
          </w:p>
        </w:tc>
        <w:tc>
          <w:tcPr>
            <w:tcW w:w="0" w:type="auto"/>
            <w:shd w:val="clear" w:color="auto" w:fill="auto"/>
          </w:tcPr>
          <w:p w14:paraId="0B7B42BB" w14:textId="77777777" w:rsidR="00F026E8" w:rsidRPr="00FE7622" w:rsidRDefault="00F026E8" w:rsidP="00AF19CC">
            <w:pPr>
              <w:pStyle w:val="72TabletextTablesTableFigureBoxstyles"/>
              <w:rPr>
                <w:rFonts w:eastAsia="Calibri"/>
              </w:rPr>
            </w:pPr>
            <w:r w:rsidRPr="00FE7622">
              <w:rPr>
                <w:rFonts w:eastAsia="Calibri"/>
                <w:color w:val="auto"/>
              </w:rPr>
              <w:t>7.5 (57, 2.8)</w:t>
            </w:r>
          </w:p>
        </w:tc>
        <w:tc>
          <w:tcPr>
            <w:tcW w:w="0" w:type="auto"/>
            <w:shd w:val="clear" w:color="auto" w:fill="auto"/>
          </w:tcPr>
          <w:p w14:paraId="12BBC4B9" w14:textId="45E25F00" w:rsidR="00F026E8" w:rsidRPr="00FE7622" w:rsidRDefault="00F026E8" w:rsidP="00AF19CC">
            <w:pPr>
              <w:pStyle w:val="72TabletextTablesTableFigureBoxstyles"/>
              <w:rPr>
                <w:rFonts w:eastAsia="Calibri"/>
              </w:rPr>
            </w:pPr>
            <w:r w:rsidRPr="00FE7622">
              <w:rPr>
                <w:rFonts w:eastAsia="Calibri"/>
                <w:color w:val="auto"/>
              </w:rPr>
              <w:t>0.0 (–0.8</w:t>
            </w:r>
            <w:r w:rsidR="00575B20" w:rsidRPr="00FE7622">
              <w:rPr>
                <w:rFonts w:eastAsia="Calibri"/>
                <w:color w:val="auto"/>
              </w:rPr>
              <w:t xml:space="preserve"> to</w:t>
            </w:r>
            <w:r w:rsidRPr="00FE7622">
              <w:rPr>
                <w:rFonts w:eastAsia="Calibri"/>
                <w:color w:val="auto"/>
              </w:rPr>
              <w:t xml:space="preserve"> 0.8)</w:t>
            </w:r>
          </w:p>
        </w:tc>
        <w:tc>
          <w:tcPr>
            <w:tcW w:w="0" w:type="auto"/>
            <w:shd w:val="clear" w:color="auto" w:fill="auto"/>
          </w:tcPr>
          <w:p w14:paraId="487696F1" w14:textId="77777777" w:rsidR="00F026E8" w:rsidRPr="00FE7622" w:rsidRDefault="00F026E8" w:rsidP="00AF19CC">
            <w:pPr>
              <w:pStyle w:val="72TabletextTablesTableFigureBoxstyles"/>
              <w:rPr>
                <w:rFonts w:eastAsia="Calibri"/>
                <w:color w:val="auto"/>
              </w:rPr>
            </w:pPr>
            <w:r w:rsidRPr="00FE7622">
              <w:rPr>
                <w:rFonts w:eastAsia="Calibri"/>
                <w:color w:val="auto"/>
              </w:rPr>
              <w:t>0.98</w:t>
            </w:r>
          </w:p>
        </w:tc>
        <w:tc>
          <w:tcPr>
            <w:tcW w:w="0" w:type="auto"/>
            <w:shd w:val="clear" w:color="auto" w:fill="auto"/>
          </w:tcPr>
          <w:p w14:paraId="08897C10" w14:textId="48AF168A" w:rsidR="00F026E8" w:rsidRPr="00FE7622" w:rsidRDefault="00F026E8" w:rsidP="00AF19CC">
            <w:pPr>
              <w:pStyle w:val="72TabletextTablesTableFigureBoxstyles"/>
              <w:rPr>
                <w:rFonts w:eastAsia="Calibri"/>
              </w:rPr>
            </w:pPr>
            <w:r w:rsidRPr="00FE7622">
              <w:rPr>
                <w:rFonts w:eastAsia="Calibri"/>
                <w:color w:val="auto"/>
              </w:rPr>
              <w:t>–0.5 (–3.1</w:t>
            </w:r>
            <w:r w:rsidR="00575B20" w:rsidRPr="00FE7622">
              <w:rPr>
                <w:rFonts w:eastAsia="Calibri"/>
                <w:color w:val="auto"/>
              </w:rPr>
              <w:t xml:space="preserve"> to</w:t>
            </w:r>
            <w:r w:rsidRPr="00FE7622">
              <w:rPr>
                <w:rFonts w:eastAsia="Calibri"/>
                <w:color w:val="auto"/>
              </w:rPr>
              <w:t xml:space="preserve"> 2.0)</w:t>
            </w:r>
          </w:p>
        </w:tc>
        <w:tc>
          <w:tcPr>
            <w:tcW w:w="0" w:type="auto"/>
            <w:shd w:val="clear" w:color="auto" w:fill="auto"/>
          </w:tcPr>
          <w:p w14:paraId="1D69237E" w14:textId="77777777" w:rsidR="00F026E8" w:rsidRPr="00FE7622" w:rsidRDefault="00F026E8" w:rsidP="00AF19CC">
            <w:pPr>
              <w:pStyle w:val="72TabletextTablesTableFigureBoxstyles"/>
              <w:rPr>
                <w:rFonts w:eastAsia="Calibri"/>
                <w:color w:val="auto"/>
              </w:rPr>
            </w:pPr>
            <w:r w:rsidRPr="00FE7622">
              <w:rPr>
                <w:rFonts w:eastAsia="Calibri"/>
                <w:color w:val="auto"/>
              </w:rPr>
              <w:t>0.66</w:t>
            </w:r>
          </w:p>
        </w:tc>
      </w:tr>
      <w:tr w:rsidR="00F026E8" w:rsidRPr="00FE7622" w14:paraId="60AEBEF2" w14:textId="77777777" w:rsidTr="00AF19CC">
        <w:trPr>
          <w:cantSplit/>
        </w:trPr>
        <w:tc>
          <w:tcPr>
            <w:tcW w:w="0" w:type="auto"/>
            <w:shd w:val="clear" w:color="auto" w:fill="auto"/>
          </w:tcPr>
          <w:p w14:paraId="7333412D" w14:textId="62EA4ADE" w:rsidR="00F026E8" w:rsidRPr="00FE7622" w:rsidRDefault="00F026E8" w:rsidP="00AF19CC">
            <w:pPr>
              <w:pStyle w:val="72TabletextTablesTableFigureBoxstyles"/>
              <w:rPr>
                <w:rFonts w:eastAsia="Calibri"/>
              </w:rPr>
            </w:pPr>
            <w:r w:rsidRPr="00FE7622">
              <w:rPr>
                <w:rFonts w:eastAsia="Calibri"/>
                <w:color w:val="auto"/>
              </w:rPr>
              <w:t>12</w:t>
            </w:r>
            <w:r w:rsidR="00575B20" w:rsidRPr="00FE7622">
              <w:rPr>
                <w:rFonts w:eastAsia="Calibri"/>
                <w:color w:val="auto"/>
              </w:rPr>
              <w:t>-</w:t>
            </w:r>
            <w:r w:rsidRPr="00FE7622">
              <w:rPr>
                <w:rFonts w:eastAsia="Calibri"/>
                <w:color w:val="auto"/>
              </w:rPr>
              <w:t xml:space="preserve">month </w:t>
            </w:r>
            <w:r w:rsidRPr="00842651">
              <w:rPr>
                <w:rFonts w:eastAsia="Calibri"/>
                <w:color w:val="auto"/>
              </w:rPr>
              <w:t>SPPB</w:t>
            </w:r>
            <w:r w:rsidRPr="00FE7622">
              <w:rPr>
                <w:rFonts w:eastAsia="Calibri"/>
                <w:color w:val="auto"/>
              </w:rPr>
              <w:t>,</w:t>
            </w:r>
            <w:r w:rsidR="00575B20" w:rsidRPr="00FE7622">
              <w:rPr>
                <w:rFonts w:eastAsia="Calibri"/>
                <w:color w:val="auto"/>
              </w:rPr>
              <w:t xml:space="preserve"> </w:t>
            </w:r>
            <w:r w:rsidRPr="00FE7622">
              <w:rPr>
                <w:rFonts w:eastAsia="Calibri"/>
                <w:color w:val="auto"/>
              </w:rPr>
              <w:t>worst-case</w:t>
            </w:r>
            <w:r w:rsidR="00E038BF" w:rsidRPr="00FE7622">
              <w:rPr>
                <w:rFonts w:eastAsia="Calibri"/>
                <w:color w:val="auto"/>
                <w:vertAlign w:val="superscript"/>
              </w:rPr>
              <w:t>a</w:t>
            </w:r>
            <w:r w:rsidRPr="00FE7622">
              <w:rPr>
                <w:rFonts w:eastAsia="Calibri"/>
                <w:color w:val="auto"/>
              </w:rPr>
              <w:t xml:space="preserve"> </w:t>
            </w:r>
            <w:r w:rsidR="00A267B2" w:rsidRPr="00FE7622">
              <w:rPr>
                <w:rFonts w:eastAsia="Calibri"/>
                <w:color w:val="auto"/>
              </w:rPr>
              <w:t>(</w:t>
            </w:r>
            <w:r w:rsidR="00E038BF" w:rsidRPr="00FE7622">
              <w:rPr>
                <w:rFonts w:eastAsia="Calibri"/>
                <w:i/>
                <w:iCs/>
                <w:color w:val="auto"/>
              </w:rPr>
              <w:t>n</w:t>
            </w:r>
            <w:r w:rsidR="00A267B2" w:rsidRPr="00FE7622">
              <w:rPr>
                <w:rFonts w:eastAsia="Calibri"/>
                <w:color w:val="auto"/>
              </w:rPr>
              <w:t xml:space="preserve">, </w:t>
            </w:r>
            <w:r w:rsidR="00A267B2" w:rsidRPr="00842651">
              <w:rPr>
                <w:rFonts w:eastAsia="Calibri"/>
                <w:color w:val="auto"/>
              </w:rPr>
              <w:t>SD</w:t>
            </w:r>
            <w:r w:rsidR="00A267B2" w:rsidRPr="00FE7622">
              <w:rPr>
                <w:rFonts w:eastAsia="Calibri"/>
                <w:color w:val="auto"/>
              </w:rPr>
              <w:t>)</w:t>
            </w:r>
          </w:p>
        </w:tc>
        <w:tc>
          <w:tcPr>
            <w:tcW w:w="0" w:type="auto"/>
            <w:shd w:val="clear" w:color="auto" w:fill="auto"/>
          </w:tcPr>
          <w:p w14:paraId="10585542" w14:textId="77777777" w:rsidR="00F026E8" w:rsidRPr="00FE7622" w:rsidRDefault="00F026E8" w:rsidP="00AF19CC">
            <w:pPr>
              <w:pStyle w:val="72TabletextTablesTableFigureBoxstyles"/>
              <w:rPr>
                <w:rFonts w:eastAsia="Calibri"/>
              </w:rPr>
            </w:pPr>
            <w:r w:rsidRPr="00FE7622">
              <w:rPr>
                <w:rFonts w:eastAsia="Calibri"/>
                <w:color w:val="auto"/>
              </w:rPr>
              <w:t>5.3 (72, 4.0)</w:t>
            </w:r>
          </w:p>
        </w:tc>
        <w:tc>
          <w:tcPr>
            <w:tcW w:w="0" w:type="auto"/>
            <w:shd w:val="clear" w:color="auto" w:fill="auto"/>
          </w:tcPr>
          <w:p w14:paraId="27CB8CD6" w14:textId="77777777" w:rsidR="00F026E8" w:rsidRPr="00FE7622" w:rsidRDefault="00F026E8" w:rsidP="00AF19CC">
            <w:pPr>
              <w:pStyle w:val="72TabletextTablesTableFigureBoxstyles"/>
              <w:rPr>
                <w:rFonts w:eastAsia="Calibri"/>
                <w:color w:val="auto"/>
              </w:rPr>
            </w:pPr>
            <w:r w:rsidRPr="00FE7622">
              <w:rPr>
                <w:rFonts w:eastAsia="Calibri"/>
                <w:color w:val="auto"/>
              </w:rPr>
              <w:t>5.8 (73, 4.0)</w:t>
            </w:r>
          </w:p>
        </w:tc>
        <w:tc>
          <w:tcPr>
            <w:tcW w:w="0" w:type="auto"/>
            <w:shd w:val="clear" w:color="auto" w:fill="auto"/>
          </w:tcPr>
          <w:p w14:paraId="46E6A8A3" w14:textId="23C8862E" w:rsidR="00F026E8" w:rsidRPr="00FE7622" w:rsidRDefault="00F026E8" w:rsidP="00AF19CC">
            <w:pPr>
              <w:pStyle w:val="72TabletextTablesTableFigureBoxstyles"/>
              <w:rPr>
                <w:rFonts w:eastAsia="Calibri"/>
              </w:rPr>
            </w:pPr>
            <w:r w:rsidRPr="00FE7622">
              <w:rPr>
                <w:rFonts w:eastAsia="Calibri"/>
                <w:color w:val="auto"/>
              </w:rPr>
              <w:t>–0.6 (–1.8</w:t>
            </w:r>
            <w:r w:rsidR="00575B20" w:rsidRPr="00FE7622">
              <w:rPr>
                <w:rFonts w:eastAsia="Calibri"/>
                <w:color w:val="auto"/>
              </w:rPr>
              <w:t xml:space="preserve"> to</w:t>
            </w:r>
            <w:r w:rsidRPr="00FE7622">
              <w:rPr>
                <w:rFonts w:eastAsia="Calibri"/>
                <w:color w:val="auto"/>
              </w:rPr>
              <w:t xml:space="preserve"> 0.6)</w:t>
            </w:r>
          </w:p>
        </w:tc>
        <w:tc>
          <w:tcPr>
            <w:tcW w:w="0" w:type="auto"/>
            <w:shd w:val="clear" w:color="auto" w:fill="auto"/>
          </w:tcPr>
          <w:p w14:paraId="19E04637" w14:textId="77777777" w:rsidR="00F026E8" w:rsidRPr="00FE7622" w:rsidRDefault="00F026E8" w:rsidP="00AF19CC">
            <w:pPr>
              <w:pStyle w:val="72TabletextTablesTableFigureBoxstyles"/>
              <w:rPr>
                <w:rFonts w:eastAsia="Calibri"/>
              </w:rPr>
            </w:pPr>
            <w:r w:rsidRPr="00FE7622">
              <w:rPr>
                <w:rFonts w:eastAsia="Calibri"/>
                <w:color w:val="auto"/>
              </w:rPr>
              <w:t>0.34</w:t>
            </w:r>
          </w:p>
        </w:tc>
        <w:tc>
          <w:tcPr>
            <w:tcW w:w="0" w:type="auto"/>
            <w:shd w:val="clear" w:color="auto" w:fill="auto"/>
          </w:tcPr>
          <w:p w14:paraId="4BF26D05" w14:textId="274FF5E9" w:rsidR="00F026E8" w:rsidRPr="00FE7622" w:rsidRDefault="00F026E8" w:rsidP="00AF19CC">
            <w:pPr>
              <w:pStyle w:val="72TabletextTablesTableFigureBoxstyles"/>
              <w:rPr>
                <w:rFonts w:eastAsia="Calibri"/>
              </w:rPr>
            </w:pPr>
            <w:r w:rsidRPr="00FE7622">
              <w:rPr>
                <w:rFonts w:eastAsia="Calibri"/>
                <w:color w:val="auto"/>
              </w:rPr>
              <w:t>0.6 (–1.9</w:t>
            </w:r>
            <w:r w:rsidR="00575B20" w:rsidRPr="00FE7622">
              <w:rPr>
                <w:rFonts w:eastAsia="Calibri"/>
                <w:color w:val="auto"/>
              </w:rPr>
              <w:t xml:space="preserve"> to</w:t>
            </w:r>
            <w:r w:rsidRPr="00FE7622">
              <w:rPr>
                <w:rFonts w:eastAsia="Calibri"/>
                <w:color w:val="auto"/>
              </w:rPr>
              <w:t xml:space="preserve"> 3.1)</w:t>
            </w:r>
          </w:p>
        </w:tc>
        <w:tc>
          <w:tcPr>
            <w:tcW w:w="0" w:type="auto"/>
            <w:shd w:val="clear" w:color="auto" w:fill="auto"/>
          </w:tcPr>
          <w:p w14:paraId="2E4D25C5" w14:textId="77777777" w:rsidR="00F026E8" w:rsidRPr="00FE7622" w:rsidRDefault="00F026E8" w:rsidP="00AF19CC">
            <w:pPr>
              <w:pStyle w:val="72TabletextTablesTableFigureBoxstyles"/>
              <w:rPr>
                <w:rFonts w:eastAsia="Calibri"/>
                <w:color w:val="auto"/>
              </w:rPr>
            </w:pPr>
            <w:r w:rsidRPr="00FE7622">
              <w:rPr>
                <w:rFonts w:eastAsia="Calibri"/>
                <w:color w:val="auto"/>
              </w:rPr>
              <w:t>0.60</w:t>
            </w:r>
          </w:p>
        </w:tc>
      </w:tr>
      <w:tr w:rsidR="00F026E8" w:rsidRPr="00FE7622" w14:paraId="5D8246B4" w14:textId="77777777" w:rsidTr="00AF19CC">
        <w:trPr>
          <w:cantSplit/>
        </w:trPr>
        <w:tc>
          <w:tcPr>
            <w:tcW w:w="0" w:type="auto"/>
            <w:gridSpan w:val="7"/>
            <w:shd w:val="clear" w:color="auto" w:fill="auto"/>
          </w:tcPr>
          <w:p w14:paraId="76749601" w14:textId="3D7F9C05" w:rsidR="00F026E8" w:rsidRPr="00FE7622" w:rsidRDefault="00575B20" w:rsidP="00AF19CC">
            <w:pPr>
              <w:pStyle w:val="75TablenotesTablesTableFigureBoxstyles"/>
              <w:rPr>
                <w:lang w:val="en-GB"/>
              </w:rPr>
            </w:pPr>
            <w:r w:rsidRPr="00FE7622">
              <w:rPr>
                <w:lang w:val="en-GB"/>
              </w:rPr>
              <w:t>a</w:t>
            </w:r>
            <w:r w:rsidRPr="00FE7622">
              <w:rPr>
                <w:lang w:val="en-GB"/>
              </w:rPr>
              <w:tab/>
            </w:r>
            <w:r w:rsidR="00F026E8" w:rsidRPr="00FE7622">
              <w:rPr>
                <w:lang w:val="en-GB"/>
              </w:rPr>
              <w:t xml:space="preserve">Imputing </w:t>
            </w:r>
            <w:r w:rsidR="00F026E8" w:rsidRPr="00842651">
              <w:rPr>
                <w:lang w:val="en-GB"/>
              </w:rPr>
              <w:t>SPPB</w:t>
            </w:r>
            <w:r w:rsidR="00372DD7" w:rsidRPr="00FE7622">
              <w:rPr>
                <w:lang w:val="en-GB"/>
              </w:rPr>
              <w:t> = </w:t>
            </w:r>
            <w:r w:rsidR="00F026E8" w:rsidRPr="00FE7622">
              <w:rPr>
                <w:lang w:val="en-GB"/>
              </w:rPr>
              <w:t>0 for missing data</w:t>
            </w:r>
            <w:r w:rsidRPr="00FE7622">
              <w:rPr>
                <w:lang w:val="en-GB"/>
              </w:rPr>
              <w:t>.</w:t>
            </w:r>
          </w:p>
          <w:p w14:paraId="71AB8E62" w14:textId="684EB7D8" w:rsidR="00F026E8" w:rsidRPr="00FE7622" w:rsidRDefault="00F026E8" w:rsidP="00AF19CC">
            <w:pPr>
              <w:pStyle w:val="75TablenotesTablesTableFigureBoxstyles"/>
              <w:rPr>
                <w:rFonts w:eastAsia="Calibri" w:cs="Calibri"/>
                <w:lang w:val="en-GB"/>
              </w:rPr>
            </w:pPr>
            <w:r w:rsidRPr="00FE7622">
              <w:rPr>
                <w:lang w:val="en-GB"/>
              </w:rPr>
              <w:t xml:space="preserve">Adjusted analyses adjusted for age, sex, </w:t>
            </w:r>
            <w:r w:rsidRPr="00842651">
              <w:rPr>
                <w:lang w:val="en-GB"/>
              </w:rPr>
              <w:t>SPPB</w:t>
            </w:r>
            <w:r w:rsidRPr="00FE7622">
              <w:rPr>
                <w:lang w:val="en-GB"/>
              </w:rPr>
              <w:t xml:space="preserve">, Charlson Comorbidity </w:t>
            </w:r>
            <w:r w:rsidR="00375182" w:rsidRPr="00FE7622">
              <w:rPr>
                <w:lang w:val="en-GB"/>
              </w:rPr>
              <w:t>Index s</w:t>
            </w:r>
            <w:r w:rsidRPr="00FE7622">
              <w:rPr>
                <w:lang w:val="en-GB"/>
              </w:rPr>
              <w:t>core and baseline handgrip strength</w:t>
            </w:r>
            <w:r w:rsidR="00575B20" w:rsidRPr="00FE7622">
              <w:rPr>
                <w:lang w:val="en-GB"/>
              </w:rPr>
              <w:t>.</w:t>
            </w:r>
          </w:p>
        </w:tc>
      </w:tr>
    </w:tbl>
    <w:p w14:paraId="69DF4007" w14:textId="143B795C" w:rsidR="00F026E8" w:rsidRPr="00FE7622" w:rsidRDefault="00E038BF" w:rsidP="00B81800">
      <w:pPr>
        <w:pStyle w:val="70TablelegendTablesTableFigureBoxstyles"/>
        <w:rPr>
          <w:lang w:val="en-GB"/>
        </w:rPr>
      </w:pPr>
      <w:r w:rsidRPr="00FE7622">
        <w:rPr>
          <w:b/>
        </w:rPr>
        <w:t>TABLE 13</w:t>
      </w:r>
      <w:r w:rsidRPr="00FE7622">
        <w:rPr>
          <w:b/>
        </w:rPr>
        <w:t> </w:t>
      </w:r>
      <w:r w:rsidR="00F026E8" w:rsidRPr="00FE7622">
        <w:rPr>
          <w:lang w:val="en-GB"/>
        </w:rPr>
        <w:t>Subgroup analyses for primary outcome</w:t>
      </w:r>
      <w:r w:rsidR="00375182" w:rsidRPr="00FE7622">
        <w:rPr>
          <w:lang w:val="en-GB"/>
        </w:rPr>
        <w:t>:</w:t>
      </w:r>
      <w:r w:rsidR="00F026E8" w:rsidRPr="00FE7622">
        <w:rPr>
          <w:lang w:val="en-GB"/>
        </w:rPr>
        <w:t xml:space="preserve"> </w:t>
      </w:r>
      <w:r w:rsidR="00375182" w:rsidRPr="00FE7622">
        <w:rPr>
          <w:lang w:val="en-GB"/>
        </w:rPr>
        <w:t>l</w:t>
      </w:r>
      <w:r w:rsidR="00F026E8" w:rsidRPr="00FE7622">
        <w:rPr>
          <w:lang w:val="en-GB"/>
        </w:rPr>
        <w:t xml:space="preserve">eucine </w:t>
      </w:r>
      <w:r w:rsidR="00375182" w:rsidRPr="00FE7622">
        <w:rPr>
          <w:lang w:val="en-GB"/>
        </w:rPr>
        <w:t>compared with</w:t>
      </w:r>
      <w:r w:rsidR="00F026E8" w:rsidRPr="00FE7622">
        <w:rPr>
          <w:lang w:val="en-GB"/>
        </w:rPr>
        <w:t xml:space="preserve"> placebo</w:t>
      </w:r>
    </w:p>
    <w:tbl>
      <w:tblPr>
        <w:tblW w:w="0" w:type="auto"/>
        <w:tblCellMar>
          <w:top w:w="40" w:type="dxa"/>
          <w:left w:w="60" w:type="dxa"/>
          <w:bottom w:w="40" w:type="dxa"/>
          <w:right w:w="60" w:type="dxa"/>
        </w:tblCellMar>
        <w:tblLook w:val="04A0" w:firstRow="1" w:lastRow="0" w:firstColumn="1" w:lastColumn="0" w:noHBand="0" w:noVBand="1"/>
      </w:tblPr>
      <w:tblGrid>
        <w:gridCol w:w="4120"/>
        <w:gridCol w:w="2796"/>
        <w:gridCol w:w="2110"/>
      </w:tblGrid>
      <w:tr w:rsidR="00F026E8" w:rsidRPr="00FE7622" w14:paraId="45A9D6F6" w14:textId="77777777" w:rsidTr="00AF19CC">
        <w:trPr>
          <w:cantSplit/>
        </w:trPr>
        <w:tc>
          <w:tcPr>
            <w:tcW w:w="0" w:type="auto"/>
            <w:shd w:val="clear" w:color="auto" w:fill="auto"/>
          </w:tcPr>
          <w:p w14:paraId="34A8482D" w14:textId="48AB8D9F" w:rsidR="00F026E8" w:rsidRPr="00FE7622" w:rsidRDefault="00E038BF" w:rsidP="00AF19CC">
            <w:pPr>
              <w:pStyle w:val="710TableheadTablesTableFigureBoxstyles"/>
              <w:rPr>
                <w:rFonts w:eastAsia="Calibri"/>
              </w:rPr>
            </w:pPr>
            <w:r w:rsidRPr="00FE7622">
              <w:rPr>
                <w:rFonts w:eastAsia="Calibri"/>
              </w:rPr>
              <w:t>Subgroup analysis</w:t>
            </w:r>
          </w:p>
        </w:tc>
        <w:tc>
          <w:tcPr>
            <w:tcW w:w="0" w:type="auto"/>
            <w:shd w:val="clear" w:color="auto" w:fill="auto"/>
          </w:tcPr>
          <w:p w14:paraId="36E5B4F3" w14:textId="7864E65F" w:rsidR="00F026E8" w:rsidRPr="00FE7622" w:rsidRDefault="00E038BF" w:rsidP="00AF19CC">
            <w:pPr>
              <w:pStyle w:val="710TableheadTablesTableFigureBoxstyles"/>
              <w:rPr>
                <w:rFonts w:eastAsia="Calibri"/>
              </w:rPr>
            </w:pPr>
            <w:r w:rsidRPr="00FE7622">
              <w:rPr>
                <w:rFonts w:eastAsia="Calibri"/>
              </w:rPr>
              <w:t xml:space="preserve">Adjusted treatment effect (95% </w:t>
            </w:r>
            <w:r w:rsidRPr="00842651">
              <w:rPr>
                <w:rFonts w:eastAsia="Calibri"/>
              </w:rPr>
              <w:t>CI</w:t>
            </w:r>
            <w:r w:rsidRPr="00FE7622">
              <w:rPr>
                <w:rFonts w:eastAsia="Calibri"/>
              </w:rPr>
              <w:t>)</w:t>
            </w:r>
          </w:p>
        </w:tc>
        <w:tc>
          <w:tcPr>
            <w:tcW w:w="0" w:type="auto"/>
            <w:shd w:val="clear" w:color="auto" w:fill="auto"/>
          </w:tcPr>
          <w:p w14:paraId="255B9683" w14:textId="51E6D401" w:rsidR="00F026E8" w:rsidRPr="00FE7622" w:rsidRDefault="00E038BF" w:rsidP="00AF19CC">
            <w:pPr>
              <w:pStyle w:val="710TableheadTablesTableFigureBoxstyles"/>
              <w:rPr>
                <w:rFonts w:eastAsia="Calibri"/>
              </w:rPr>
            </w:pPr>
            <w:r w:rsidRPr="00FE7622">
              <w:rPr>
                <w:rFonts w:eastAsia="Calibri"/>
                <w:i/>
                <w:iCs/>
              </w:rPr>
              <w:t>p</w:t>
            </w:r>
            <w:r w:rsidRPr="00FE7622">
              <w:rPr>
                <w:rFonts w:eastAsia="Calibri"/>
              </w:rPr>
              <w:t>-value for interaction</w:t>
            </w:r>
          </w:p>
        </w:tc>
      </w:tr>
      <w:tr w:rsidR="00F026E8" w:rsidRPr="00FE7622" w14:paraId="2F3135C4" w14:textId="77777777" w:rsidTr="00AF19CC">
        <w:trPr>
          <w:cantSplit/>
        </w:trPr>
        <w:tc>
          <w:tcPr>
            <w:tcW w:w="0" w:type="auto"/>
            <w:shd w:val="clear" w:color="auto" w:fill="auto"/>
          </w:tcPr>
          <w:p w14:paraId="1FA87E20" w14:textId="77777777" w:rsidR="00F026E8" w:rsidRPr="00FE7622" w:rsidRDefault="00F026E8" w:rsidP="00AF19CC">
            <w:pPr>
              <w:pStyle w:val="72TabletextTablesTableFigureBoxstyles"/>
              <w:rPr>
                <w:rFonts w:eastAsia="Calibri"/>
                <w:color w:val="auto"/>
              </w:rPr>
            </w:pPr>
            <w:r w:rsidRPr="00FE7622">
              <w:rPr>
                <w:rFonts w:eastAsia="Calibri"/>
                <w:color w:val="auto"/>
              </w:rPr>
              <w:t>Age &gt; 80 years</w:t>
            </w:r>
          </w:p>
        </w:tc>
        <w:tc>
          <w:tcPr>
            <w:tcW w:w="0" w:type="auto"/>
            <w:shd w:val="clear" w:color="auto" w:fill="auto"/>
          </w:tcPr>
          <w:p w14:paraId="1DFB548A" w14:textId="4F94BBD3" w:rsidR="00F026E8" w:rsidRPr="00FE7622" w:rsidRDefault="00F026E8" w:rsidP="00AF19CC">
            <w:pPr>
              <w:pStyle w:val="72TabletextTablesTableFigureBoxstyles"/>
              <w:rPr>
                <w:rFonts w:eastAsia="Calibri"/>
                <w:color w:val="auto"/>
              </w:rPr>
            </w:pPr>
            <w:r w:rsidRPr="00FE7622">
              <w:rPr>
                <w:rFonts w:eastAsia="Calibri"/>
                <w:color w:val="auto"/>
              </w:rPr>
              <w:t xml:space="preserve">1.3 </w:t>
            </w:r>
            <w:r w:rsidR="006D5B8C" w:rsidRPr="00FE7622">
              <w:rPr>
                <w:rFonts w:eastAsia="Calibri"/>
                <w:color w:val="auto"/>
              </w:rPr>
              <w:t>(0.4 to 2.3)</w:t>
            </w:r>
          </w:p>
        </w:tc>
        <w:tc>
          <w:tcPr>
            <w:tcW w:w="0" w:type="auto"/>
            <w:vMerge w:val="restart"/>
            <w:shd w:val="clear" w:color="auto" w:fill="auto"/>
          </w:tcPr>
          <w:p w14:paraId="4DE6ED7A" w14:textId="77777777" w:rsidR="00F026E8" w:rsidRPr="00FE7622" w:rsidRDefault="00F026E8" w:rsidP="00AF19CC">
            <w:pPr>
              <w:pStyle w:val="72TabletextTablesTableFigureBoxstyles"/>
              <w:rPr>
                <w:rFonts w:eastAsia="Calibri"/>
                <w:color w:val="auto"/>
              </w:rPr>
            </w:pPr>
            <w:r w:rsidRPr="00FE7622">
              <w:rPr>
                <w:rFonts w:eastAsia="Calibri"/>
                <w:color w:val="auto"/>
              </w:rPr>
              <w:t>0.76</w:t>
            </w:r>
          </w:p>
        </w:tc>
      </w:tr>
      <w:tr w:rsidR="00F026E8" w:rsidRPr="00FE7622" w14:paraId="6AB6879A" w14:textId="77777777" w:rsidTr="00AF19CC">
        <w:trPr>
          <w:cantSplit/>
        </w:trPr>
        <w:tc>
          <w:tcPr>
            <w:tcW w:w="0" w:type="auto"/>
            <w:shd w:val="clear" w:color="auto" w:fill="auto"/>
          </w:tcPr>
          <w:p w14:paraId="0DE86EE2" w14:textId="256406F2" w:rsidR="00F026E8" w:rsidRPr="00FE7622" w:rsidRDefault="00F026E8" w:rsidP="00AF19CC">
            <w:pPr>
              <w:pStyle w:val="72TabletextTablesTableFigureBoxstyles"/>
              <w:rPr>
                <w:rFonts w:eastAsia="Calibri"/>
                <w:color w:val="auto"/>
              </w:rPr>
            </w:pPr>
            <w:r w:rsidRPr="00FE7622">
              <w:rPr>
                <w:rFonts w:eastAsia="Calibri"/>
                <w:color w:val="auto"/>
              </w:rPr>
              <w:t xml:space="preserve">Age </w:t>
            </w:r>
            <w:r w:rsidR="006D5B8C" w:rsidRPr="00FE7622">
              <w:rPr>
                <w:rFonts w:eastAsia="Calibri"/>
                <w:color w:val="auto"/>
              </w:rPr>
              <w:t>≤ </w:t>
            </w:r>
            <w:r w:rsidRPr="00FE7622">
              <w:rPr>
                <w:rFonts w:eastAsia="Calibri"/>
                <w:color w:val="auto"/>
              </w:rPr>
              <w:t>80 years</w:t>
            </w:r>
          </w:p>
        </w:tc>
        <w:tc>
          <w:tcPr>
            <w:tcW w:w="0" w:type="auto"/>
            <w:shd w:val="clear" w:color="auto" w:fill="auto"/>
          </w:tcPr>
          <w:p w14:paraId="28F27CF0" w14:textId="4C71D7EE" w:rsidR="00F026E8" w:rsidRPr="00FE7622" w:rsidRDefault="00F026E8" w:rsidP="00AF19CC">
            <w:pPr>
              <w:pStyle w:val="72TabletextTablesTableFigureBoxstyles"/>
              <w:rPr>
                <w:rFonts w:eastAsia="Calibri"/>
                <w:color w:val="auto"/>
              </w:rPr>
            </w:pPr>
            <w:r w:rsidRPr="00FE7622">
              <w:rPr>
                <w:rFonts w:eastAsia="Calibri"/>
                <w:color w:val="auto"/>
              </w:rPr>
              <w:t xml:space="preserve">–0.2 </w:t>
            </w:r>
            <w:r w:rsidR="006D5B8C" w:rsidRPr="00FE7622">
              <w:rPr>
                <w:rFonts w:eastAsia="Calibri"/>
                <w:color w:val="auto"/>
              </w:rPr>
              <w:t>(–0.6 to 0.8)</w:t>
            </w:r>
          </w:p>
        </w:tc>
        <w:tc>
          <w:tcPr>
            <w:tcW w:w="0" w:type="auto"/>
            <w:vMerge/>
            <w:shd w:val="clear" w:color="auto" w:fill="auto"/>
          </w:tcPr>
          <w:p w14:paraId="79AFDCCC" w14:textId="77777777" w:rsidR="00F026E8" w:rsidRPr="00FE7622" w:rsidRDefault="00F026E8" w:rsidP="00AF19CC">
            <w:pPr>
              <w:pStyle w:val="72TabletextTablesTableFigureBoxstyles"/>
              <w:rPr>
                <w:rFonts w:eastAsia="Calibri"/>
                <w:color w:val="auto"/>
              </w:rPr>
            </w:pPr>
          </w:p>
        </w:tc>
      </w:tr>
      <w:tr w:rsidR="00F026E8" w:rsidRPr="00FE7622" w14:paraId="575DFFB5" w14:textId="77777777" w:rsidTr="00AF19CC">
        <w:trPr>
          <w:cantSplit/>
        </w:trPr>
        <w:tc>
          <w:tcPr>
            <w:tcW w:w="0" w:type="auto"/>
            <w:shd w:val="clear" w:color="auto" w:fill="auto"/>
          </w:tcPr>
          <w:p w14:paraId="777D04C5" w14:textId="77777777" w:rsidR="00F026E8" w:rsidRPr="00FE7622" w:rsidRDefault="00F026E8" w:rsidP="00AF19CC">
            <w:pPr>
              <w:pStyle w:val="72TabletextTablesTableFigureBoxstyles"/>
              <w:rPr>
                <w:rFonts w:eastAsia="Calibri"/>
                <w:color w:val="auto"/>
              </w:rPr>
            </w:pPr>
            <w:r w:rsidRPr="00FE7622">
              <w:rPr>
                <w:rFonts w:eastAsia="Calibri"/>
                <w:color w:val="auto"/>
              </w:rPr>
              <w:t>Men</w:t>
            </w:r>
          </w:p>
        </w:tc>
        <w:tc>
          <w:tcPr>
            <w:tcW w:w="0" w:type="auto"/>
            <w:shd w:val="clear" w:color="auto" w:fill="auto"/>
          </w:tcPr>
          <w:p w14:paraId="122CF401" w14:textId="589F75B5" w:rsidR="00F026E8" w:rsidRPr="00FE7622" w:rsidRDefault="00F026E8" w:rsidP="00AF19CC">
            <w:pPr>
              <w:pStyle w:val="72TabletextTablesTableFigureBoxstyles"/>
              <w:rPr>
                <w:rFonts w:eastAsia="Calibri"/>
                <w:color w:val="auto"/>
              </w:rPr>
            </w:pPr>
            <w:r w:rsidRPr="00FE7622">
              <w:rPr>
                <w:rFonts w:eastAsia="Calibri"/>
                <w:color w:val="auto"/>
              </w:rPr>
              <w:t xml:space="preserve">0.1 </w:t>
            </w:r>
            <w:r w:rsidR="006D5B8C" w:rsidRPr="00FE7622">
              <w:rPr>
                <w:rFonts w:eastAsia="Calibri"/>
                <w:color w:val="auto"/>
              </w:rPr>
              <w:t>(–0.3 to 1.0)</w:t>
            </w:r>
          </w:p>
        </w:tc>
        <w:tc>
          <w:tcPr>
            <w:tcW w:w="0" w:type="auto"/>
            <w:vMerge w:val="restart"/>
            <w:shd w:val="clear" w:color="auto" w:fill="auto"/>
          </w:tcPr>
          <w:p w14:paraId="61997658" w14:textId="77777777" w:rsidR="00F026E8" w:rsidRPr="00FE7622" w:rsidRDefault="00F026E8" w:rsidP="00AF19CC">
            <w:pPr>
              <w:pStyle w:val="72TabletextTablesTableFigureBoxstyles"/>
              <w:rPr>
                <w:rFonts w:eastAsia="Calibri"/>
                <w:color w:val="auto"/>
              </w:rPr>
            </w:pPr>
            <w:r w:rsidRPr="00FE7622">
              <w:rPr>
                <w:color w:val="auto"/>
              </w:rPr>
              <w:t>0.18</w:t>
            </w:r>
          </w:p>
        </w:tc>
      </w:tr>
      <w:tr w:rsidR="00F026E8" w:rsidRPr="00FE7622" w14:paraId="480F3667" w14:textId="77777777" w:rsidTr="00AF19CC">
        <w:trPr>
          <w:cantSplit/>
        </w:trPr>
        <w:tc>
          <w:tcPr>
            <w:tcW w:w="0" w:type="auto"/>
            <w:shd w:val="clear" w:color="auto" w:fill="auto"/>
          </w:tcPr>
          <w:p w14:paraId="4C27B89E" w14:textId="77777777" w:rsidR="00F026E8" w:rsidRPr="00FE7622" w:rsidRDefault="00F026E8" w:rsidP="00AF19CC">
            <w:pPr>
              <w:pStyle w:val="72TabletextTablesTableFigureBoxstyles"/>
              <w:rPr>
                <w:rFonts w:eastAsia="Calibri"/>
                <w:color w:val="auto"/>
              </w:rPr>
            </w:pPr>
            <w:r w:rsidRPr="00FE7622">
              <w:rPr>
                <w:rFonts w:eastAsia="Calibri"/>
                <w:color w:val="auto"/>
              </w:rPr>
              <w:t>Women</w:t>
            </w:r>
          </w:p>
        </w:tc>
        <w:tc>
          <w:tcPr>
            <w:tcW w:w="0" w:type="auto"/>
            <w:shd w:val="clear" w:color="auto" w:fill="auto"/>
          </w:tcPr>
          <w:p w14:paraId="2AE25486" w14:textId="61964A54" w:rsidR="00F026E8" w:rsidRPr="00FE7622" w:rsidRDefault="00F026E8" w:rsidP="00AF19CC">
            <w:pPr>
              <w:pStyle w:val="72TabletextTablesTableFigureBoxstyles"/>
              <w:rPr>
                <w:rFonts w:eastAsia="Calibri"/>
                <w:color w:val="auto"/>
              </w:rPr>
            </w:pPr>
            <w:r w:rsidRPr="00FE7622">
              <w:rPr>
                <w:rFonts w:eastAsia="Calibri"/>
                <w:color w:val="auto"/>
              </w:rPr>
              <w:t xml:space="preserve">–0.6 </w:t>
            </w:r>
            <w:r w:rsidR="006D5B8C" w:rsidRPr="00FE7622">
              <w:rPr>
                <w:rFonts w:eastAsia="Calibri"/>
                <w:color w:val="auto"/>
              </w:rPr>
              <w:t>(–1.8 to 0.70)</w:t>
            </w:r>
          </w:p>
        </w:tc>
        <w:tc>
          <w:tcPr>
            <w:tcW w:w="0" w:type="auto"/>
            <w:vMerge/>
            <w:shd w:val="clear" w:color="auto" w:fill="auto"/>
          </w:tcPr>
          <w:p w14:paraId="47D16B53" w14:textId="77777777" w:rsidR="00F026E8" w:rsidRPr="00FE7622" w:rsidRDefault="00F026E8" w:rsidP="00AF19CC">
            <w:pPr>
              <w:pStyle w:val="72TabletextTablesTableFigureBoxstyles"/>
              <w:rPr>
                <w:rFonts w:eastAsia="Calibri"/>
                <w:color w:val="auto"/>
              </w:rPr>
            </w:pPr>
          </w:p>
        </w:tc>
      </w:tr>
      <w:tr w:rsidR="00F026E8" w:rsidRPr="00FE7622" w14:paraId="1F698F1E" w14:textId="77777777" w:rsidTr="00AF19CC">
        <w:trPr>
          <w:cantSplit/>
        </w:trPr>
        <w:tc>
          <w:tcPr>
            <w:tcW w:w="0" w:type="auto"/>
            <w:shd w:val="clear" w:color="auto" w:fill="auto"/>
          </w:tcPr>
          <w:p w14:paraId="0AA6F2CD" w14:textId="24D35393" w:rsidR="00F026E8" w:rsidRPr="00FE7622" w:rsidRDefault="00F026E8" w:rsidP="00AF19CC">
            <w:pPr>
              <w:pStyle w:val="72TabletextTablesTableFigureBoxstyles"/>
              <w:rPr>
                <w:rFonts w:eastAsia="Calibri"/>
                <w:color w:val="auto"/>
              </w:rPr>
            </w:pPr>
            <w:r w:rsidRPr="00FE7622">
              <w:rPr>
                <w:rFonts w:eastAsia="Calibri"/>
                <w:color w:val="auto"/>
              </w:rPr>
              <w:t xml:space="preserve">Protein intake </w:t>
            </w:r>
            <w:r w:rsidR="006D5B8C" w:rsidRPr="00FE7622">
              <w:rPr>
                <w:rFonts w:eastAsia="Calibri"/>
                <w:color w:val="auto"/>
              </w:rPr>
              <w:t>≥ </w:t>
            </w:r>
            <w:r w:rsidRPr="00FE7622">
              <w:rPr>
                <w:rFonts w:eastAsia="Calibri"/>
                <w:color w:val="auto"/>
              </w:rPr>
              <w:t>1.01</w:t>
            </w:r>
            <w:r w:rsidR="006D5B8C" w:rsidRPr="00FE7622">
              <w:rPr>
                <w:rFonts w:eastAsia="Calibri"/>
                <w:color w:val="auto"/>
              </w:rPr>
              <w:t> </w:t>
            </w:r>
            <w:r w:rsidRPr="00FE7622">
              <w:rPr>
                <w:rFonts w:eastAsia="Calibri"/>
                <w:color w:val="auto"/>
              </w:rPr>
              <w:t>g/kg/day</w:t>
            </w:r>
          </w:p>
        </w:tc>
        <w:tc>
          <w:tcPr>
            <w:tcW w:w="0" w:type="auto"/>
            <w:shd w:val="clear" w:color="auto" w:fill="auto"/>
          </w:tcPr>
          <w:p w14:paraId="41BD4CBC" w14:textId="65AC4072" w:rsidR="00F026E8" w:rsidRPr="00FE7622" w:rsidRDefault="00F026E8" w:rsidP="00AF19CC">
            <w:pPr>
              <w:pStyle w:val="72TabletextTablesTableFigureBoxstyles"/>
              <w:rPr>
                <w:rFonts w:eastAsia="Calibri"/>
                <w:color w:val="auto"/>
              </w:rPr>
            </w:pPr>
            <w:r w:rsidRPr="00FE7622">
              <w:rPr>
                <w:rFonts w:eastAsia="Calibri"/>
                <w:color w:val="auto"/>
              </w:rPr>
              <w:t xml:space="preserve">–0.1 </w:t>
            </w:r>
            <w:r w:rsidR="006D5B8C" w:rsidRPr="00FE7622">
              <w:rPr>
                <w:rFonts w:eastAsia="Calibri"/>
                <w:color w:val="auto"/>
              </w:rPr>
              <w:t>(–0.8 to 0.6)</w:t>
            </w:r>
          </w:p>
        </w:tc>
        <w:tc>
          <w:tcPr>
            <w:tcW w:w="0" w:type="auto"/>
            <w:vMerge w:val="restart"/>
            <w:shd w:val="clear" w:color="auto" w:fill="auto"/>
          </w:tcPr>
          <w:p w14:paraId="16358CDC" w14:textId="77777777" w:rsidR="00F026E8" w:rsidRPr="00FE7622" w:rsidRDefault="00F026E8" w:rsidP="00AF19CC">
            <w:pPr>
              <w:pStyle w:val="72TabletextTablesTableFigureBoxstyles"/>
              <w:rPr>
                <w:rFonts w:eastAsia="Calibri"/>
                <w:color w:val="auto"/>
              </w:rPr>
            </w:pPr>
            <w:r w:rsidRPr="00FE7622">
              <w:rPr>
                <w:rFonts w:eastAsia="Calibri"/>
                <w:color w:val="auto"/>
              </w:rPr>
              <w:t>0.70</w:t>
            </w:r>
          </w:p>
        </w:tc>
      </w:tr>
      <w:tr w:rsidR="00F026E8" w:rsidRPr="00FE7622" w14:paraId="156C89FB" w14:textId="77777777" w:rsidTr="00AF19CC">
        <w:trPr>
          <w:cantSplit/>
        </w:trPr>
        <w:tc>
          <w:tcPr>
            <w:tcW w:w="0" w:type="auto"/>
            <w:shd w:val="clear" w:color="auto" w:fill="auto"/>
          </w:tcPr>
          <w:p w14:paraId="2FA43868" w14:textId="5A39ED91" w:rsidR="00F026E8" w:rsidRPr="00FE7622" w:rsidRDefault="00F026E8" w:rsidP="00AF19CC">
            <w:pPr>
              <w:pStyle w:val="72TabletextTablesTableFigureBoxstyles"/>
              <w:rPr>
                <w:rFonts w:eastAsia="Calibri"/>
                <w:color w:val="auto"/>
              </w:rPr>
            </w:pPr>
            <w:r w:rsidRPr="00FE7622">
              <w:rPr>
                <w:rFonts w:eastAsia="Calibri"/>
                <w:color w:val="auto"/>
              </w:rPr>
              <w:t>Protein intake &lt; 1.01</w:t>
            </w:r>
            <w:r w:rsidR="006D5B8C" w:rsidRPr="00FE7622">
              <w:rPr>
                <w:rFonts w:eastAsia="Calibri"/>
                <w:color w:val="auto"/>
              </w:rPr>
              <w:t> </w:t>
            </w:r>
            <w:r w:rsidRPr="00FE7622">
              <w:rPr>
                <w:rFonts w:eastAsia="Calibri"/>
                <w:color w:val="auto"/>
              </w:rPr>
              <w:t>g/kg/day</w:t>
            </w:r>
          </w:p>
        </w:tc>
        <w:tc>
          <w:tcPr>
            <w:tcW w:w="0" w:type="auto"/>
            <w:shd w:val="clear" w:color="auto" w:fill="auto"/>
          </w:tcPr>
          <w:p w14:paraId="4A14C4B3" w14:textId="0BE6B546" w:rsidR="00F026E8" w:rsidRPr="00FE7622" w:rsidRDefault="00F026E8" w:rsidP="00AF19CC">
            <w:pPr>
              <w:pStyle w:val="72TabletextTablesTableFigureBoxstyles"/>
              <w:rPr>
                <w:rFonts w:eastAsia="Calibri"/>
                <w:color w:val="auto"/>
              </w:rPr>
            </w:pPr>
            <w:r w:rsidRPr="00FE7622">
              <w:rPr>
                <w:rFonts w:eastAsia="Calibri"/>
                <w:color w:val="auto"/>
              </w:rPr>
              <w:t xml:space="preserve">2.6 </w:t>
            </w:r>
            <w:r w:rsidR="006D5B8C" w:rsidRPr="00FE7622">
              <w:rPr>
                <w:rFonts w:eastAsia="Calibri"/>
                <w:color w:val="auto"/>
              </w:rPr>
              <w:t>(0.6 to 4.5)</w:t>
            </w:r>
          </w:p>
        </w:tc>
        <w:tc>
          <w:tcPr>
            <w:tcW w:w="0" w:type="auto"/>
            <w:vMerge/>
            <w:shd w:val="clear" w:color="auto" w:fill="auto"/>
          </w:tcPr>
          <w:p w14:paraId="19CAD57B" w14:textId="77777777" w:rsidR="00F026E8" w:rsidRPr="00FE7622" w:rsidRDefault="00F026E8" w:rsidP="00AF19CC">
            <w:pPr>
              <w:pStyle w:val="72TabletextTablesTableFigureBoxstyles"/>
              <w:rPr>
                <w:rFonts w:eastAsia="Calibri"/>
                <w:color w:val="auto"/>
              </w:rPr>
            </w:pPr>
          </w:p>
        </w:tc>
      </w:tr>
      <w:tr w:rsidR="00F026E8" w:rsidRPr="00FE7622" w14:paraId="737D70BF" w14:textId="77777777" w:rsidTr="00AF19CC">
        <w:trPr>
          <w:cantSplit/>
        </w:trPr>
        <w:tc>
          <w:tcPr>
            <w:tcW w:w="0" w:type="auto"/>
            <w:shd w:val="clear" w:color="auto" w:fill="auto"/>
          </w:tcPr>
          <w:p w14:paraId="7FF621CB" w14:textId="514704FC" w:rsidR="00F026E8" w:rsidRPr="00FE7622" w:rsidRDefault="00F026E8" w:rsidP="00AF19CC">
            <w:pPr>
              <w:pStyle w:val="72TabletextTablesTableFigureBoxstyles"/>
              <w:rPr>
                <w:rFonts w:eastAsia="Calibri"/>
                <w:color w:val="auto"/>
              </w:rPr>
            </w:pPr>
            <w:r w:rsidRPr="00FE7622">
              <w:rPr>
                <w:color w:val="auto"/>
              </w:rPr>
              <w:t xml:space="preserve">Confirmed sarcopenia by </w:t>
            </w:r>
            <w:r w:rsidRPr="00842651">
              <w:rPr>
                <w:color w:val="auto"/>
              </w:rPr>
              <w:t>EWGSOP</w:t>
            </w:r>
            <w:r w:rsidRPr="00FE7622">
              <w:rPr>
                <w:color w:val="auto"/>
              </w:rPr>
              <w:t xml:space="preserve"> 2019 criteria</w:t>
            </w:r>
            <w:r w:rsidR="00E038BF" w:rsidRPr="00FE7622">
              <w:rPr>
                <w:color w:val="auto"/>
                <w:vertAlign w:val="superscript"/>
              </w:rPr>
              <w:t>a</w:t>
            </w:r>
          </w:p>
        </w:tc>
        <w:tc>
          <w:tcPr>
            <w:tcW w:w="0" w:type="auto"/>
            <w:shd w:val="clear" w:color="auto" w:fill="auto"/>
          </w:tcPr>
          <w:p w14:paraId="207B711E" w14:textId="0F8A8ECF" w:rsidR="00F026E8" w:rsidRPr="00FE7622" w:rsidRDefault="00F026E8" w:rsidP="00AF19CC">
            <w:pPr>
              <w:pStyle w:val="72TabletextTablesTableFigureBoxstyles"/>
              <w:rPr>
                <w:rFonts w:eastAsia="Calibri"/>
                <w:color w:val="auto"/>
              </w:rPr>
            </w:pPr>
            <w:r w:rsidRPr="00FE7622">
              <w:rPr>
                <w:rFonts w:eastAsia="Calibri"/>
                <w:color w:val="auto"/>
              </w:rPr>
              <w:t xml:space="preserve">1.7 </w:t>
            </w:r>
            <w:r w:rsidR="006D5B8C" w:rsidRPr="00FE7622">
              <w:rPr>
                <w:rFonts w:eastAsia="Calibri"/>
                <w:color w:val="auto"/>
              </w:rPr>
              <w:t>(0.7 to 2.7)</w:t>
            </w:r>
          </w:p>
        </w:tc>
        <w:tc>
          <w:tcPr>
            <w:tcW w:w="0" w:type="auto"/>
            <w:vMerge w:val="restart"/>
            <w:shd w:val="clear" w:color="auto" w:fill="auto"/>
          </w:tcPr>
          <w:p w14:paraId="3AAF55DA" w14:textId="77777777" w:rsidR="00F026E8" w:rsidRPr="00FE7622" w:rsidRDefault="00F026E8" w:rsidP="00AF19CC">
            <w:pPr>
              <w:pStyle w:val="72TabletextTablesTableFigureBoxstyles"/>
              <w:rPr>
                <w:rFonts w:eastAsia="Calibri"/>
                <w:color w:val="auto"/>
              </w:rPr>
            </w:pPr>
            <w:r w:rsidRPr="00FE7622">
              <w:rPr>
                <w:rFonts w:eastAsia="Calibri"/>
                <w:color w:val="auto"/>
              </w:rPr>
              <w:t>0.06</w:t>
            </w:r>
          </w:p>
        </w:tc>
      </w:tr>
      <w:tr w:rsidR="00F026E8" w:rsidRPr="00FE7622" w14:paraId="1D80F2B4" w14:textId="77777777" w:rsidTr="00AF19CC">
        <w:trPr>
          <w:cantSplit/>
        </w:trPr>
        <w:tc>
          <w:tcPr>
            <w:tcW w:w="0" w:type="auto"/>
            <w:shd w:val="clear" w:color="auto" w:fill="auto"/>
          </w:tcPr>
          <w:p w14:paraId="2E5B4673" w14:textId="2C970553" w:rsidR="00F026E8" w:rsidRPr="00FE7622" w:rsidRDefault="00F026E8" w:rsidP="00AF19CC">
            <w:pPr>
              <w:pStyle w:val="72TabletextTablesTableFigureBoxstyles"/>
              <w:rPr>
                <w:rFonts w:eastAsia="Calibri"/>
                <w:color w:val="auto"/>
              </w:rPr>
            </w:pPr>
            <w:r w:rsidRPr="00FE7622">
              <w:rPr>
                <w:color w:val="auto"/>
              </w:rPr>
              <w:t xml:space="preserve">Not confirmed sarcopenia by </w:t>
            </w:r>
            <w:r w:rsidRPr="00842651">
              <w:rPr>
                <w:color w:val="auto"/>
              </w:rPr>
              <w:t>EWGSOP</w:t>
            </w:r>
            <w:r w:rsidRPr="00FE7622">
              <w:rPr>
                <w:color w:val="auto"/>
              </w:rPr>
              <w:t xml:space="preserve"> 2019 criteria</w:t>
            </w:r>
            <w:r w:rsidR="00E038BF" w:rsidRPr="00FE7622">
              <w:rPr>
                <w:color w:val="auto"/>
                <w:vertAlign w:val="superscript"/>
              </w:rPr>
              <w:t>a</w:t>
            </w:r>
          </w:p>
        </w:tc>
        <w:tc>
          <w:tcPr>
            <w:tcW w:w="0" w:type="auto"/>
            <w:shd w:val="clear" w:color="auto" w:fill="auto"/>
          </w:tcPr>
          <w:p w14:paraId="7EAA7560" w14:textId="61A3D643" w:rsidR="00F026E8" w:rsidRPr="00FE7622" w:rsidRDefault="00F026E8" w:rsidP="00AF19CC">
            <w:pPr>
              <w:pStyle w:val="72TabletextTablesTableFigureBoxstyles"/>
              <w:rPr>
                <w:rFonts w:eastAsia="Calibri"/>
                <w:color w:val="auto"/>
              </w:rPr>
            </w:pPr>
            <w:r w:rsidRPr="00FE7622">
              <w:rPr>
                <w:rFonts w:eastAsia="Calibri"/>
                <w:color w:val="auto"/>
              </w:rPr>
              <w:t xml:space="preserve">–0.5 </w:t>
            </w:r>
            <w:r w:rsidR="006D5B8C" w:rsidRPr="00FE7622">
              <w:rPr>
                <w:rFonts w:eastAsia="Calibri"/>
                <w:color w:val="auto"/>
              </w:rPr>
              <w:t>(–1.4 to 0.3)</w:t>
            </w:r>
          </w:p>
        </w:tc>
        <w:tc>
          <w:tcPr>
            <w:tcW w:w="0" w:type="auto"/>
            <w:vMerge/>
            <w:shd w:val="clear" w:color="auto" w:fill="auto"/>
          </w:tcPr>
          <w:p w14:paraId="6C65EEA4" w14:textId="77777777" w:rsidR="00F026E8" w:rsidRPr="00FE7622" w:rsidRDefault="00F026E8" w:rsidP="00AF19CC">
            <w:pPr>
              <w:spacing w:line="360" w:lineRule="auto"/>
              <w:rPr>
                <w:rFonts w:ascii="Calibri" w:eastAsia="Calibri" w:hAnsi="Calibri" w:cs="Calibri"/>
              </w:rPr>
            </w:pPr>
          </w:p>
        </w:tc>
      </w:tr>
      <w:tr w:rsidR="00F026E8" w:rsidRPr="00FE7622" w14:paraId="1FA49819" w14:textId="77777777" w:rsidTr="00AF19CC">
        <w:trPr>
          <w:cantSplit/>
        </w:trPr>
        <w:tc>
          <w:tcPr>
            <w:tcW w:w="0" w:type="auto"/>
            <w:gridSpan w:val="3"/>
            <w:shd w:val="clear" w:color="auto" w:fill="auto"/>
          </w:tcPr>
          <w:p w14:paraId="4F6C2A47" w14:textId="6DDBB234" w:rsidR="00F026E8" w:rsidRPr="00FE7622" w:rsidRDefault="006D5B8C" w:rsidP="00AF19CC">
            <w:pPr>
              <w:pStyle w:val="75TablenotesTablesTableFigureBoxstyles"/>
              <w:rPr>
                <w:lang w:val="en-GB"/>
              </w:rPr>
            </w:pPr>
            <w:r w:rsidRPr="00FE7622">
              <w:rPr>
                <w:lang w:val="en-GB"/>
              </w:rPr>
              <w:t>a</w:t>
            </w:r>
            <w:r w:rsidRPr="00FE7622">
              <w:rPr>
                <w:lang w:val="en-GB"/>
              </w:rPr>
              <w:tab/>
            </w:r>
            <w:r w:rsidR="00F026E8" w:rsidRPr="00FE7622">
              <w:rPr>
                <w:lang w:val="en-GB"/>
              </w:rPr>
              <w:t xml:space="preserve">European Working Group on Sarcopenia in Older People definition: </w:t>
            </w:r>
            <w:r w:rsidR="008910E9" w:rsidRPr="00FE7622">
              <w:rPr>
                <w:lang w:val="en-GB"/>
              </w:rPr>
              <w:t>l</w:t>
            </w:r>
            <w:r w:rsidR="00F026E8" w:rsidRPr="00FE7622">
              <w:rPr>
                <w:lang w:val="en-GB"/>
              </w:rPr>
              <w:t xml:space="preserve">ow grip strength (&lt; 27 kg </w:t>
            </w:r>
            <w:r w:rsidR="008910E9" w:rsidRPr="00FE7622">
              <w:rPr>
                <w:lang w:val="en-GB"/>
              </w:rPr>
              <w:t xml:space="preserve">for </w:t>
            </w:r>
            <w:r w:rsidR="00F026E8" w:rsidRPr="00FE7622">
              <w:rPr>
                <w:lang w:val="en-GB"/>
              </w:rPr>
              <w:t xml:space="preserve">men </w:t>
            </w:r>
            <w:r w:rsidR="008910E9" w:rsidRPr="00FE7622">
              <w:rPr>
                <w:lang w:val="en-GB"/>
              </w:rPr>
              <w:t>and</w:t>
            </w:r>
            <w:r w:rsidR="00F026E8" w:rsidRPr="00FE7622">
              <w:rPr>
                <w:lang w:val="en-GB"/>
              </w:rPr>
              <w:t xml:space="preserve"> &lt; 16 kg </w:t>
            </w:r>
            <w:r w:rsidR="008910E9" w:rsidRPr="00FE7622">
              <w:rPr>
                <w:lang w:val="en-GB"/>
              </w:rPr>
              <w:t xml:space="preserve">for </w:t>
            </w:r>
            <w:r w:rsidR="00F026E8" w:rsidRPr="00FE7622">
              <w:rPr>
                <w:lang w:val="en-GB"/>
              </w:rPr>
              <w:t>women) OR five times sit to stand test &gt; 15</w:t>
            </w:r>
            <w:r w:rsidR="008910E9" w:rsidRPr="00FE7622">
              <w:rPr>
                <w:lang w:val="en-GB"/>
              </w:rPr>
              <w:t xml:space="preserve"> </w:t>
            </w:r>
            <w:r w:rsidR="00F026E8" w:rsidRPr="00FE7622">
              <w:rPr>
                <w:lang w:val="en-GB"/>
              </w:rPr>
              <w:t>s</w:t>
            </w:r>
            <w:r w:rsidR="008910E9" w:rsidRPr="00FE7622">
              <w:rPr>
                <w:lang w:val="en-GB"/>
              </w:rPr>
              <w:t>econds</w:t>
            </w:r>
            <w:r w:rsidR="00F026E8" w:rsidRPr="00FE7622">
              <w:rPr>
                <w:lang w:val="en-GB"/>
              </w:rPr>
              <w:t>/unable to perform, AND low appendicular muscle mass index (&lt; 7.0</w:t>
            </w:r>
            <w:r w:rsidR="008910E9" w:rsidRPr="00FE7622">
              <w:rPr>
                <w:lang w:val="en-GB"/>
              </w:rPr>
              <w:t> </w:t>
            </w:r>
            <w:r w:rsidR="00F026E8" w:rsidRPr="00FE7622">
              <w:rPr>
                <w:lang w:val="en-GB"/>
              </w:rPr>
              <w:t>kg/m</w:t>
            </w:r>
            <w:r w:rsidR="00E038BF" w:rsidRPr="00FE7622">
              <w:rPr>
                <w:vertAlign w:val="superscript"/>
                <w:lang w:val="en-GB"/>
              </w:rPr>
              <w:t>2</w:t>
            </w:r>
            <w:r w:rsidR="00F026E8" w:rsidRPr="00FE7622">
              <w:rPr>
                <w:lang w:val="en-GB"/>
              </w:rPr>
              <w:t xml:space="preserve"> </w:t>
            </w:r>
            <w:r w:rsidR="008910E9" w:rsidRPr="00FE7622">
              <w:rPr>
                <w:lang w:val="en-GB"/>
              </w:rPr>
              <w:t xml:space="preserve">for </w:t>
            </w:r>
            <w:r w:rsidR="00F026E8" w:rsidRPr="00FE7622">
              <w:rPr>
                <w:lang w:val="en-GB"/>
              </w:rPr>
              <w:t xml:space="preserve">men </w:t>
            </w:r>
            <w:r w:rsidR="008910E9" w:rsidRPr="00FE7622">
              <w:rPr>
                <w:lang w:val="en-GB"/>
              </w:rPr>
              <w:t>and</w:t>
            </w:r>
            <w:r w:rsidR="00F026E8" w:rsidRPr="00FE7622">
              <w:rPr>
                <w:lang w:val="en-GB"/>
              </w:rPr>
              <w:t xml:space="preserve"> &lt; 5.5</w:t>
            </w:r>
            <w:r w:rsidR="008910E9" w:rsidRPr="00FE7622">
              <w:rPr>
                <w:lang w:val="en-GB"/>
              </w:rPr>
              <w:t> </w:t>
            </w:r>
            <w:r w:rsidR="00F026E8" w:rsidRPr="00FE7622">
              <w:rPr>
                <w:lang w:val="en-GB"/>
              </w:rPr>
              <w:t>kg/m</w:t>
            </w:r>
            <w:r w:rsidR="00E038BF" w:rsidRPr="00FE7622">
              <w:rPr>
                <w:vertAlign w:val="superscript"/>
                <w:lang w:val="en-GB"/>
              </w:rPr>
              <w:t>2</w:t>
            </w:r>
            <w:r w:rsidR="00F026E8" w:rsidRPr="00FE7622">
              <w:rPr>
                <w:lang w:val="en-GB"/>
              </w:rPr>
              <w:t xml:space="preserve"> </w:t>
            </w:r>
            <w:r w:rsidR="008910E9" w:rsidRPr="00FE7622">
              <w:rPr>
                <w:lang w:val="en-GB"/>
              </w:rPr>
              <w:t xml:space="preserve">for </w:t>
            </w:r>
            <w:r w:rsidR="00F026E8" w:rsidRPr="00FE7622">
              <w:rPr>
                <w:lang w:val="en-GB"/>
              </w:rPr>
              <w:t>women)</w:t>
            </w:r>
            <w:r w:rsidRPr="00FE7622">
              <w:rPr>
                <w:lang w:val="en-GB"/>
              </w:rPr>
              <w:t>.</w:t>
            </w:r>
          </w:p>
          <w:p w14:paraId="4BE15C73" w14:textId="0B9E71DC" w:rsidR="006D5B8C" w:rsidRPr="00FE7622" w:rsidRDefault="006D5B8C" w:rsidP="00AF19CC">
            <w:pPr>
              <w:pStyle w:val="75TablenotesTablesTableFigureBoxstyles"/>
              <w:rPr>
                <w:lang w:val="en-GB"/>
              </w:rPr>
            </w:pPr>
            <w:r w:rsidRPr="00FE7622">
              <w:rPr>
                <w:lang w:val="en-GB"/>
              </w:rPr>
              <w:t xml:space="preserve">Mixed-effects models. Adjusted for age, sex, </w:t>
            </w:r>
            <w:r w:rsidRPr="00842651">
              <w:rPr>
                <w:lang w:val="en-GB"/>
              </w:rPr>
              <w:t>SPPB</w:t>
            </w:r>
            <w:r w:rsidRPr="00FE7622">
              <w:rPr>
                <w:lang w:val="en-GB"/>
              </w:rPr>
              <w:t>, Charlson Comorbidity Index score and baseline handgrip strength.</w:t>
            </w:r>
          </w:p>
        </w:tc>
      </w:tr>
    </w:tbl>
    <w:p w14:paraId="7743B385" w14:textId="05CBEFAF" w:rsidR="00E038BF" w:rsidRPr="00FE7622" w:rsidRDefault="00E038BF" w:rsidP="007C54FC">
      <w:pPr>
        <w:pStyle w:val="52AheadHeadingsHeadingstyles"/>
      </w:pPr>
      <w:bookmarkStart w:id="115" w:name="_Toc79684538"/>
      <w:r w:rsidRPr="00FE7622">
        <w:t>Secondary outcomes</w:t>
      </w:r>
      <w:bookmarkEnd w:id="115"/>
    </w:p>
    <w:p w14:paraId="27160F21" w14:textId="1F601031" w:rsidR="00F026E8" w:rsidRPr="00FE7622" w:rsidRDefault="005A2E53" w:rsidP="007C54FC">
      <w:pPr>
        <w:pStyle w:val="602TextfoTextstylesTextstyles"/>
        <w:rPr>
          <w:color w:val="auto"/>
        </w:rPr>
      </w:pPr>
      <w:r w:rsidRPr="00FE7622">
        <w:rPr>
          <w:color w:val="auto"/>
        </w:rPr>
        <w:t>The d</w:t>
      </w:r>
      <w:r w:rsidR="00F026E8" w:rsidRPr="00FE7622">
        <w:rPr>
          <w:color w:val="auto"/>
        </w:rPr>
        <w:t xml:space="preserve">etails of the secondary outcome analyses for leucine </w:t>
      </w:r>
      <w:r w:rsidRPr="00FE7622">
        <w:rPr>
          <w:color w:val="auto"/>
        </w:rPr>
        <w:t>compared with</w:t>
      </w:r>
      <w:r w:rsidR="00F026E8" w:rsidRPr="00FE7622">
        <w:rPr>
          <w:color w:val="auto"/>
        </w:rPr>
        <w:t xml:space="preserve"> placebo are shown in </w:t>
      </w:r>
      <w:r w:rsidR="00E038BF" w:rsidRPr="00FE7622">
        <w:rPr>
          <w:i/>
          <w:color w:val="FF0000"/>
        </w:rPr>
        <w:t>Table 14</w:t>
      </w:r>
      <w:r w:rsidR="00F026E8" w:rsidRPr="00FE7622">
        <w:rPr>
          <w:color w:val="auto"/>
        </w:rPr>
        <w:t xml:space="preserve">. No significant treatment effects were seen for any outcome except self-reported health status using the main </w:t>
      </w:r>
      <w:r w:rsidR="00F026E8" w:rsidRPr="00842651">
        <w:rPr>
          <w:color w:val="auto"/>
        </w:rPr>
        <w:t>EQ</w:t>
      </w:r>
      <w:r w:rsidRPr="00842651">
        <w:rPr>
          <w:color w:val="auto"/>
        </w:rPr>
        <w:t>-</w:t>
      </w:r>
      <w:r w:rsidR="00F026E8" w:rsidRPr="00842651">
        <w:rPr>
          <w:color w:val="auto"/>
        </w:rPr>
        <w:t>5D</w:t>
      </w:r>
      <w:r w:rsidR="00F026E8" w:rsidRPr="00FE7622">
        <w:rPr>
          <w:color w:val="auto"/>
        </w:rPr>
        <w:t xml:space="preserve"> tool; leucine treatment was associated with a worse health status than placebo in adjusted, but not</w:t>
      </w:r>
      <w:r w:rsidRPr="00FE7622">
        <w:rPr>
          <w:color w:val="auto"/>
        </w:rPr>
        <w:t xml:space="preserve"> in</w:t>
      </w:r>
      <w:r w:rsidR="00F026E8" w:rsidRPr="00FE7622">
        <w:rPr>
          <w:color w:val="auto"/>
        </w:rPr>
        <w:t xml:space="preserve"> unadjusted</w:t>
      </w:r>
      <w:r w:rsidRPr="00FE7622">
        <w:rPr>
          <w:color w:val="auto"/>
        </w:rPr>
        <w:t>,</w:t>
      </w:r>
      <w:r w:rsidR="00F026E8" w:rsidRPr="00FE7622">
        <w:rPr>
          <w:color w:val="auto"/>
        </w:rPr>
        <w:t xml:space="preserve"> analysis.</w:t>
      </w:r>
    </w:p>
    <w:p w14:paraId="144F3085" w14:textId="6E206C35" w:rsidR="00F026E8" w:rsidRPr="00FE7622" w:rsidRDefault="00E038BF" w:rsidP="00F026E8">
      <w:pPr>
        <w:pStyle w:val="70TablelegendTablesTableFigureBoxstyles"/>
        <w:rPr>
          <w:lang w:val="en-GB"/>
        </w:rPr>
      </w:pPr>
      <w:r w:rsidRPr="00FE7622">
        <w:rPr>
          <w:b/>
        </w:rPr>
        <w:t>TABLE 14</w:t>
      </w:r>
      <w:r w:rsidRPr="00FE7622">
        <w:rPr>
          <w:b/>
        </w:rPr>
        <w:t> </w:t>
      </w:r>
      <w:r w:rsidR="00F026E8" w:rsidRPr="00FE7622">
        <w:rPr>
          <w:lang w:val="en-GB"/>
        </w:rPr>
        <w:t xml:space="preserve">Secondary outcomes for leucine </w:t>
      </w:r>
      <w:r w:rsidR="00375182" w:rsidRPr="00FE7622">
        <w:rPr>
          <w:lang w:val="en-GB"/>
        </w:rPr>
        <w:t>compared with</w:t>
      </w:r>
      <w:r w:rsidR="00F026E8" w:rsidRPr="00FE7622">
        <w:rPr>
          <w:lang w:val="en-GB"/>
        </w:rPr>
        <w:t xml:space="preserve"> placebo analysis</w:t>
      </w:r>
    </w:p>
    <w:tbl>
      <w:tblPr>
        <w:tblW w:w="0" w:type="auto"/>
        <w:tblInd w:w="-431" w:type="dxa"/>
        <w:tblCellMar>
          <w:top w:w="40" w:type="dxa"/>
          <w:left w:w="60" w:type="dxa"/>
          <w:bottom w:w="40" w:type="dxa"/>
          <w:right w:w="60" w:type="dxa"/>
        </w:tblCellMar>
        <w:tblLook w:val="04A0" w:firstRow="1" w:lastRow="0" w:firstColumn="1" w:lastColumn="0" w:noHBand="0" w:noVBand="1"/>
      </w:tblPr>
      <w:tblGrid>
        <w:gridCol w:w="1539"/>
        <w:gridCol w:w="1086"/>
        <w:gridCol w:w="1001"/>
        <w:gridCol w:w="1011"/>
        <w:gridCol w:w="1881"/>
        <w:gridCol w:w="602"/>
        <w:gridCol w:w="1735"/>
        <w:gridCol w:w="602"/>
      </w:tblGrid>
      <w:tr w:rsidR="00F026E8" w:rsidRPr="00FE7622" w14:paraId="0457E39F" w14:textId="77777777" w:rsidTr="00AF19CC">
        <w:trPr>
          <w:cantSplit/>
        </w:trPr>
        <w:tc>
          <w:tcPr>
            <w:tcW w:w="0" w:type="auto"/>
            <w:shd w:val="clear" w:color="auto" w:fill="auto"/>
          </w:tcPr>
          <w:p w14:paraId="3D051564" w14:textId="6CE4110E" w:rsidR="00F026E8" w:rsidRPr="00FE7622" w:rsidRDefault="00E038BF" w:rsidP="00AF19CC">
            <w:pPr>
              <w:pStyle w:val="710TableheadTablesTableFigureBoxstyles"/>
              <w:rPr>
                <w:rFonts w:eastAsia="Calibri"/>
              </w:rPr>
            </w:pPr>
            <w:r w:rsidRPr="00FE7622">
              <w:rPr>
                <w:rFonts w:eastAsia="Calibri"/>
              </w:rPr>
              <w:t>Outcome</w:t>
            </w:r>
          </w:p>
        </w:tc>
        <w:tc>
          <w:tcPr>
            <w:tcW w:w="0" w:type="auto"/>
            <w:shd w:val="clear" w:color="auto" w:fill="auto"/>
          </w:tcPr>
          <w:p w14:paraId="07126437" w14:textId="046F4432" w:rsidR="00F026E8" w:rsidRPr="00FE7622" w:rsidRDefault="00E038BF" w:rsidP="00AF19CC">
            <w:pPr>
              <w:pStyle w:val="710TableheadTablesTableFigureBoxstyles"/>
              <w:rPr>
                <w:rFonts w:eastAsia="Calibri"/>
              </w:rPr>
            </w:pPr>
            <w:r w:rsidRPr="00FE7622">
              <w:rPr>
                <w:rFonts w:eastAsia="Calibri"/>
              </w:rPr>
              <w:t>Time point</w:t>
            </w:r>
          </w:p>
        </w:tc>
        <w:tc>
          <w:tcPr>
            <w:tcW w:w="0" w:type="auto"/>
            <w:shd w:val="clear" w:color="auto" w:fill="auto"/>
          </w:tcPr>
          <w:p w14:paraId="679B3F03" w14:textId="3B97DA40" w:rsidR="00F026E8" w:rsidRPr="00FE7622" w:rsidRDefault="00E038BF" w:rsidP="00AF19CC">
            <w:pPr>
              <w:pStyle w:val="710TableheadTablesTableFigureBoxstyles"/>
              <w:rPr>
                <w:rFonts w:eastAsia="Calibri"/>
              </w:rPr>
            </w:pPr>
            <w:r w:rsidRPr="00FE7622">
              <w:rPr>
                <w:rFonts w:eastAsia="Calibri"/>
              </w:rPr>
              <w:t>Leucine</w:t>
            </w:r>
          </w:p>
        </w:tc>
        <w:tc>
          <w:tcPr>
            <w:tcW w:w="0" w:type="auto"/>
            <w:shd w:val="clear" w:color="auto" w:fill="auto"/>
          </w:tcPr>
          <w:p w14:paraId="49CD364C" w14:textId="4B9CA9E8" w:rsidR="00F026E8" w:rsidRPr="00FE7622" w:rsidRDefault="00E038BF" w:rsidP="00AF19CC">
            <w:pPr>
              <w:pStyle w:val="710TableheadTablesTableFigureBoxstyles"/>
              <w:rPr>
                <w:rFonts w:eastAsia="Calibri"/>
              </w:rPr>
            </w:pPr>
            <w:r w:rsidRPr="00FE7622">
              <w:rPr>
                <w:rFonts w:eastAsia="Calibri"/>
              </w:rPr>
              <w:t>Placebo</w:t>
            </w:r>
          </w:p>
        </w:tc>
        <w:tc>
          <w:tcPr>
            <w:tcW w:w="0" w:type="auto"/>
            <w:shd w:val="clear" w:color="auto" w:fill="auto"/>
          </w:tcPr>
          <w:p w14:paraId="4A450D72" w14:textId="542F0F42" w:rsidR="00F026E8" w:rsidRPr="00FE7622" w:rsidRDefault="00E038BF" w:rsidP="00AF19CC">
            <w:pPr>
              <w:pStyle w:val="710TableheadTablesTableFigureBoxstyles"/>
              <w:rPr>
                <w:rFonts w:eastAsia="Calibri"/>
              </w:rPr>
            </w:pPr>
            <w:r w:rsidRPr="00FE7622">
              <w:rPr>
                <w:rFonts w:eastAsia="Calibri"/>
              </w:rPr>
              <w:t xml:space="preserve">Unadjusted treatment effect (95% </w:t>
            </w:r>
            <w:r w:rsidRPr="00842651">
              <w:rPr>
                <w:rFonts w:eastAsia="Calibri"/>
              </w:rPr>
              <w:t>CI</w:t>
            </w:r>
            <w:r w:rsidRPr="00FE7622">
              <w:rPr>
                <w:rFonts w:eastAsia="Calibri"/>
              </w:rPr>
              <w:t>)</w:t>
            </w:r>
          </w:p>
        </w:tc>
        <w:tc>
          <w:tcPr>
            <w:tcW w:w="0" w:type="auto"/>
            <w:shd w:val="clear" w:color="auto" w:fill="auto"/>
          </w:tcPr>
          <w:p w14:paraId="5621BC7C" w14:textId="2C6938FC"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c>
          <w:tcPr>
            <w:tcW w:w="0" w:type="auto"/>
            <w:shd w:val="clear" w:color="auto" w:fill="auto"/>
          </w:tcPr>
          <w:p w14:paraId="6748B45D" w14:textId="5BBBE580" w:rsidR="00F026E8" w:rsidRPr="00FE7622" w:rsidRDefault="00E038BF" w:rsidP="00AF19CC">
            <w:pPr>
              <w:pStyle w:val="710TableheadTablesTableFigureBoxstyles"/>
              <w:rPr>
                <w:rFonts w:eastAsia="Calibri"/>
              </w:rPr>
            </w:pPr>
            <w:r w:rsidRPr="00FE7622">
              <w:rPr>
                <w:rFonts w:eastAsia="Calibri"/>
              </w:rPr>
              <w:t xml:space="preserve">Adjusted treatment effect (95% </w:t>
            </w:r>
            <w:r w:rsidRPr="00842651">
              <w:rPr>
                <w:rFonts w:eastAsia="Calibri"/>
              </w:rPr>
              <w:t>CI</w:t>
            </w:r>
            <w:r w:rsidRPr="00FE7622">
              <w:rPr>
                <w:rFonts w:eastAsia="Calibri"/>
              </w:rPr>
              <w:t>)</w:t>
            </w:r>
          </w:p>
        </w:tc>
        <w:tc>
          <w:tcPr>
            <w:tcW w:w="0" w:type="auto"/>
            <w:shd w:val="clear" w:color="auto" w:fill="auto"/>
          </w:tcPr>
          <w:p w14:paraId="6B3C5363" w14:textId="5260440E" w:rsidR="00F026E8" w:rsidRPr="00FE7622" w:rsidRDefault="00E038BF" w:rsidP="00AF19CC">
            <w:pPr>
              <w:pStyle w:val="710TableheadTablesTableFigureBoxstyles"/>
              <w:rPr>
                <w:rFonts w:eastAsia="Calibri"/>
              </w:rPr>
            </w:pPr>
            <w:r w:rsidRPr="00FE7622">
              <w:rPr>
                <w:rFonts w:eastAsia="Calibri"/>
                <w:i/>
              </w:rPr>
              <w:t>p</w:t>
            </w:r>
            <w:r w:rsidRPr="00FE7622">
              <w:rPr>
                <w:rFonts w:eastAsia="Calibri"/>
                <w:iCs/>
              </w:rPr>
              <w:t>-value</w:t>
            </w:r>
          </w:p>
        </w:tc>
      </w:tr>
      <w:tr w:rsidR="00F026E8" w:rsidRPr="00FE7622" w14:paraId="70A05C97" w14:textId="77777777" w:rsidTr="00AF19CC">
        <w:trPr>
          <w:cantSplit/>
        </w:trPr>
        <w:tc>
          <w:tcPr>
            <w:tcW w:w="0" w:type="auto"/>
            <w:vMerge w:val="restart"/>
            <w:shd w:val="clear" w:color="auto" w:fill="auto"/>
          </w:tcPr>
          <w:p w14:paraId="3AC3F88B" w14:textId="77777777" w:rsidR="00F026E8" w:rsidRPr="00FE7622" w:rsidRDefault="00F026E8" w:rsidP="00AF19CC">
            <w:pPr>
              <w:pStyle w:val="72TabletextTablesTableFigureBoxstyles"/>
              <w:rPr>
                <w:rFonts w:eastAsia="Calibri"/>
              </w:rPr>
            </w:pPr>
            <w:r w:rsidRPr="00FE7622">
              <w:rPr>
                <w:rFonts w:eastAsia="Calibri"/>
                <w:color w:val="auto"/>
              </w:rPr>
              <w:t>Muscle mass (kg)</w:t>
            </w:r>
          </w:p>
        </w:tc>
        <w:tc>
          <w:tcPr>
            <w:tcW w:w="0" w:type="auto"/>
            <w:shd w:val="clear" w:color="auto" w:fill="auto"/>
          </w:tcPr>
          <w:p w14:paraId="0B22C5AA" w14:textId="1C53BAF2"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005C414" w14:textId="77777777" w:rsidR="00F026E8" w:rsidRPr="00FE7622" w:rsidRDefault="00F026E8" w:rsidP="00AF19CC">
            <w:pPr>
              <w:pStyle w:val="72TabletextTablesTableFigureBoxstyles"/>
              <w:rPr>
                <w:rFonts w:eastAsia="Calibri"/>
              </w:rPr>
            </w:pPr>
            <w:r w:rsidRPr="00FE7622">
              <w:rPr>
                <w:rFonts w:eastAsia="Calibri"/>
                <w:color w:val="auto"/>
              </w:rPr>
              <w:t>6.44 (72, 1.34)</w:t>
            </w:r>
          </w:p>
        </w:tc>
        <w:tc>
          <w:tcPr>
            <w:tcW w:w="0" w:type="auto"/>
            <w:shd w:val="clear" w:color="auto" w:fill="auto"/>
          </w:tcPr>
          <w:p w14:paraId="08400B63" w14:textId="77777777" w:rsidR="00F026E8" w:rsidRPr="00FE7622" w:rsidRDefault="00F026E8" w:rsidP="00AF19CC">
            <w:pPr>
              <w:pStyle w:val="72TabletextTablesTableFigureBoxstyles"/>
              <w:rPr>
                <w:rFonts w:eastAsia="Calibri"/>
                <w:color w:val="auto"/>
              </w:rPr>
            </w:pPr>
            <w:r w:rsidRPr="00FE7622">
              <w:rPr>
                <w:rFonts w:eastAsia="Calibri"/>
                <w:color w:val="auto"/>
              </w:rPr>
              <w:t>6.42 (73, 1.12)</w:t>
            </w:r>
          </w:p>
        </w:tc>
        <w:tc>
          <w:tcPr>
            <w:tcW w:w="0" w:type="auto"/>
            <w:vMerge w:val="restart"/>
            <w:shd w:val="clear" w:color="auto" w:fill="auto"/>
          </w:tcPr>
          <w:p w14:paraId="7F9D4296" w14:textId="400A8D5A" w:rsidR="00F026E8" w:rsidRPr="00FE7622" w:rsidRDefault="00F026E8" w:rsidP="00AF19CC">
            <w:pPr>
              <w:pStyle w:val="72TabletextTablesTableFigureBoxstyles"/>
              <w:rPr>
                <w:rFonts w:ascii="Calibri" w:eastAsia="Calibri" w:hAnsi="Calibri" w:cs="Calibri"/>
              </w:rPr>
            </w:pPr>
            <w:r w:rsidRPr="00FE7622">
              <w:rPr>
                <w:color w:val="auto"/>
              </w:rPr>
              <w:t>–0.05</w:t>
            </w:r>
            <w:r w:rsidR="00F921A4" w:rsidRPr="00FE7622">
              <w:rPr>
                <w:color w:val="auto"/>
              </w:rPr>
              <w:t xml:space="preserve"> </w:t>
            </w:r>
            <w:r w:rsidR="00875A45" w:rsidRPr="00FE7622">
              <w:rPr>
                <w:color w:val="auto"/>
              </w:rPr>
              <w:t>(–0.53 to 0.44)</w:t>
            </w:r>
          </w:p>
        </w:tc>
        <w:tc>
          <w:tcPr>
            <w:tcW w:w="0" w:type="auto"/>
            <w:vMerge w:val="restart"/>
            <w:shd w:val="clear" w:color="auto" w:fill="auto"/>
          </w:tcPr>
          <w:p w14:paraId="4F106077" w14:textId="77777777" w:rsidR="00F026E8" w:rsidRPr="00FE7622" w:rsidRDefault="00F026E8" w:rsidP="00AF19CC">
            <w:pPr>
              <w:pStyle w:val="72TabletextTablesTableFigureBoxstyles"/>
              <w:rPr>
                <w:rFonts w:ascii="Calibri" w:eastAsia="Calibri" w:hAnsi="Calibri" w:cs="Calibri"/>
              </w:rPr>
            </w:pPr>
            <w:r w:rsidRPr="00FE7622">
              <w:rPr>
                <w:color w:val="auto"/>
              </w:rPr>
              <w:t>0.86</w:t>
            </w:r>
          </w:p>
        </w:tc>
        <w:tc>
          <w:tcPr>
            <w:tcW w:w="0" w:type="auto"/>
            <w:vMerge w:val="restart"/>
            <w:shd w:val="clear" w:color="auto" w:fill="auto"/>
          </w:tcPr>
          <w:p w14:paraId="4C74C806" w14:textId="694F12F7" w:rsidR="00F026E8" w:rsidRPr="00FE7622" w:rsidRDefault="00F026E8" w:rsidP="00AF19CC">
            <w:pPr>
              <w:pStyle w:val="72TabletextTablesTableFigureBoxstyles"/>
              <w:rPr>
                <w:rFonts w:eastAsia="Calibri"/>
              </w:rPr>
            </w:pPr>
            <w:r w:rsidRPr="00FE7622">
              <w:rPr>
                <w:rFonts w:eastAsia="Calibri"/>
                <w:color w:val="auto"/>
              </w:rPr>
              <w:t>–0.25</w:t>
            </w:r>
            <w:r w:rsidR="004C4560" w:rsidRPr="00FE7622">
              <w:rPr>
                <w:rFonts w:eastAsia="Calibri"/>
                <w:color w:val="auto"/>
              </w:rPr>
              <w:t xml:space="preserve"> </w:t>
            </w:r>
            <w:r w:rsidR="00875A45" w:rsidRPr="00FE7622">
              <w:rPr>
                <w:rFonts w:eastAsia="Calibri"/>
                <w:color w:val="auto"/>
              </w:rPr>
              <w:t>(–0.95 to 0.44)</w:t>
            </w:r>
          </w:p>
        </w:tc>
        <w:tc>
          <w:tcPr>
            <w:tcW w:w="0" w:type="auto"/>
            <w:vMerge w:val="restart"/>
            <w:shd w:val="clear" w:color="auto" w:fill="auto"/>
          </w:tcPr>
          <w:p w14:paraId="372A6639" w14:textId="77777777" w:rsidR="00F026E8" w:rsidRPr="00FE7622" w:rsidRDefault="00F026E8" w:rsidP="00AF19CC">
            <w:pPr>
              <w:pStyle w:val="72TabletextTablesTableFigureBoxstyles"/>
              <w:rPr>
                <w:rFonts w:eastAsia="Calibri"/>
                <w:color w:val="auto"/>
              </w:rPr>
            </w:pPr>
            <w:r w:rsidRPr="00FE7622">
              <w:rPr>
                <w:rFonts w:eastAsia="Calibri"/>
                <w:color w:val="auto"/>
              </w:rPr>
              <w:t>0.47</w:t>
            </w:r>
          </w:p>
        </w:tc>
      </w:tr>
      <w:tr w:rsidR="00F026E8" w:rsidRPr="00FE7622" w14:paraId="31FC08AA" w14:textId="77777777" w:rsidTr="00AF19CC">
        <w:trPr>
          <w:cantSplit/>
        </w:trPr>
        <w:tc>
          <w:tcPr>
            <w:tcW w:w="0" w:type="auto"/>
            <w:vMerge/>
            <w:shd w:val="clear" w:color="auto" w:fill="auto"/>
          </w:tcPr>
          <w:p w14:paraId="530CFC6C" w14:textId="77777777" w:rsidR="00F026E8" w:rsidRPr="00FE7622" w:rsidRDefault="00F026E8" w:rsidP="00AF19CC">
            <w:pPr>
              <w:pStyle w:val="72TabletextTablesTableFigureBoxstyles"/>
              <w:rPr>
                <w:rFonts w:eastAsia="Calibri"/>
              </w:rPr>
            </w:pPr>
          </w:p>
        </w:tc>
        <w:tc>
          <w:tcPr>
            <w:tcW w:w="0" w:type="auto"/>
            <w:shd w:val="clear" w:color="auto" w:fill="auto"/>
          </w:tcPr>
          <w:p w14:paraId="343CA6E8" w14:textId="53378472"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15DBECCC" w14:textId="77777777" w:rsidR="00F026E8" w:rsidRPr="00FE7622" w:rsidRDefault="00F026E8" w:rsidP="00AF19CC">
            <w:pPr>
              <w:pStyle w:val="72TabletextTablesTableFigureBoxstyles"/>
              <w:rPr>
                <w:rFonts w:eastAsia="Calibri"/>
              </w:rPr>
            </w:pPr>
            <w:r w:rsidRPr="00FE7622">
              <w:rPr>
                <w:rFonts w:eastAsia="Calibri"/>
                <w:color w:val="auto"/>
              </w:rPr>
              <w:t>6.03 (54, 2.23)</w:t>
            </w:r>
          </w:p>
        </w:tc>
        <w:tc>
          <w:tcPr>
            <w:tcW w:w="0" w:type="auto"/>
            <w:shd w:val="clear" w:color="auto" w:fill="auto"/>
          </w:tcPr>
          <w:p w14:paraId="311811C5" w14:textId="77777777" w:rsidR="00F026E8" w:rsidRPr="00FE7622" w:rsidRDefault="00F026E8" w:rsidP="00AF19CC">
            <w:pPr>
              <w:pStyle w:val="72TabletextTablesTableFigureBoxstyles"/>
              <w:rPr>
                <w:rFonts w:eastAsia="Calibri"/>
              </w:rPr>
            </w:pPr>
            <w:r w:rsidRPr="00FE7622">
              <w:rPr>
                <w:rFonts w:eastAsia="Calibri"/>
                <w:color w:val="auto"/>
              </w:rPr>
              <w:t>6.28 (58, 1.83)</w:t>
            </w:r>
          </w:p>
        </w:tc>
        <w:tc>
          <w:tcPr>
            <w:tcW w:w="0" w:type="auto"/>
            <w:vMerge/>
            <w:shd w:val="clear" w:color="auto" w:fill="auto"/>
          </w:tcPr>
          <w:p w14:paraId="036E8D3C"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32CE208"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BE81F54"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0306ABDE"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1BBB63E9" w14:textId="77777777" w:rsidTr="00AF19CC">
        <w:trPr>
          <w:cantSplit/>
        </w:trPr>
        <w:tc>
          <w:tcPr>
            <w:tcW w:w="0" w:type="auto"/>
            <w:vMerge w:val="restart"/>
            <w:shd w:val="clear" w:color="auto" w:fill="auto"/>
          </w:tcPr>
          <w:p w14:paraId="2CE53143" w14:textId="77777777" w:rsidR="00F026E8" w:rsidRPr="00FE7622" w:rsidRDefault="00F026E8" w:rsidP="00AF19CC">
            <w:pPr>
              <w:pStyle w:val="72TabletextTablesTableFigureBoxstyles"/>
              <w:rPr>
                <w:rFonts w:eastAsia="Calibri"/>
              </w:rPr>
            </w:pPr>
            <w:r w:rsidRPr="00FE7622">
              <w:rPr>
                <w:rFonts w:eastAsia="Calibri"/>
                <w:color w:val="auto"/>
              </w:rPr>
              <w:t>Grip strength (kg)</w:t>
            </w:r>
          </w:p>
        </w:tc>
        <w:tc>
          <w:tcPr>
            <w:tcW w:w="0" w:type="auto"/>
            <w:shd w:val="clear" w:color="auto" w:fill="auto"/>
          </w:tcPr>
          <w:p w14:paraId="6F9F971A" w14:textId="13E0DB8A"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874B063" w14:textId="77777777" w:rsidR="00F026E8" w:rsidRPr="00FE7622" w:rsidRDefault="00F026E8" w:rsidP="00AF19CC">
            <w:pPr>
              <w:pStyle w:val="72TabletextTablesTableFigureBoxstyles"/>
              <w:rPr>
                <w:rFonts w:eastAsia="Calibri"/>
              </w:rPr>
            </w:pPr>
            <w:r w:rsidRPr="00FE7622">
              <w:rPr>
                <w:rFonts w:eastAsia="Calibri"/>
                <w:color w:val="auto"/>
              </w:rPr>
              <w:t>17.8 (72, 6.8)</w:t>
            </w:r>
          </w:p>
        </w:tc>
        <w:tc>
          <w:tcPr>
            <w:tcW w:w="0" w:type="auto"/>
            <w:shd w:val="clear" w:color="auto" w:fill="auto"/>
          </w:tcPr>
          <w:p w14:paraId="0F9FAE32" w14:textId="77777777" w:rsidR="00F026E8" w:rsidRPr="00FE7622" w:rsidRDefault="00F026E8" w:rsidP="00AF19CC">
            <w:pPr>
              <w:pStyle w:val="72TabletextTablesTableFigureBoxstyles"/>
              <w:rPr>
                <w:rFonts w:eastAsia="Calibri"/>
                <w:color w:val="auto"/>
              </w:rPr>
            </w:pPr>
            <w:r w:rsidRPr="00FE7622">
              <w:rPr>
                <w:rFonts w:eastAsia="Calibri"/>
                <w:color w:val="auto"/>
              </w:rPr>
              <w:t>18.3 (73, 6.8)</w:t>
            </w:r>
          </w:p>
        </w:tc>
        <w:tc>
          <w:tcPr>
            <w:tcW w:w="0" w:type="auto"/>
            <w:vMerge w:val="restart"/>
            <w:shd w:val="clear" w:color="auto" w:fill="auto"/>
          </w:tcPr>
          <w:p w14:paraId="68A5869F" w14:textId="6503CB59" w:rsidR="00F026E8" w:rsidRPr="00FE7622" w:rsidRDefault="00F026E8" w:rsidP="00AF19CC">
            <w:pPr>
              <w:pStyle w:val="72TabletextTablesTableFigureBoxstyles"/>
              <w:rPr>
                <w:rFonts w:ascii="Calibri" w:eastAsia="Calibri" w:hAnsi="Calibri" w:cs="Calibri"/>
              </w:rPr>
            </w:pPr>
            <w:r w:rsidRPr="00FE7622">
              <w:rPr>
                <w:color w:val="auto"/>
              </w:rPr>
              <w:t>–0.6</w:t>
            </w:r>
            <w:r w:rsidR="00F921A4" w:rsidRPr="00FE7622">
              <w:rPr>
                <w:color w:val="auto"/>
              </w:rPr>
              <w:t xml:space="preserve"> </w:t>
            </w:r>
            <w:r w:rsidR="00875A45" w:rsidRPr="00FE7622">
              <w:rPr>
                <w:color w:val="auto"/>
              </w:rPr>
              <w:t>(–2.7 to 1.6)</w:t>
            </w:r>
          </w:p>
        </w:tc>
        <w:tc>
          <w:tcPr>
            <w:tcW w:w="0" w:type="auto"/>
            <w:vMerge w:val="restart"/>
            <w:shd w:val="clear" w:color="auto" w:fill="auto"/>
          </w:tcPr>
          <w:p w14:paraId="312A71A2" w14:textId="77777777" w:rsidR="00F026E8" w:rsidRPr="00FE7622" w:rsidRDefault="00F026E8" w:rsidP="00AF19CC">
            <w:pPr>
              <w:pStyle w:val="72TabletextTablesTableFigureBoxstyles"/>
              <w:rPr>
                <w:rFonts w:ascii="Calibri" w:eastAsia="Calibri" w:hAnsi="Calibri" w:cs="Calibri"/>
              </w:rPr>
            </w:pPr>
            <w:r w:rsidRPr="00FE7622">
              <w:rPr>
                <w:color w:val="auto"/>
              </w:rPr>
              <w:t>0.61</w:t>
            </w:r>
          </w:p>
        </w:tc>
        <w:tc>
          <w:tcPr>
            <w:tcW w:w="0" w:type="auto"/>
            <w:vMerge w:val="restart"/>
            <w:shd w:val="clear" w:color="auto" w:fill="auto"/>
          </w:tcPr>
          <w:p w14:paraId="347AC6A5" w14:textId="73619A3E" w:rsidR="00F026E8" w:rsidRPr="00FE7622" w:rsidRDefault="00F026E8" w:rsidP="00AF19CC">
            <w:pPr>
              <w:pStyle w:val="72TabletextTablesTableFigureBoxstyles"/>
              <w:rPr>
                <w:rFonts w:eastAsia="Calibri"/>
              </w:rPr>
            </w:pPr>
            <w:r w:rsidRPr="00FE7622">
              <w:rPr>
                <w:rFonts w:eastAsia="Calibri"/>
                <w:color w:val="auto"/>
              </w:rPr>
              <w:t>–0.3</w:t>
            </w:r>
            <w:r w:rsidR="004C4560" w:rsidRPr="00FE7622">
              <w:rPr>
                <w:rFonts w:eastAsia="Calibri"/>
                <w:color w:val="auto"/>
              </w:rPr>
              <w:t xml:space="preserve"> </w:t>
            </w:r>
            <w:r w:rsidR="00875A45" w:rsidRPr="00FE7622">
              <w:rPr>
                <w:rFonts w:eastAsia="Calibri"/>
                <w:color w:val="auto"/>
              </w:rPr>
              <w:t>(–1.2 to 0.7)</w:t>
            </w:r>
          </w:p>
        </w:tc>
        <w:tc>
          <w:tcPr>
            <w:tcW w:w="0" w:type="auto"/>
            <w:vMerge w:val="restart"/>
            <w:shd w:val="clear" w:color="auto" w:fill="auto"/>
          </w:tcPr>
          <w:p w14:paraId="65237138" w14:textId="77777777" w:rsidR="00F026E8" w:rsidRPr="00FE7622" w:rsidRDefault="00F026E8" w:rsidP="00AF19CC">
            <w:pPr>
              <w:pStyle w:val="72TabletextTablesTableFigureBoxstyles"/>
              <w:rPr>
                <w:rFonts w:eastAsia="Calibri"/>
                <w:color w:val="auto"/>
              </w:rPr>
            </w:pPr>
            <w:r w:rsidRPr="00FE7622">
              <w:rPr>
                <w:rFonts w:eastAsia="Calibri"/>
                <w:color w:val="auto"/>
              </w:rPr>
              <w:t>0.55</w:t>
            </w:r>
          </w:p>
        </w:tc>
      </w:tr>
      <w:tr w:rsidR="00F026E8" w:rsidRPr="00FE7622" w14:paraId="36E547AA" w14:textId="77777777" w:rsidTr="00AF19CC">
        <w:trPr>
          <w:cantSplit/>
        </w:trPr>
        <w:tc>
          <w:tcPr>
            <w:tcW w:w="0" w:type="auto"/>
            <w:vMerge/>
            <w:shd w:val="clear" w:color="auto" w:fill="auto"/>
          </w:tcPr>
          <w:p w14:paraId="7EF4B111" w14:textId="77777777" w:rsidR="00F026E8" w:rsidRPr="00FE7622" w:rsidRDefault="00F026E8" w:rsidP="00AF19CC">
            <w:pPr>
              <w:pStyle w:val="72TabletextTablesTableFigureBoxstyles"/>
              <w:rPr>
                <w:rFonts w:eastAsia="Calibri"/>
              </w:rPr>
            </w:pPr>
          </w:p>
        </w:tc>
        <w:tc>
          <w:tcPr>
            <w:tcW w:w="0" w:type="auto"/>
            <w:shd w:val="clear" w:color="auto" w:fill="auto"/>
          </w:tcPr>
          <w:p w14:paraId="0C39C7B3" w14:textId="3452F39B"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1FAECE82" w14:textId="77777777" w:rsidR="00F026E8" w:rsidRPr="00FE7622" w:rsidRDefault="00F026E8" w:rsidP="00AF19CC">
            <w:pPr>
              <w:pStyle w:val="72TabletextTablesTableFigureBoxstyles"/>
              <w:rPr>
                <w:rFonts w:eastAsia="Calibri"/>
              </w:rPr>
            </w:pPr>
            <w:r w:rsidRPr="00FE7622">
              <w:rPr>
                <w:rFonts w:eastAsia="Calibri"/>
                <w:color w:val="auto"/>
              </w:rPr>
              <w:t>18.8 (59, 7.3)</w:t>
            </w:r>
          </w:p>
        </w:tc>
        <w:tc>
          <w:tcPr>
            <w:tcW w:w="0" w:type="auto"/>
            <w:shd w:val="clear" w:color="auto" w:fill="auto"/>
          </w:tcPr>
          <w:p w14:paraId="103518B6" w14:textId="77777777" w:rsidR="00F026E8" w:rsidRPr="00FE7622" w:rsidRDefault="00F026E8" w:rsidP="00AF19CC">
            <w:pPr>
              <w:pStyle w:val="72TabletextTablesTableFigureBoxstyles"/>
              <w:rPr>
                <w:rFonts w:eastAsia="Calibri"/>
              </w:rPr>
            </w:pPr>
            <w:r w:rsidRPr="00FE7622">
              <w:rPr>
                <w:rFonts w:eastAsia="Calibri"/>
                <w:color w:val="auto"/>
              </w:rPr>
              <w:t>19.0 (62, 7.5)</w:t>
            </w:r>
          </w:p>
        </w:tc>
        <w:tc>
          <w:tcPr>
            <w:tcW w:w="0" w:type="auto"/>
            <w:vMerge/>
            <w:shd w:val="clear" w:color="auto" w:fill="auto"/>
          </w:tcPr>
          <w:p w14:paraId="6001BC88"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3DAA9302"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53D69941"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AC2312C"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5FDED015" w14:textId="77777777" w:rsidTr="00AF19CC">
        <w:trPr>
          <w:cantSplit/>
        </w:trPr>
        <w:tc>
          <w:tcPr>
            <w:tcW w:w="0" w:type="auto"/>
            <w:vMerge/>
            <w:shd w:val="clear" w:color="auto" w:fill="auto"/>
          </w:tcPr>
          <w:p w14:paraId="14FB2711" w14:textId="77777777" w:rsidR="00F026E8" w:rsidRPr="00FE7622" w:rsidRDefault="00F026E8" w:rsidP="00AF19CC">
            <w:pPr>
              <w:pStyle w:val="72TabletextTablesTableFigureBoxstyles"/>
              <w:rPr>
                <w:rFonts w:eastAsia="Calibri"/>
              </w:rPr>
            </w:pPr>
          </w:p>
        </w:tc>
        <w:tc>
          <w:tcPr>
            <w:tcW w:w="0" w:type="auto"/>
            <w:shd w:val="clear" w:color="auto" w:fill="auto"/>
          </w:tcPr>
          <w:p w14:paraId="021676A5" w14:textId="6D585D2B"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32D245A6" w14:textId="77777777" w:rsidR="00F026E8" w:rsidRPr="00FE7622" w:rsidRDefault="00F026E8" w:rsidP="00AF19CC">
            <w:pPr>
              <w:pStyle w:val="72TabletextTablesTableFigureBoxstyles"/>
              <w:rPr>
                <w:rFonts w:eastAsia="Calibri"/>
              </w:rPr>
            </w:pPr>
            <w:r w:rsidRPr="00FE7622">
              <w:rPr>
                <w:rFonts w:eastAsia="Calibri"/>
                <w:color w:val="auto"/>
              </w:rPr>
              <w:t>19.4 (50, 6.5)</w:t>
            </w:r>
          </w:p>
        </w:tc>
        <w:tc>
          <w:tcPr>
            <w:tcW w:w="0" w:type="auto"/>
            <w:shd w:val="clear" w:color="auto" w:fill="auto"/>
          </w:tcPr>
          <w:p w14:paraId="47C6C381" w14:textId="77777777" w:rsidR="00F026E8" w:rsidRPr="00FE7622" w:rsidRDefault="00F026E8" w:rsidP="00AF19CC">
            <w:pPr>
              <w:pStyle w:val="72TabletextTablesTableFigureBoxstyles"/>
              <w:rPr>
                <w:rFonts w:eastAsia="Calibri"/>
              </w:rPr>
            </w:pPr>
            <w:r w:rsidRPr="00FE7622">
              <w:rPr>
                <w:rFonts w:eastAsia="Calibri"/>
                <w:color w:val="auto"/>
              </w:rPr>
              <w:t>19.9 (55, 7.1)</w:t>
            </w:r>
          </w:p>
        </w:tc>
        <w:tc>
          <w:tcPr>
            <w:tcW w:w="0" w:type="auto"/>
            <w:vMerge/>
            <w:shd w:val="clear" w:color="auto" w:fill="auto"/>
          </w:tcPr>
          <w:p w14:paraId="2F47004F"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51E3A560"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54C2313"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74EA6984"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3F1DC2AC" w14:textId="77777777" w:rsidTr="00AF19CC">
        <w:trPr>
          <w:cantSplit/>
        </w:trPr>
        <w:tc>
          <w:tcPr>
            <w:tcW w:w="0" w:type="auto"/>
            <w:vMerge w:val="restart"/>
            <w:shd w:val="clear" w:color="auto" w:fill="auto"/>
          </w:tcPr>
          <w:p w14:paraId="01E19B76" w14:textId="77777777" w:rsidR="00F026E8" w:rsidRPr="00FE7622" w:rsidRDefault="00F026E8" w:rsidP="00AF19CC">
            <w:pPr>
              <w:pStyle w:val="72TabletextTablesTableFigureBoxstyles"/>
              <w:rPr>
                <w:rFonts w:eastAsia="Calibri"/>
              </w:rPr>
            </w:pPr>
            <w:r w:rsidRPr="00FE7622">
              <w:rPr>
                <w:rFonts w:eastAsia="Calibri"/>
                <w:color w:val="auto"/>
              </w:rPr>
              <w:t>Quadriceps strength (kg)</w:t>
            </w:r>
          </w:p>
        </w:tc>
        <w:tc>
          <w:tcPr>
            <w:tcW w:w="0" w:type="auto"/>
            <w:shd w:val="clear" w:color="auto" w:fill="auto"/>
          </w:tcPr>
          <w:p w14:paraId="4715AB93" w14:textId="71FB2EFB"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2563F89A" w14:textId="77777777" w:rsidR="00F026E8" w:rsidRPr="00FE7622" w:rsidRDefault="00F026E8" w:rsidP="00AF19CC">
            <w:pPr>
              <w:pStyle w:val="72TabletextTablesTableFigureBoxstyles"/>
              <w:rPr>
                <w:rFonts w:eastAsia="Calibri"/>
              </w:rPr>
            </w:pPr>
            <w:r w:rsidRPr="00FE7622">
              <w:rPr>
                <w:rFonts w:eastAsia="Calibri"/>
                <w:color w:val="auto"/>
              </w:rPr>
              <w:t>12.9 (68, 7.4)</w:t>
            </w:r>
          </w:p>
        </w:tc>
        <w:tc>
          <w:tcPr>
            <w:tcW w:w="0" w:type="auto"/>
            <w:shd w:val="clear" w:color="auto" w:fill="auto"/>
          </w:tcPr>
          <w:p w14:paraId="07450065" w14:textId="77777777" w:rsidR="00F026E8" w:rsidRPr="00FE7622" w:rsidRDefault="00F026E8" w:rsidP="00AF19CC">
            <w:pPr>
              <w:pStyle w:val="72TabletextTablesTableFigureBoxstyles"/>
              <w:rPr>
                <w:rFonts w:eastAsia="Calibri"/>
                <w:color w:val="auto"/>
              </w:rPr>
            </w:pPr>
            <w:r w:rsidRPr="00FE7622">
              <w:rPr>
                <w:rFonts w:eastAsia="Calibri"/>
                <w:color w:val="auto"/>
              </w:rPr>
              <w:t>13.3 (67, 5.7)</w:t>
            </w:r>
          </w:p>
        </w:tc>
        <w:tc>
          <w:tcPr>
            <w:tcW w:w="0" w:type="auto"/>
            <w:vMerge w:val="restart"/>
            <w:shd w:val="clear" w:color="auto" w:fill="auto"/>
          </w:tcPr>
          <w:p w14:paraId="3A74B490" w14:textId="2C758255" w:rsidR="00F026E8" w:rsidRPr="00FE7622" w:rsidRDefault="00F026E8" w:rsidP="00AF19CC">
            <w:pPr>
              <w:pStyle w:val="72TabletextTablesTableFigureBoxstyles"/>
              <w:rPr>
                <w:rFonts w:eastAsia="Calibri"/>
              </w:rPr>
            </w:pPr>
            <w:r w:rsidRPr="00FE7622">
              <w:rPr>
                <w:rFonts w:eastAsia="Calibri"/>
                <w:color w:val="auto"/>
              </w:rPr>
              <w:t>–0.6</w:t>
            </w:r>
            <w:r w:rsidR="00F921A4" w:rsidRPr="00FE7622">
              <w:rPr>
                <w:rFonts w:eastAsia="Calibri"/>
                <w:color w:val="auto"/>
              </w:rPr>
              <w:t xml:space="preserve"> </w:t>
            </w:r>
            <w:r w:rsidR="00875A45" w:rsidRPr="00FE7622">
              <w:rPr>
                <w:rFonts w:eastAsia="Calibri"/>
                <w:color w:val="auto"/>
              </w:rPr>
              <w:t>(–2.6 to 1.4)</w:t>
            </w:r>
          </w:p>
        </w:tc>
        <w:tc>
          <w:tcPr>
            <w:tcW w:w="0" w:type="auto"/>
            <w:vMerge w:val="restart"/>
            <w:shd w:val="clear" w:color="auto" w:fill="auto"/>
          </w:tcPr>
          <w:p w14:paraId="2A3FD201" w14:textId="77777777" w:rsidR="00F026E8" w:rsidRPr="00FE7622" w:rsidRDefault="00F026E8" w:rsidP="00AF19CC">
            <w:pPr>
              <w:pStyle w:val="72TabletextTablesTableFigureBoxstyles"/>
              <w:rPr>
                <w:rFonts w:eastAsia="Calibri"/>
              </w:rPr>
            </w:pPr>
            <w:r w:rsidRPr="00FE7622">
              <w:rPr>
                <w:color w:val="auto"/>
              </w:rPr>
              <w:t>0.53</w:t>
            </w:r>
          </w:p>
        </w:tc>
        <w:tc>
          <w:tcPr>
            <w:tcW w:w="0" w:type="auto"/>
            <w:vMerge w:val="restart"/>
            <w:shd w:val="clear" w:color="auto" w:fill="auto"/>
          </w:tcPr>
          <w:p w14:paraId="51A384B6" w14:textId="5DF36545" w:rsidR="00F026E8" w:rsidRPr="00FE7622" w:rsidRDefault="00F026E8" w:rsidP="00AF19CC">
            <w:pPr>
              <w:pStyle w:val="72TabletextTablesTableFigureBoxstyles"/>
              <w:rPr>
                <w:rFonts w:eastAsia="Calibri"/>
              </w:rPr>
            </w:pPr>
            <w:r w:rsidRPr="00FE7622">
              <w:rPr>
                <w:rFonts w:eastAsia="Calibri"/>
                <w:color w:val="auto"/>
              </w:rPr>
              <w:t>–1.0</w:t>
            </w:r>
            <w:r w:rsidR="004C4560" w:rsidRPr="00FE7622">
              <w:rPr>
                <w:rFonts w:eastAsia="Calibri"/>
                <w:color w:val="auto"/>
              </w:rPr>
              <w:t xml:space="preserve"> </w:t>
            </w:r>
            <w:r w:rsidR="00875A45" w:rsidRPr="00FE7622">
              <w:rPr>
                <w:rFonts w:eastAsia="Calibri"/>
                <w:color w:val="auto"/>
              </w:rPr>
              <w:t>(–4.4 to 2.4)</w:t>
            </w:r>
          </w:p>
        </w:tc>
        <w:tc>
          <w:tcPr>
            <w:tcW w:w="0" w:type="auto"/>
            <w:vMerge w:val="restart"/>
            <w:shd w:val="clear" w:color="auto" w:fill="auto"/>
          </w:tcPr>
          <w:p w14:paraId="09272E09" w14:textId="77777777" w:rsidR="00F026E8" w:rsidRPr="00FE7622" w:rsidRDefault="00F026E8" w:rsidP="00AF19CC">
            <w:pPr>
              <w:pStyle w:val="72TabletextTablesTableFigureBoxstyles"/>
              <w:rPr>
                <w:rFonts w:eastAsia="Calibri"/>
                <w:color w:val="auto"/>
              </w:rPr>
            </w:pPr>
            <w:r w:rsidRPr="00FE7622">
              <w:rPr>
                <w:rFonts w:eastAsia="Calibri"/>
                <w:color w:val="auto"/>
              </w:rPr>
              <w:t>0.55</w:t>
            </w:r>
          </w:p>
        </w:tc>
      </w:tr>
      <w:tr w:rsidR="00F026E8" w:rsidRPr="00FE7622" w14:paraId="44474A5E" w14:textId="77777777" w:rsidTr="00AF19CC">
        <w:trPr>
          <w:cantSplit/>
        </w:trPr>
        <w:tc>
          <w:tcPr>
            <w:tcW w:w="0" w:type="auto"/>
            <w:vMerge/>
            <w:shd w:val="clear" w:color="auto" w:fill="auto"/>
          </w:tcPr>
          <w:p w14:paraId="73C20B2F" w14:textId="77777777" w:rsidR="00F026E8" w:rsidRPr="00FE7622" w:rsidRDefault="00F026E8" w:rsidP="00AF19CC">
            <w:pPr>
              <w:pStyle w:val="72TabletextTablesTableFigureBoxstyles"/>
              <w:rPr>
                <w:rFonts w:eastAsia="Calibri"/>
              </w:rPr>
            </w:pPr>
          </w:p>
        </w:tc>
        <w:tc>
          <w:tcPr>
            <w:tcW w:w="0" w:type="auto"/>
            <w:shd w:val="clear" w:color="auto" w:fill="auto"/>
          </w:tcPr>
          <w:p w14:paraId="76340DF2" w14:textId="4C4656D5"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607F121" w14:textId="77777777" w:rsidR="00F026E8" w:rsidRPr="00FE7622" w:rsidRDefault="00F026E8" w:rsidP="00AF19CC">
            <w:pPr>
              <w:pStyle w:val="72TabletextTablesTableFigureBoxstyles"/>
              <w:rPr>
                <w:rFonts w:eastAsia="Calibri"/>
              </w:rPr>
            </w:pPr>
            <w:r w:rsidRPr="00FE7622">
              <w:rPr>
                <w:rFonts w:eastAsia="Calibri"/>
                <w:color w:val="auto"/>
              </w:rPr>
              <w:t>12.6 (56, 5.6)</w:t>
            </w:r>
          </w:p>
        </w:tc>
        <w:tc>
          <w:tcPr>
            <w:tcW w:w="0" w:type="auto"/>
            <w:shd w:val="clear" w:color="auto" w:fill="auto"/>
          </w:tcPr>
          <w:p w14:paraId="39BA4E57" w14:textId="77777777" w:rsidR="00F026E8" w:rsidRPr="00FE7622" w:rsidRDefault="00F026E8" w:rsidP="00AF19CC">
            <w:pPr>
              <w:pStyle w:val="72TabletextTablesTableFigureBoxstyles"/>
              <w:rPr>
                <w:rFonts w:eastAsia="Calibri"/>
              </w:rPr>
            </w:pPr>
            <w:r w:rsidRPr="00FE7622">
              <w:rPr>
                <w:rFonts w:eastAsia="Calibri"/>
                <w:color w:val="auto"/>
              </w:rPr>
              <w:t>14.2 (55, 8.2)</w:t>
            </w:r>
          </w:p>
        </w:tc>
        <w:tc>
          <w:tcPr>
            <w:tcW w:w="0" w:type="auto"/>
            <w:vMerge/>
            <w:shd w:val="clear" w:color="auto" w:fill="auto"/>
          </w:tcPr>
          <w:p w14:paraId="3B5C20CB"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5862E6A2"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536BB5A"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7FBE581D"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36A86075" w14:textId="77777777" w:rsidTr="00AF19CC">
        <w:trPr>
          <w:cantSplit/>
        </w:trPr>
        <w:tc>
          <w:tcPr>
            <w:tcW w:w="0" w:type="auto"/>
            <w:vMerge/>
            <w:shd w:val="clear" w:color="auto" w:fill="auto"/>
          </w:tcPr>
          <w:p w14:paraId="7DFCDF79" w14:textId="77777777" w:rsidR="00F026E8" w:rsidRPr="00FE7622" w:rsidRDefault="00F026E8" w:rsidP="00AF19CC">
            <w:pPr>
              <w:pStyle w:val="72TabletextTablesTableFigureBoxstyles"/>
              <w:rPr>
                <w:rFonts w:eastAsia="Calibri"/>
              </w:rPr>
            </w:pPr>
          </w:p>
        </w:tc>
        <w:tc>
          <w:tcPr>
            <w:tcW w:w="0" w:type="auto"/>
            <w:shd w:val="clear" w:color="auto" w:fill="auto"/>
          </w:tcPr>
          <w:p w14:paraId="6916114D" w14:textId="417E08C3"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0EA2A9FE" w14:textId="77777777" w:rsidR="00F026E8" w:rsidRPr="00FE7622" w:rsidRDefault="00F026E8" w:rsidP="00AF19CC">
            <w:pPr>
              <w:pStyle w:val="72TabletextTablesTableFigureBoxstyles"/>
              <w:rPr>
                <w:rFonts w:eastAsia="Calibri"/>
              </w:rPr>
            </w:pPr>
            <w:r w:rsidRPr="00FE7622">
              <w:rPr>
                <w:rFonts w:eastAsia="Calibri"/>
                <w:color w:val="auto"/>
              </w:rPr>
              <w:t>13.9 (44, 7.0)</w:t>
            </w:r>
          </w:p>
        </w:tc>
        <w:tc>
          <w:tcPr>
            <w:tcW w:w="0" w:type="auto"/>
            <w:shd w:val="clear" w:color="auto" w:fill="auto"/>
          </w:tcPr>
          <w:p w14:paraId="116021C9" w14:textId="77777777" w:rsidR="00F026E8" w:rsidRPr="00FE7622" w:rsidRDefault="00F026E8" w:rsidP="00AF19CC">
            <w:pPr>
              <w:pStyle w:val="72TabletextTablesTableFigureBoxstyles"/>
              <w:rPr>
                <w:rFonts w:eastAsia="Calibri"/>
              </w:rPr>
            </w:pPr>
            <w:r w:rsidRPr="00FE7622">
              <w:rPr>
                <w:rFonts w:eastAsia="Calibri"/>
                <w:color w:val="auto"/>
              </w:rPr>
              <w:t>14.2 (44, 6.6)</w:t>
            </w:r>
          </w:p>
        </w:tc>
        <w:tc>
          <w:tcPr>
            <w:tcW w:w="0" w:type="auto"/>
            <w:vMerge/>
            <w:shd w:val="clear" w:color="auto" w:fill="auto"/>
          </w:tcPr>
          <w:p w14:paraId="2FFCCB73"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015D3CC"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306AE47E"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0FCC9622"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51D14E9A" w14:textId="77777777" w:rsidTr="00AF19CC">
        <w:trPr>
          <w:cantSplit/>
        </w:trPr>
        <w:tc>
          <w:tcPr>
            <w:tcW w:w="0" w:type="auto"/>
            <w:vMerge w:val="restart"/>
            <w:shd w:val="clear" w:color="auto" w:fill="auto"/>
          </w:tcPr>
          <w:p w14:paraId="748934A1" w14:textId="12929498" w:rsidR="00F026E8" w:rsidRPr="00FE7622" w:rsidRDefault="00F026E8" w:rsidP="00AF19CC">
            <w:pPr>
              <w:pStyle w:val="72TabletextTablesTableFigureBoxstyles"/>
              <w:rPr>
                <w:rFonts w:eastAsia="Calibri"/>
              </w:rPr>
            </w:pPr>
            <w:r w:rsidRPr="00FE7622">
              <w:rPr>
                <w:rFonts w:eastAsia="Calibri"/>
                <w:color w:val="auto"/>
              </w:rPr>
              <w:t>Six</w:t>
            </w:r>
            <w:r w:rsidR="008910E9" w:rsidRPr="00FE7622">
              <w:rPr>
                <w:rFonts w:eastAsia="Calibri"/>
                <w:color w:val="auto"/>
              </w:rPr>
              <w:t>-</w:t>
            </w:r>
            <w:r w:rsidRPr="00FE7622">
              <w:rPr>
                <w:rFonts w:eastAsia="Calibri"/>
                <w:color w:val="auto"/>
              </w:rPr>
              <w:t>min</w:t>
            </w:r>
            <w:r w:rsidR="008910E9" w:rsidRPr="00FE7622">
              <w:rPr>
                <w:rFonts w:eastAsia="Calibri"/>
                <w:color w:val="auto"/>
              </w:rPr>
              <w:t>ute</w:t>
            </w:r>
            <w:r w:rsidRPr="00FE7622">
              <w:rPr>
                <w:rFonts w:eastAsia="Calibri"/>
                <w:color w:val="auto"/>
              </w:rPr>
              <w:t xml:space="preserve"> walk (m)</w:t>
            </w:r>
          </w:p>
        </w:tc>
        <w:tc>
          <w:tcPr>
            <w:tcW w:w="0" w:type="auto"/>
            <w:shd w:val="clear" w:color="auto" w:fill="auto"/>
          </w:tcPr>
          <w:p w14:paraId="4EB4F34F" w14:textId="1B230373"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0EE6EA0E" w14:textId="77777777" w:rsidR="00F026E8" w:rsidRPr="00FE7622" w:rsidRDefault="00F026E8" w:rsidP="00AF19CC">
            <w:pPr>
              <w:pStyle w:val="72TabletextTablesTableFigureBoxstyles"/>
              <w:rPr>
                <w:rFonts w:eastAsia="Calibri"/>
              </w:rPr>
            </w:pPr>
            <w:r w:rsidRPr="00FE7622">
              <w:rPr>
                <w:rFonts w:eastAsia="Calibri"/>
                <w:color w:val="auto"/>
              </w:rPr>
              <w:t>311 (71, 110.74)</w:t>
            </w:r>
          </w:p>
        </w:tc>
        <w:tc>
          <w:tcPr>
            <w:tcW w:w="0" w:type="auto"/>
            <w:shd w:val="clear" w:color="auto" w:fill="auto"/>
          </w:tcPr>
          <w:p w14:paraId="4BADD215" w14:textId="77777777" w:rsidR="00F026E8" w:rsidRPr="00FE7622" w:rsidRDefault="00F026E8" w:rsidP="00AF19CC">
            <w:pPr>
              <w:pStyle w:val="72TabletextTablesTableFigureBoxstyles"/>
              <w:rPr>
                <w:rFonts w:eastAsia="Calibri"/>
              </w:rPr>
            </w:pPr>
            <w:r w:rsidRPr="00FE7622">
              <w:rPr>
                <w:rFonts w:eastAsia="Calibri"/>
                <w:color w:val="auto"/>
              </w:rPr>
              <w:t>301 (73, 109.53)</w:t>
            </w:r>
          </w:p>
        </w:tc>
        <w:tc>
          <w:tcPr>
            <w:tcW w:w="0" w:type="auto"/>
            <w:vMerge w:val="restart"/>
            <w:shd w:val="clear" w:color="auto" w:fill="auto"/>
          </w:tcPr>
          <w:p w14:paraId="3F297CCC" w14:textId="1B1A2102" w:rsidR="00F026E8" w:rsidRPr="00FE7622" w:rsidRDefault="00F026E8" w:rsidP="00AF19CC">
            <w:pPr>
              <w:pStyle w:val="72TabletextTablesTableFigureBoxstyles"/>
              <w:rPr>
                <w:rFonts w:ascii="Calibri" w:eastAsia="Calibri" w:hAnsi="Calibri" w:cs="Calibri"/>
              </w:rPr>
            </w:pPr>
            <w:r w:rsidRPr="00FE7622">
              <w:rPr>
                <w:color w:val="auto"/>
              </w:rPr>
              <w:t>6</w:t>
            </w:r>
            <w:r w:rsidR="00F921A4" w:rsidRPr="00FE7622">
              <w:rPr>
                <w:color w:val="auto"/>
              </w:rPr>
              <w:t xml:space="preserve"> </w:t>
            </w:r>
            <w:r w:rsidR="00D605C2" w:rsidRPr="00FE7622">
              <w:rPr>
                <w:color w:val="auto"/>
              </w:rPr>
              <w:t>(–27 to 39)</w:t>
            </w:r>
          </w:p>
        </w:tc>
        <w:tc>
          <w:tcPr>
            <w:tcW w:w="0" w:type="auto"/>
            <w:vMerge w:val="restart"/>
            <w:shd w:val="clear" w:color="auto" w:fill="auto"/>
          </w:tcPr>
          <w:p w14:paraId="35A57DF2" w14:textId="77777777" w:rsidR="00F026E8" w:rsidRPr="00FE7622" w:rsidRDefault="00F026E8" w:rsidP="00AF19CC">
            <w:pPr>
              <w:pStyle w:val="72TabletextTablesTableFigureBoxstyles"/>
              <w:rPr>
                <w:rFonts w:ascii="Calibri" w:eastAsia="Calibri" w:hAnsi="Calibri" w:cs="Calibri"/>
              </w:rPr>
            </w:pPr>
            <w:r w:rsidRPr="00FE7622">
              <w:rPr>
                <w:color w:val="auto"/>
              </w:rPr>
              <w:t>0.72</w:t>
            </w:r>
          </w:p>
        </w:tc>
        <w:tc>
          <w:tcPr>
            <w:tcW w:w="0" w:type="auto"/>
            <w:vMerge w:val="restart"/>
            <w:shd w:val="clear" w:color="auto" w:fill="auto"/>
          </w:tcPr>
          <w:p w14:paraId="519C38EB" w14:textId="3312CA44" w:rsidR="00F026E8" w:rsidRPr="00FE7622" w:rsidRDefault="00F026E8" w:rsidP="00AF19CC">
            <w:pPr>
              <w:pStyle w:val="72TabletextTablesTableFigureBoxstyles"/>
              <w:rPr>
                <w:rFonts w:eastAsia="Calibri"/>
              </w:rPr>
            </w:pPr>
            <w:r w:rsidRPr="00FE7622">
              <w:rPr>
                <w:rFonts w:eastAsia="Calibri"/>
                <w:color w:val="auto"/>
              </w:rPr>
              <w:t>17</w:t>
            </w:r>
            <w:r w:rsidR="004C4560" w:rsidRPr="00FE7622">
              <w:rPr>
                <w:rFonts w:eastAsia="Calibri"/>
                <w:color w:val="auto"/>
              </w:rPr>
              <w:t xml:space="preserve"> </w:t>
            </w:r>
            <w:r w:rsidR="00E56C38" w:rsidRPr="00FE7622">
              <w:rPr>
                <w:rFonts w:eastAsia="Calibri"/>
                <w:color w:val="auto"/>
              </w:rPr>
              <w:t>(–25 to 59)</w:t>
            </w:r>
          </w:p>
        </w:tc>
        <w:tc>
          <w:tcPr>
            <w:tcW w:w="0" w:type="auto"/>
            <w:vMerge w:val="restart"/>
            <w:shd w:val="clear" w:color="auto" w:fill="auto"/>
          </w:tcPr>
          <w:p w14:paraId="71407B91" w14:textId="77777777" w:rsidR="00F026E8" w:rsidRPr="00FE7622" w:rsidRDefault="00F026E8" w:rsidP="00AF19CC">
            <w:pPr>
              <w:pStyle w:val="72TabletextTablesTableFigureBoxstyles"/>
              <w:rPr>
                <w:rFonts w:eastAsia="Calibri"/>
                <w:color w:val="auto"/>
              </w:rPr>
            </w:pPr>
            <w:r w:rsidRPr="00FE7622">
              <w:rPr>
                <w:rFonts w:eastAsia="Calibri"/>
                <w:color w:val="auto"/>
              </w:rPr>
              <w:t>0.43</w:t>
            </w:r>
          </w:p>
        </w:tc>
      </w:tr>
      <w:tr w:rsidR="00F026E8" w:rsidRPr="00FE7622" w14:paraId="227DC84A" w14:textId="77777777" w:rsidTr="00AF19CC">
        <w:trPr>
          <w:cantSplit/>
        </w:trPr>
        <w:tc>
          <w:tcPr>
            <w:tcW w:w="0" w:type="auto"/>
            <w:vMerge/>
            <w:shd w:val="clear" w:color="auto" w:fill="auto"/>
          </w:tcPr>
          <w:p w14:paraId="65C15D8F" w14:textId="77777777" w:rsidR="00F026E8" w:rsidRPr="00FE7622" w:rsidRDefault="00F026E8" w:rsidP="00AF19CC">
            <w:pPr>
              <w:pStyle w:val="72TabletextTablesTableFigureBoxstyles"/>
              <w:rPr>
                <w:rFonts w:eastAsia="Calibri"/>
              </w:rPr>
            </w:pPr>
          </w:p>
        </w:tc>
        <w:tc>
          <w:tcPr>
            <w:tcW w:w="0" w:type="auto"/>
            <w:shd w:val="clear" w:color="auto" w:fill="auto"/>
          </w:tcPr>
          <w:p w14:paraId="462F1B34" w14:textId="294807C1"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18337515" w14:textId="77777777" w:rsidR="00F026E8" w:rsidRPr="00FE7622" w:rsidRDefault="00F026E8" w:rsidP="00AF19CC">
            <w:pPr>
              <w:pStyle w:val="72TabletextTablesTableFigureBoxstyles"/>
              <w:rPr>
                <w:rFonts w:eastAsia="Calibri"/>
              </w:rPr>
            </w:pPr>
            <w:r w:rsidRPr="00FE7622">
              <w:rPr>
                <w:rFonts w:eastAsia="Calibri"/>
                <w:color w:val="auto"/>
              </w:rPr>
              <w:t>330 (57, 97.75)</w:t>
            </w:r>
          </w:p>
        </w:tc>
        <w:tc>
          <w:tcPr>
            <w:tcW w:w="0" w:type="auto"/>
            <w:shd w:val="clear" w:color="auto" w:fill="auto"/>
          </w:tcPr>
          <w:p w14:paraId="091F5C48" w14:textId="77777777" w:rsidR="00F026E8" w:rsidRPr="00FE7622" w:rsidRDefault="00F026E8" w:rsidP="00AF19CC">
            <w:pPr>
              <w:pStyle w:val="72TabletextTablesTableFigureBoxstyles"/>
              <w:rPr>
                <w:rFonts w:eastAsia="Calibri"/>
              </w:rPr>
            </w:pPr>
            <w:r w:rsidRPr="00FE7622">
              <w:rPr>
                <w:rFonts w:eastAsia="Calibri"/>
                <w:color w:val="auto"/>
              </w:rPr>
              <w:t>318 (57, 115.88)</w:t>
            </w:r>
          </w:p>
        </w:tc>
        <w:tc>
          <w:tcPr>
            <w:tcW w:w="0" w:type="auto"/>
            <w:vMerge/>
            <w:shd w:val="clear" w:color="auto" w:fill="auto"/>
          </w:tcPr>
          <w:p w14:paraId="1323EBBC"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41739E7"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A152C01"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9462171"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64EDBB96" w14:textId="77777777" w:rsidTr="00AF19CC">
        <w:trPr>
          <w:cantSplit/>
        </w:trPr>
        <w:tc>
          <w:tcPr>
            <w:tcW w:w="0" w:type="auto"/>
            <w:vMerge/>
            <w:shd w:val="clear" w:color="auto" w:fill="auto"/>
          </w:tcPr>
          <w:p w14:paraId="4E79895C" w14:textId="77777777" w:rsidR="00F026E8" w:rsidRPr="00FE7622" w:rsidRDefault="00F026E8" w:rsidP="00AF19CC">
            <w:pPr>
              <w:pStyle w:val="72TabletextTablesTableFigureBoxstyles"/>
              <w:rPr>
                <w:rFonts w:eastAsia="Calibri"/>
              </w:rPr>
            </w:pPr>
          </w:p>
        </w:tc>
        <w:tc>
          <w:tcPr>
            <w:tcW w:w="0" w:type="auto"/>
            <w:shd w:val="clear" w:color="auto" w:fill="auto"/>
          </w:tcPr>
          <w:p w14:paraId="27977D64" w14:textId="4B5E3AB3"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79B23F8A" w14:textId="77777777" w:rsidR="00F026E8" w:rsidRPr="00FE7622" w:rsidRDefault="00F026E8" w:rsidP="00AF19CC">
            <w:pPr>
              <w:pStyle w:val="72TabletextTablesTableFigureBoxstyles"/>
              <w:rPr>
                <w:rFonts w:eastAsia="Calibri"/>
              </w:rPr>
            </w:pPr>
            <w:r w:rsidRPr="00FE7622">
              <w:rPr>
                <w:rFonts w:eastAsia="Calibri"/>
                <w:color w:val="auto"/>
              </w:rPr>
              <w:t>328 (49, 102.27)</w:t>
            </w:r>
          </w:p>
        </w:tc>
        <w:tc>
          <w:tcPr>
            <w:tcW w:w="0" w:type="auto"/>
            <w:shd w:val="clear" w:color="auto" w:fill="auto"/>
          </w:tcPr>
          <w:p w14:paraId="463C85A5" w14:textId="77777777" w:rsidR="00F026E8" w:rsidRPr="00FE7622" w:rsidRDefault="00F026E8" w:rsidP="00AF19CC">
            <w:pPr>
              <w:pStyle w:val="72TabletextTablesTableFigureBoxstyles"/>
              <w:rPr>
                <w:rFonts w:eastAsia="Calibri"/>
              </w:rPr>
            </w:pPr>
            <w:r w:rsidRPr="00FE7622">
              <w:rPr>
                <w:rFonts w:eastAsia="Calibri"/>
                <w:color w:val="auto"/>
              </w:rPr>
              <w:t>333 (51, 111.63)</w:t>
            </w:r>
          </w:p>
        </w:tc>
        <w:tc>
          <w:tcPr>
            <w:tcW w:w="0" w:type="auto"/>
            <w:vMerge/>
            <w:shd w:val="clear" w:color="auto" w:fill="auto"/>
          </w:tcPr>
          <w:p w14:paraId="1ADFF62B"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CF38054"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48ECC8A"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3549A28D"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7C7B38AE" w14:textId="77777777" w:rsidTr="00AF19CC">
        <w:trPr>
          <w:cantSplit/>
        </w:trPr>
        <w:tc>
          <w:tcPr>
            <w:tcW w:w="0" w:type="auto"/>
            <w:vMerge w:val="restart"/>
            <w:shd w:val="clear" w:color="auto" w:fill="auto"/>
          </w:tcPr>
          <w:p w14:paraId="0F424475" w14:textId="5BD6A87D" w:rsidR="00F026E8" w:rsidRPr="00FE7622" w:rsidRDefault="00F026E8" w:rsidP="00AF19CC">
            <w:pPr>
              <w:pStyle w:val="72TabletextTablesTableFigureBoxstyles"/>
              <w:rPr>
                <w:rFonts w:eastAsia="Calibri"/>
              </w:rPr>
            </w:pPr>
            <w:r w:rsidRPr="00FE7622">
              <w:rPr>
                <w:rFonts w:eastAsia="Calibri"/>
                <w:color w:val="auto"/>
              </w:rPr>
              <w:t>Gait speed (m/</w:t>
            </w:r>
            <w:r w:rsidR="008910E9" w:rsidRPr="00FE7622">
              <w:rPr>
                <w:rFonts w:eastAsia="Calibri"/>
                <w:color w:val="auto"/>
              </w:rPr>
              <w:t>second</w:t>
            </w:r>
            <w:r w:rsidRPr="00FE7622">
              <w:rPr>
                <w:rFonts w:eastAsia="Calibri"/>
                <w:color w:val="auto"/>
              </w:rPr>
              <w:t>)</w:t>
            </w:r>
          </w:p>
        </w:tc>
        <w:tc>
          <w:tcPr>
            <w:tcW w:w="0" w:type="auto"/>
            <w:shd w:val="clear" w:color="auto" w:fill="auto"/>
          </w:tcPr>
          <w:p w14:paraId="7C49039C" w14:textId="78FEB8B8"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181C5FFA" w14:textId="77777777" w:rsidR="00F026E8" w:rsidRPr="00FE7622" w:rsidRDefault="00F026E8" w:rsidP="00AF19CC">
            <w:pPr>
              <w:pStyle w:val="72TabletextTablesTableFigureBoxstyles"/>
              <w:rPr>
                <w:rFonts w:eastAsia="Calibri"/>
              </w:rPr>
            </w:pPr>
            <w:r w:rsidRPr="00FE7622">
              <w:rPr>
                <w:rFonts w:eastAsia="Calibri"/>
                <w:color w:val="auto"/>
              </w:rPr>
              <w:t>0.74 (72, 0.23)</w:t>
            </w:r>
          </w:p>
        </w:tc>
        <w:tc>
          <w:tcPr>
            <w:tcW w:w="0" w:type="auto"/>
            <w:shd w:val="clear" w:color="auto" w:fill="auto"/>
          </w:tcPr>
          <w:p w14:paraId="139AA74E" w14:textId="77777777" w:rsidR="00F026E8" w:rsidRPr="00FE7622" w:rsidRDefault="00F026E8" w:rsidP="00AF19CC">
            <w:pPr>
              <w:pStyle w:val="72TabletextTablesTableFigureBoxstyles"/>
              <w:rPr>
                <w:rFonts w:eastAsia="Calibri"/>
                <w:color w:val="auto"/>
              </w:rPr>
            </w:pPr>
            <w:r w:rsidRPr="00FE7622">
              <w:rPr>
                <w:rFonts w:eastAsia="Calibri"/>
                <w:color w:val="auto"/>
              </w:rPr>
              <w:t>0.75 (73, 0.24)</w:t>
            </w:r>
          </w:p>
        </w:tc>
        <w:tc>
          <w:tcPr>
            <w:tcW w:w="0" w:type="auto"/>
            <w:vMerge w:val="restart"/>
            <w:shd w:val="clear" w:color="auto" w:fill="auto"/>
          </w:tcPr>
          <w:p w14:paraId="3DEAA24B" w14:textId="0249CA44" w:rsidR="00F026E8" w:rsidRPr="00FE7622" w:rsidRDefault="00F026E8" w:rsidP="00AF19CC">
            <w:pPr>
              <w:pStyle w:val="72TabletextTablesTableFigureBoxstyles"/>
              <w:rPr>
                <w:rFonts w:ascii="Calibri" w:eastAsia="Calibri" w:hAnsi="Calibri" w:cs="Calibri"/>
              </w:rPr>
            </w:pPr>
            <w:r w:rsidRPr="00FE7622">
              <w:rPr>
                <w:color w:val="auto"/>
              </w:rPr>
              <w:t>–0.03</w:t>
            </w:r>
            <w:r w:rsidR="00F921A4" w:rsidRPr="00FE7622">
              <w:rPr>
                <w:color w:val="auto"/>
              </w:rPr>
              <w:t xml:space="preserve"> </w:t>
            </w:r>
            <w:r w:rsidR="00D605C2" w:rsidRPr="00FE7622">
              <w:rPr>
                <w:color w:val="auto"/>
              </w:rPr>
              <w:t>(–0.20 to 0.14)</w:t>
            </w:r>
          </w:p>
        </w:tc>
        <w:tc>
          <w:tcPr>
            <w:tcW w:w="0" w:type="auto"/>
            <w:vMerge w:val="restart"/>
            <w:shd w:val="clear" w:color="auto" w:fill="auto"/>
          </w:tcPr>
          <w:p w14:paraId="6D60EDDC" w14:textId="77777777" w:rsidR="00F026E8" w:rsidRPr="00FE7622" w:rsidRDefault="00F026E8" w:rsidP="00AF19CC">
            <w:pPr>
              <w:pStyle w:val="72TabletextTablesTableFigureBoxstyles"/>
              <w:rPr>
                <w:rFonts w:ascii="Calibri" w:eastAsia="Calibri" w:hAnsi="Calibri" w:cs="Calibri"/>
              </w:rPr>
            </w:pPr>
            <w:r w:rsidRPr="00FE7622">
              <w:rPr>
                <w:color w:val="auto"/>
              </w:rPr>
              <w:t>0.74</w:t>
            </w:r>
          </w:p>
        </w:tc>
        <w:tc>
          <w:tcPr>
            <w:tcW w:w="0" w:type="auto"/>
            <w:vMerge w:val="restart"/>
            <w:shd w:val="clear" w:color="auto" w:fill="auto"/>
          </w:tcPr>
          <w:p w14:paraId="10854BED" w14:textId="7903AE49" w:rsidR="00F026E8" w:rsidRPr="00FE7622" w:rsidRDefault="00F026E8" w:rsidP="00AF19CC">
            <w:pPr>
              <w:pStyle w:val="72TabletextTablesTableFigureBoxstyles"/>
              <w:rPr>
                <w:rFonts w:eastAsia="Calibri"/>
              </w:rPr>
            </w:pPr>
            <w:r w:rsidRPr="00FE7622">
              <w:rPr>
                <w:rFonts w:eastAsia="Calibri"/>
                <w:color w:val="auto"/>
              </w:rPr>
              <w:t>0.01</w:t>
            </w:r>
            <w:r w:rsidR="004C4560" w:rsidRPr="00FE7622">
              <w:rPr>
                <w:rFonts w:eastAsia="Calibri"/>
                <w:color w:val="auto"/>
              </w:rPr>
              <w:t xml:space="preserve"> </w:t>
            </w:r>
            <w:r w:rsidR="00E56C38" w:rsidRPr="00FE7622">
              <w:rPr>
                <w:rFonts w:eastAsia="Calibri"/>
                <w:color w:val="auto"/>
              </w:rPr>
              <w:t>(–0.18 to 0.19)</w:t>
            </w:r>
          </w:p>
        </w:tc>
        <w:tc>
          <w:tcPr>
            <w:tcW w:w="0" w:type="auto"/>
            <w:vMerge w:val="restart"/>
            <w:shd w:val="clear" w:color="auto" w:fill="auto"/>
          </w:tcPr>
          <w:p w14:paraId="64BE882E" w14:textId="77777777" w:rsidR="00F026E8" w:rsidRPr="00FE7622" w:rsidRDefault="00F026E8" w:rsidP="00AF19CC">
            <w:pPr>
              <w:pStyle w:val="72TabletextTablesTableFigureBoxstyles"/>
              <w:rPr>
                <w:rFonts w:eastAsia="Calibri"/>
                <w:color w:val="auto"/>
              </w:rPr>
            </w:pPr>
            <w:r w:rsidRPr="00FE7622">
              <w:rPr>
                <w:rFonts w:eastAsia="Calibri"/>
                <w:color w:val="auto"/>
              </w:rPr>
              <w:t>0.96</w:t>
            </w:r>
          </w:p>
        </w:tc>
      </w:tr>
      <w:tr w:rsidR="00F026E8" w:rsidRPr="00FE7622" w14:paraId="785B01F0" w14:textId="77777777" w:rsidTr="00AF19CC">
        <w:trPr>
          <w:cantSplit/>
        </w:trPr>
        <w:tc>
          <w:tcPr>
            <w:tcW w:w="0" w:type="auto"/>
            <w:vMerge/>
            <w:shd w:val="clear" w:color="auto" w:fill="auto"/>
          </w:tcPr>
          <w:p w14:paraId="1E3A619A" w14:textId="77777777" w:rsidR="00F026E8" w:rsidRPr="00FE7622" w:rsidRDefault="00F026E8" w:rsidP="00AF19CC">
            <w:pPr>
              <w:pStyle w:val="72TabletextTablesTableFigureBoxstyles"/>
              <w:rPr>
                <w:rFonts w:eastAsia="Calibri"/>
              </w:rPr>
            </w:pPr>
          </w:p>
        </w:tc>
        <w:tc>
          <w:tcPr>
            <w:tcW w:w="0" w:type="auto"/>
            <w:shd w:val="clear" w:color="auto" w:fill="auto"/>
          </w:tcPr>
          <w:p w14:paraId="40BF041F" w14:textId="5F0166EC"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7B0DF56C" w14:textId="77777777" w:rsidR="00F026E8" w:rsidRPr="00FE7622" w:rsidRDefault="00F026E8" w:rsidP="00AF19CC">
            <w:pPr>
              <w:pStyle w:val="72TabletextTablesTableFigureBoxstyles"/>
              <w:rPr>
                <w:rFonts w:eastAsia="Calibri"/>
              </w:rPr>
            </w:pPr>
            <w:r w:rsidRPr="00FE7622">
              <w:rPr>
                <w:rFonts w:eastAsia="Calibri"/>
                <w:color w:val="auto"/>
              </w:rPr>
              <w:t>0.81 (57, 0.30)</w:t>
            </w:r>
          </w:p>
        </w:tc>
        <w:tc>
          <w:tcPr>
            <w:tcW w:w="0" w:type="auto"/>
            <w:shd w:val="clear" w:color="auto" w:fill="auto"/>
          </w:tcPr>
          <w:p w14:paraId="618D1A1B" w14:textId="77777777" w:rsidR="00F026E8" w:rsidRPr="00FE7622" w:rsidRDefault="00F026E8" w:rsidP="00AF19CC">
            <w:pPr>
              <w:pStyle w:val="72TabletextTablesTableFigureBoxstyles"/>
              <w:rPr>
                <w:rFonts w:eastAsia="Calibri"/>
              </w:rPr>
            </w:pPr>
            <w:r w:rsidRPr="00FE7622">
              <w:rPr>
                <w:rFonts w:eastAsia="Calibri"/>
                <w:color w:val="auto"/>
              </w:rPr>
              <w:t>0.90 (59, 0.42)</w:t>
            </w:r>
          </w:p>
        </w:tc>
        <w:tc>
          <w:tcPr>
            <w:tcW w:w="0" w:type="auto"/>
            <w:vMerge/>
            <w:shd w:val="clear" w:color="auto" w:fill="auto"/>
          </w:tcPr>
          <w:p w14:paraId="7D2F70F8"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00DE144"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F87BB41"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5278661"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38263369" w14:textId="77777777" w:rsidTr="00AF19CC">
        <w:trPr>
          <w:cantSplit/>
        </w:trPr>
        <w:tc>
          <w:tcPr>
            <w:tcW w:w="0" w:type="auto"/>
            <w:vMerge/>
            <w:shd w:val="clear" w:color="auto" w:fill="auto"/>
          </w:tcPr>
          <w:p w14:paraId="5666580F" w14:textId="77777777" w:rsidR="00F026E8" w:rsidRPr="00FE7622" w:rsidRDefault="00F026E8" w:rsidP="00AF19CC">
            <w:pPr>
              <w:pStyle w:val="72TabletextTablesTableFigureBoxstyles"/>
              <w:rPr>
                <w:rFonts w:eastAsia="Calibri"/>
              </w:rPr>
            </w:pPr>
          </w:p>
        </w:tc>
        <w:tc>
          <w:tcPr>
            <w:tcW w:w="0" w:type="auto"/>
            <w:shd w:val="clear" w:color="auto" w:fill="auto"/>
          </w:tcPr>
          <w:p w14:paraId="2F4D2BAA" w14:textId="53D66425"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3E90E808" w14:textId="77777777" w:rsidR="00F026E8" w:rsidRPr="00FE7622" w:rsidRDefault="00F026E8" w:rsidP="00AF19CC">
            <w:pPr>
              <w:pStyle w:val="72TabletextTablesTableFigureBoxstyles"/>
              <w:rPr>
                <w:rFonts w:eastAsia="Calibri"/>
              </w:rPr>
            </w:pPr>
            <w:r w:rsidRPr="00FE7622">
              <w:rPr>
                <w:rFonts w:eastAsia="Calibri"/>
                <w:color w:val="auto"/>
              </w:rPr>
              <w:t>0.85 (50, 0.27)</w:t>
            </w:r>
          </w:p>
        </w:tc>
        <w:tc>
          <w:tcPr>
            <w:tcW w:w="0" w:type="auto"/>
            <w:shd w:val="clear" w:color="auto" w:fill="auto"/>
          </w:tcPr>
          <w:p w14:paraId="58225B7D" w14:textId="77777777" w:rsidR="00F026E8" w:rsidRPr="00FE7622" w:rsidRDefault="00F026E8" w:rsidP="00AF19CC">
            <w:pPr>
              <w:pStyle w:val="72TabletextTablesTableFigureBoxstyles"/>
              <w:rPr>
                <w:rFonts w:eastAsia="Calibri"/>
              </w:rPr>
            </w:pPr>
            <w:r w:rsidRPr="00FE7622">
              <w:rPr>
                <w:rFonts w:eastAsia="Calibri"/>
                <w:color w:val="auto"/>
              </w:rPr>
              <w:t>1.00 (55, 1.12)</w:t>
            </w:r>
          </w:p>
        </w:tc>
        <w:tc>
          <w:tcPr>
            <w:tcW w:w="0" w:type="auto"/>
            <w:vMerge/>
            <w:shd w:val="clear" w:color="auto" w:fill="auto"/>
          </w:tcPr>
          <w:p w14:paraId="391CA96C"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B9C5400"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574F4D94"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8600ED8"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0A8C8BC8" w14:textId="77777777" w:rsidTr="00AF19CC">
        <w:trPr>
          <w:cantSplit/>
        </w:trPr>
        <w:tc>
          <w:tcPr>
            <w:tcW w:w="0" w:type="auto"/>
            <w:vMerge w:val="restart"/>
            <w:shd w:val="clear" w:color="auto" w:fill="auto"/>
          </w:tcPr>
          <w:p w14:paraId="2C8F0CCD" w14:textId="5D92F8CF" w:rsidR="00F026E8" w:rsidRPr="00FE7622" w:rsidRDefault="00F026E8" w:rsidP="00AF19CC">
            <w:pPr>
              <w:pStyle w:val="72TabletextTablesTableFigureBoxstyles"/>
              <w:rPr>
                <w:rFonts w:eastAsia="Calibri"/>
              </w:rPr>
            </w:pPr>
            <w:r w:rsidRPr="00FE7622">
              <w:rPr>
                <w:rFonts w:eastAsia="Calibri"/>
                <w:color w:val="auto"/>
              </w:rPr>
              <w:t>Chair stand time (s</w:t>
            </w:r>
            <w:r w:rsidR="008910E9" w:rsidRPr="00FE7622">
              <w:rPr>
                <w:rFonts w:eastAsia="Calibri"/>
                <w:color w:val="auto"/>
              </w:rPr>
              <w:t>econds</w:t>
            </w:r>
            <w:r w:rsidRPr="00FE7622">
              <w:rPr>
                <w:rFonts w:eastAsia="Calibri"/>
                <w:color w:val="auto"/>
              </w:rPr>
              <w:t>)</w:t>
            </w:r>
          </w:p>
        </w:tc>
        <w:tc>
          <w:tcPr>
            <w:tcW w:w="0" w:type="auto"/>
            <w:shd w:val="clear" w:color="auto" w:fill="auto"/>
          </w:tcPr>
          <w:p w14:paraId="06EADD28" w14:textId="62CCB54F"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7B330259" w14:textId="77777777" w:rsidR="00F026E8" w:rsidRPr="00FE7622" w:rsidRDefault="00F026E8" w:rsidP="00AF19CC">
            <w:pPr>
              <w:pStyle w:val="72TabletextTablesTableFigureBoxstyles"/>
              <w:rPr>
                <w:rFonts w:eastAsia="Calibri"/>
              </w:rPr>
            </w:pPr>
            <w:r w:rsidRPr="00FE7622">
              <w:rPr>
                <w:rFonts w:eastAsia="Calibri"/>
                <w:color w:val="auto"/>
              </w:rPr>
              <w:t>24.4 (54, 9.3)</w:t>
            </w:r>
          </w:p>
        </w:tc>
        <w:tc>
          <w:tcPr>
            <w:tcW w:w="0" w:type="auto"/>
            <w:shd w:val="clear" w:color="auto" w:fill="auto"/>
          </w:tcPr>
          <w:p w14:paraId="6EEE00B9" w14:textId="77777777" w:rsidR="00F026E8" w:rsidRPr="00FE7622" w:rsidRDefault="00F026E8" w:rsidP="00AF19CC">
            <w:pPr>
              <w:pStyle w:val="72TabletextTablesTableFigureBoxstyles"/>
              <w:rPr>
                <w:rFonts w:eastAsia="Calibri"/>
              </w:rPr>
            </w:pPr>
            <w:r w:rsidRPr="00FE7622">
              <w:rPr>
                <w:rFonts w:eastAsia="Calibri"/>
                <w:color w:val="auto"/>
              </w:rPr>
              <w:t>23.8 (54, 9.3)</w:t>
            </w:r>
          </w:p>
        </w:tc>
        <w:tc>
          <w:tcPr>
            <w:tcW w:w="0" w:type="auto"/>
            <w:vMerge w:val="restart"/>
            <w:shd w:val="clear" w:color="auto" w:fill="auto"/>
          </w:tcPr>
          <w:p w14:paraId="50226696" w14:textId="4BE592B1" w:rsidR="00F026E8" w:rsidRPr="00FE7622" w:rsidRDefault="00F026E8" w:rsidP="00AF19CC">
            <w:pPr>
              <w:pStyle w:val="72TabletextTablesTableFigureBoxstyles"/>
            </w:pPr>
            <w:r w:rsidRPr="00FE7622">
              <w:rPr>
                <w:color w:val="auto"/>
              </w:rPr>
              <w:t>0.7</w:t>
            </w:r>
            <w:r w:rsidR="00F921A4" w:rsidRPr="00FE7622">
              <w:rPr>
                <w:color w:val="auto"/>
              </w:rPr>
              <w:t xml:space="preserve"> </w:t>
            </w:r>
            <w:r w:rsidR="00D605C2" w:rsidRPr="00FE7622">
              <w:rPr>
                <w:color w:val="auto"/>
              </w:rPr>
              <w:t>(–2.9 to 4.2)</w:t>
            </w:r>
          </w:p>
        </w:tc>
        <w:tc>
          <w:tcPr>
            <w:tcW w:w="0" w:type="auto"/>
            <w:vMerge w:val="restart"/>
            <w:shd w:val="clear" w:color="auto" w:fill="auto"/>
          </w:tcPr>
          <w:p w14:paraId="52C65B5D" w14:textId="77777777" w:rsidR="00F026E8" w:rsidRPr="00FE7622" w:rsidRDefault="00F026E8" w:rsidP="00AF19CC">
            <w:pPr>
              <w:pStyle w:val="72TabletextTablesTableFigureBoxstyles"/>
              <w:rPr>
                <w:rFonts w:ascii="Calibri" w:eastAsia="Calibri" w:hAnsi="Calibri" w:cs="Calibri"/>
                <w:color w:val="auto"/>
              </w:rPr>
            </w:pPr>
            <w:r w:rsidRPr="00FE7622">
              <w:rPr>
                <w:color w:val="auto"/>
              </w:rPr>
              <w:t>0.70</w:t>
            </w:r>
          </w:p>
        </w:tc>
        <w:tc>
          <w:tcPr>
            <w:tcW w:w="0" w:type="auto"/>
            <w:vMerge w:val="restart"/>
            <w:shd w:val="clear" w:color="auto" w:fill="auto"/>
          </w:tcPr>
          <w:p w14:paraId="41070AC8" w14:textId="3BFFFCC4" w:rsidR="00F026E8" w:rsidRPr="00FE7622" w:rsidRDefault="00F026E8" w:rsidP="00AF19CC">
            <w:pPr>
              <w:pStyle w:val="72TabletextTablesTableFigureBoxstyles"/>
              <w:rPr>
                <w:rFonts w:eastAsia="Calibri"/>
              </w:rPr>
            </w:pPr>
            <w:r w:rsidRPr="00FE7622">
              <w:rPr>
                <w:rFonts w:eastAsia="Calibri"/>
                <w:color w:val="auto"/>
              </w:rPr>
              <w:t>–3.1</w:t>
            </w:r>
            <w:r w:rsidR="004C4560" w:rsidRPr="00FE7622">
              <w:rPr>
                <w:rFonts w:eastAsia="Calibri"/>
                <w:color w:val="auto"/>
              </w:rPr>
              <w:t xml:space="preserve"> </w:t>
            </w:r>
            <w:r w:rsidR="00E56C38" w:rsidRPr="00FE7622">
              <w:rPr>
                <w:rFonts w:eastAsia="Calibri"/>
                <w:color w:val="auto"/>
              </w:rPr>
              <w:t>(–9.5 to 3.3)</w:t>
            </w:r>
          </w:p>
        </w:tc>
        <w:tc>
          <w:tcPr>
            <w:tcW w:w="0" w:type="auto"/>
            <w:vMerge w:val="restart"/>
            <w:shd w:val="clear" w:color="auto" w:fill="auto"/>
          </w:tcPr>
          <w:p w14:paraId="46356C67" w14:textId="77777777" w:rsidR="00F026E8" w:rsidRPr="00FE7622" w:rsidRDefault="00F026E8" w:rsidP="00AF19CC">
            <w:pPr>
              <w:pStyle w:val="72TabletextTablesTableFigureBoxstyles"/>
              <w:rPr>
                <w:rFonts w:eastAsia="Calibri"/>
                <w:color w:val="auto"/>
              </w:rPr>
            </w:pPr>
            <w:r w:rsidRPr="00FE7622">
              <w:rPr>
                <w:rFonts w:eastAsia="Calibri"/>
                <w:color w:val="auto"/>
              </w:rPr>
              <w:t>0.34</w:t>
            </w:r>
          </w:p>
        </w:tc>
      </w:tr>
      <w:tr w:rsidR="00F026E8" w:rsidRPr="00FE7622" w14:paraId="38F85C89" w14:textId="77777777" w:rsidTr="00AF19CC">
        <w:trPr>
          <w:cantSplit/>
        </w:trPr>
        <w:tc>
          <w:tcPr>
            <w:tcW w:w="0" w:type="auto"/>
            <w:vMerge/>
            <w:shd w:val="clear" w:color="auto" w:fill="auto"/>
          </w:tcPr>
          <w:p w14:paraId="4CDB1B66" w14:textId="77777777" w:rsidR="00F026E8" w:rsidRPr="00FE7622" w:rsidRDefault="00F026E8" w:rsidP="00AF19CC">
            <w:pPr>
              <w:pStyle w:val="72TabletextTablesTableFigureBoxstyles"/>
              <w:rPr>
                <w:rFonts w:eastAsia="Calibri"/>
              </w:rPr>
            </w:pPr>
          </w:p>
        </w:tc>
        <w:tc>
          <w:tcPr>
            <w:tcW w:w="0" w:type="auto"/>
            <w:shd w:val="clear" w:color="auto" w:fill="auto"/>
          </w:tcPr>
          <w:p w14:paraId="0CB6E42F" w14:textId="625477AE"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F5CA787" w14:textId="77777777" w:rsidR="00F026E8" w:rsidRPr="00FE7622" w:rsidRDefault="00F026E8" w:rsidP="00AF19CC">
            <w:pPr>
              <w:pStyle w:val="72TabletextTablesTableFigureBoxstyles"/>
              <w:rPr>
                <w:rFonts w:eastAsia="Calibri"/>
              </w:rPr>
            </w:pPr>
            <w:r w:rsidRPr="00FE7622">
              <w:rPr>
                <w:rFonts w:eastAsia="Calibri"/>
                <w:color w:val="auto"/>
              </w:rPr>
              <w:t>21.7 (47, 11.0)</w:t>
            </w:r>
          </w:p>
        </w:tc>
        <w:tc>
          <w:tcPr>
            <w:tcW w:w="0" w:type="auto"/>
            <w:shd w:val="clear" w:color="auto" w:fill="auto"/>
          </w:tcPr>
          <w:p w14:paraId="0093D8B0" w14:textId="77777777" w:rsidR="00F026E8" w:rsidRPr="00FE7622" w:rsidRDefault="00F026E8" w:rsidP="00AF19CC">
            <w:pPr>
              <w:pStyle w:val="72TabletextTablesTableFigureBoxstyles"/>
              <w:rPr>
                <w:rFonts w:eastAsia="Calibri"/>
              </w:rPr>
            </w:pPr>
            <w:r w:rsidRPr="00FE7622">
              <w:rPr>
                <w:rFonts w:eastAsia="Calibri"/>
                <w:color w:val="auto"/>
              </w:rPr>
              <w:t>23.0 (48, 8.2)</w:t>
            </w:r>
          </w:p>
        </w:tc>
        <w:tc>
          <w:tcPr>
            <w:tcW w:w="0" w:type="auto"/>
            <w:vMerge/>
            <w:shd w:val="clear" w:color="auto" w:fill="auto"/>
          </w:tcPr>
          <w:p w14:paraId="42EC87F7"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0728F922"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9EA4998"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3C16278F"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69C4181C" w14:textId="77777777" w:rsidTr="00AF19CC">
        <w:trPr>
          <w:cantSplit/>
        </w:trPr>
        <w:tc>
          <w:tcPr>
            <w:tcW w:w="0" w:type="auto"/>
            <w:vMerge/>
            <w:shd w:val="clear" w:color="auto" w:fill="auto"/>
          </w:tcPr>
          <w:p w14:paraId="2B02C777" w14:textId="77777777" w:rsidR="00F026E8" w:rsidRPr="00FE7622" w:rsidRDefault="00F026E8" w:rsidP="00AF19CC">
            <w:pPr>
              <w:pStyle w:val="72TabletextTablesTableFigureBoxstyles"/>
              <w:rPr>
                <w:rFonts w:eastAsia="Calibri"/>
              </w:rPr>
            </w:pPr>
          </w:p>
        </w:tc>
        <w:tc>
          <w:tcPr>
            <w:tcW w:w="0" w:type="auto"/>
            <w:shd w:val="clear" w:color="auto" w:fill="auto"/>
          </w:tcPr>
          <w:p w14:paraId="24AAF5F3" w14:textId="5D804233"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DAA3D53" w14:textId="77777777" w:rsidR="00F026E8" w:rsidRPr="00FE7622" w:rsidRDefault="00F026E8" w:rsidP="00AF19CC">
            <w:pPr>
              <w:pStyle w:val="72TabletextTablesTableFigureBoxstyles"/>
              <w:rPr>
                <w:rFonts w:eastAsia="Calibri"/>
              </w:rPr>
            </w:pPr>
            <w:r w:rsidRPr="00FE7622">
              <w:rPr>
                <w:rFonts w:eastAsia="Calibri"/>
                <w:color w:val="auto"/>
              </w:rPr>
              <w:t>22.6 (40, 14.8)</w:t>
            </w:r>
          </w:p>
        </w:tc>
        <w:tc>
          <w:tcPr>
            <w:tcW w:w="0" w:type="auto"/>
            <w:shd w:val="clear" w:color="auto" w:fill="auto"/>
          </w:tcPr>
          <w:p w14:paraId="16FF6F06" w14:textId="77777777" w:rsidR="00F026E8" w:rsidRPr="00FE7622" w:rsidRDefault="00F026E8" w:rsidP="00AF19CC">
            <w:pPr>
              <w:pStyle w:val="72TabletextTablesTableFigureBoxstyles"/>
              <w:rPr>
                <w:rFonts w:eastAsia="Calibri"/>
              </w:rPr>
            </w:pPr>
            <w:r w:rsidRPr="00FE7622">
              <w:rPr>
                <w:rFonts w:eastAsia="Calibri"/>
                <w:color w:val="auto"/>
              </w:rPr>
              <w:t>21.3 (45, 8.4)</w:t>
            </w:r>
          </w:p>
        </w:tc>
        <w:tc>
          <w:tcPr>
            <w:tcW w:w="0" w:type="auto"/>
            <w:vMerge/>
            <w:shd w:val="clear" w:color="auto" w:fill="auto"/>
          </w:tcPr>
          <w:p w14:paraId="6052F2CC"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9397019"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5B8E4FD0"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7D98CB81"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0CCFECF3" w14:textId="77777777" w:rsidTr="00AF19CC">
        <w:trPr>
          <w:cantSplit/>
        </w:trPr>
        <w:tc>
          <w:tcPr>
            <w:tcW w:w="0" w:type="auto"/>
            <w:vMerge w:val="restart"/>
            <w:shd w:val="clear" w:color="auto" w:fill="auto"/>
          </w:tcPr>
          <w:p w14:paraId="22DDDAF1" w14:textId="77777777" w:rsidR="00F026E8" w:rsidRPr="00FE7622" w:rsidRDefault="00F026E8" w:rsidP="00AF19CC">
            <w:pPr>
              <w:pStyle w:val="72TabletextTablesTableFigureBoxstyles"/>
              <w:rPr>
                <w:rFonts w:eastAsia="Calibri"/>
              </w:rPr>
            </w:pPr>
            <w:r w:rsidRPr="00FE7622">
              <w:rPr>
                <w:rFonts w:eastAsia="Calibri"/>
                <w:color w:val="auto"/>
              </w:rPr>
              <w:t>NEADL</w:t>
            </w:r>
          </w:p>
        </w:tc>
        <w:tc>
          <w:tcPr>
            <w:tcW w:w="0" w:type="auto"/>
            <w:shd w:val="clear" w:color="auto" w:fill="auto"/>
          </w:tcPr>
          <w:p w14:paraId="34251130" w14:textId="1C787F43"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0D113CC7" w14:textId="77777777" w:rsidR="00F026E8" w:rsidRPr="00FE7622" w:rsidRDefault="00F026E8" w:rsidP="00AF19CC">
            <w:pPr>
              <w:pStyle w:val="72TabletextTablesTableFigureBoxstyles"/>
              <w:rPr>
                <w:rFonts w:eastAsia="Calibri"/>
              </w:rPr>
            </w:pPr>
            <w:r w:rsidRPr="00FE7622">
              <w:rPr>
                <w:rFonts w:eastAsia="Calibri"/>
                <w:color w:val="auto"/>
              </w:rPr>
              <w:t>55.3 (72, 9.9)</w:t>
            </w:r>
          </w:p>
        </w:tc>
        <w:tc>
          <w:tcPr>
            <w:tcW w:w="0" w:type="auto"/>
            <w:shd w:val="clear" w:color="auto" w:fill="auto"/>
          </w:tcPr>
          <w:p w14:paraId="695545B4" w14:textId="77777777" w:rsidR="00F026E8" w:rsidRPr="00FE7622" w:rsidRDefault="00F026E8" w:rsidP="00AF19CC">
            <w:pPr>
              <w:pStyle w:val="72TabletextTablesTableFigureBoxstyles"/>
              <w:rPr>
                <w:rFonts w:eastAsia="Calibri"/>
              </w:rPr>
            </w:pPr>
            <w:r w:rsidRPr="00FE7622">
              <w:rPr>
                <w:rFonts w:eastAsia="Calibri"/>
                <w:color w:val="auto"/>
              </w:rPr>
              <w:t>54.4 (73, 10.3)</w:t>
            </w:r>
          </w:p>
        </w:tc>
        <w:tc>
          <w:tcPr>
            <w:tcW w:w="0" w:type="auto"/>
            <w:vMerge w:val="restart"/>
            <w:shd w:val="clear" w:color="auto" w:fill="auto"/>
          </w:tcPr>
          <w:p w14:paraId="07E29928" w14:textId="1F08DF26" w:rsidR="00F026E8" w:rsidRPr="00FE7622" w:rsidRDefault="00F026E8" w:rsidP="00AF19CC">
            <w:pPr>
              <w:pStyle w:val="72TabletextTablesTableFigureBoxstyles"/>
              <w:rPr>
                <w:rFonts w:ascii="Calibri" w:eastAsia="Calibri" w:hAnsi="Calibri" w:cs="Calibri"/>
              </w:rPr>
            </w:pPr>
            <w:r w:rsidRPr="00FE7622">
              <w:rPr>
                <w:color w:val="auto"/>
              </w:rPr>
              <w:t>0.9</w:t>
            </w:r>
            <w:r w:rsidR="00F921A4" w:rsidRPr="00FE7622">
              <w:rPr>
                <w:color w:val="auto"/>
              </w:rPr>
              <w:t xml:space="preserve"> </w:t>
            </w:r>
            <w:r w:rsidR="00D605C2" w:rsidRPr="00FE7622">
              <w:rPr>
                <w:color w:val="auto"/>
              </w:rPr>
              <w:t>(–2.3 to 4.0)</w:t>
            </w:r>
          </w:p>
        </w:tc>
        <w:tc>
          <w:tcPr>
            <w:tcW w:w="0" w:type="auto"/>
            <w:vMerge w:val="restart"/>
            <w:shd w:val="clear" w:color="auto" w:fill="auto"/>
          </w:tcPr>
          <w:p w14:paraId="1B1A4BCE" w14:textId="77777777" w:rsidR="00F026E8" w:rsidRPr="00FE7622" w:rsidRDefault="00F026E8" w:rsidP="00AF19CC">
            <w:pPr>
              <w:pStyle w:val="72TabletextTablesTableFigureBoxstyles"/>
              <w:rPr>
                <w:rFonts w:ascii="Calibri" w:eastAsia="Calibri" w:hAnsi="Calibri" w:cs="Calibri"/>
                <w:color w:val="auto"/>
              </w:rPr>
            </w:pPr>
            <w:r w:rsidRPr="00FE7622">
              <w:rPr>
                <w:color w:val="auto"/>
              </w:rPr>
              <w:t>0.57</w:t>
            </w:r>
          </w:p>
        </w:tc>
        <w:tc>
          <w:tcPr>
            <w:tcW w:w="0" w:type="auto"/>
            <w:vMerge w:val="restart"/>
            <w:shd w:val="clear" w:color="auto" w:fill="auto"/>
          </w:tcPr>
          <w:p w14:paraId="19FB4073" w14:textId="5FF0FDC8" w:rsidR="00F026E8" w:rsidRPr="00FE7622" w:rsidRDefault="00F026E8" w:rsidP="00AF19CC">
            <w:pPr>
              <w:pStyle w:val="72TabletextTablesTableFigureBoxstyles"/>
              <w:rPr>
                <w:rFonts w:eastAsia="Calibri"/>
              </w:rPr>
            </w:pPr>
            <w:r w:rsidRPr="00FE7622">
              <w:rPr>
                <w:rFonts w:eastAsia="Calibri"/>
                <w:color w:val="auto"/>
              </w:rPr>
              <w:t>–2.0</w:t>
            </w:r>
            <w:r w:rsidR="004C4560" w:rsidRPr="00FE7622">
              <w:rPr>
                <w:rFonts w:eastAsia="Calibri"/>
                <w:color w:val="auto"/>
              </w:rPr>
              <w:t xml:space="preserve"> </w:t>
            </w:r>
            <w:r w:rsidR="00E56C38" w:rsidRPr="00FE7622">
              <w:rPr>
                <w:rFonts w:eastAsia="Calibri"/>
                <w:color w:val="auto"/>
              </w:rPr>
              <w:t>(–7.4 to 3.5)</w:t>
            </w:r>
          </w:p>
        </w:tc>
        <w:tc>
          <w:tcPr>
            <w:tcW w:w="0" w:type="auto"/>
            <w:vMerge w:val="restart"/>
            <w:shd w:val="clear" w:color="auto" w:fill="auto"/>
          </w:tcPr>
          <w:p w14:paraId="56E43B9D" w14:textId="77777777" w:rsidR="00F026E8" w:rsidRPr="00FE7622" w:rsidRDefault="00F026E8" w:rsidP="00AF19CC">
            <w:pPr>
              <w:pStyle w:val="72TabletextTablesTableFigureBoxstyles"/>
              <w:rPr>
                <w:rFonts w:eastAsia="Calibri"/>
                <w:color w:val="auto"/>
              </w:rPr>
            </w:pPr>
            <w:r w:rsidRPr="00FE7622">
              <w:rPr>
                <w:rFonts w:eastAsia="Calibri"/>
                <w:color w:val="auto"/>
              </w:rPr>
              <w:t>0.48</w:t>
            </w:r>
          </w:p>
        </w:tc>
      </w:tr>
      <w:tr w:rsidR="00F026E8" w:rsidRPr="00FE7622" w14:paraId="62C5BD82" w14:textId="77777777" w:rsidTr="00AF19CC">
        <w:trPr>
          <w:cantSplit/>
        </w:trPr>
        <w:tc>
          <w:tcPr>
            <w:tcW w:w="0" w:type="auto"/>
            <w:vMerge/>
            <w:shd w:val="clear" w:color="auto" w:fill="auto"/>
          </w:tcPr>
          <w:p w14:paraId="1FC1E3DF" w14:textId="77777777" w:rsidR="00F026E8" w:rsidRPr="00FE7622" w:rsidRDefault="00F026E8" w:rsidP="00AF19CC">
            <w:pPr>
              <w:pStyle w:val="72TabletextTablesTableFigureBoxstyles"/>
              <w:rPr>
                <w:rFonts w:eastAsia="Calibri"/>
              </w:rPr>
            </w:pPr>
          </w:p>
        </w:tc>
        <w:tc>
          <w:tcPr>
            <w:tcW w:w="0" w:type="auto"/>
            <w:shd w:val="clear" w:color="auto" w:fill="auto"/>
          </w:tcPr>
          <w:p w14:paraId="6C4FA153" w14:textId="55B6F3EC"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5ECD9A6" w14:textId="77777777" w:rsidR="00F026E8" w:rsidRPr="00FE7622" w:rsidRDefault="00F026E8" w:rsidP="00AF19CC">
            <w:pPr>
              <w:pStyle w:val="72TabletextTablesTableFigureBoxstyles"/>
              <w:rPr>
                <w:rFonts w:eastAsia="Calibri"/>
              </w:rPr>
            </w:pPr>
            <w:r w:rsidRPr="00FE7622">
              <w:rPr>
                <w:rFonts w:eastAsia="Calibri"/>
                <w:color w:val="auto"/>
              </w:rPr>
              <w:t>55.9 (59, 9.0)</w:t>
            </w:r>
          </w:p>
        </w:tc>
        <w:tc>
          <w:tcPr>
            <w:tcW w:w="0" w:type="auto"/>
            <w:shd w:val="clear" w:color="auto" w:fill="auto"/>
          </w:tcPr>
          <w:p w14:paraId="2A668FBF" w14:textId="77777777" w:rsidR="00F026E8" w:rsidRPr="00FE7622" w:rsidRDefault="00F026E8" w:rsidP="00AF19CC">
            <w:pPr>
              <w:pStyle w:val="72TabletextTablesTableFigureBoxstyles"/>
              <w:rPr>
                <w:rFonts w:eastAsia="Calibri"/>
              </w:rPr>
            </w:pPr>
            <w:r w:rsidRPr="00FE7622">
              <w:rPr>
                <w:rFonts w:eastAsia="Calibri"/>
                <w:color w:val="auto"/>
              </w:rPr>
              <w:t>54.9 (62, 10.7)</w:t>
            </w:r>
          </w:p>
        </w:tc>
        <w:tc>
          <w:tcPr>
            <w:tcW w:w="0" w:type="auto"/>
            <w:vMerge/>
            <w:shd w:val="clear" w:color="auto" w:fill="auto"/>
          </w:tcPr>
          <w:p w14:paraId="3BA54F14"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FD7910D"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BE470F3"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5CDC9DC"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6384D924" w14:textId="77777777" w:rsidTr="00AF19CC">
        <w:trPr>
          <w:cantSplit/>
        </w:trPr>
        <w:tc>
          <w:tcPr>
            <w:tcW w:w="0" w:type="auto"/>
            <w:vMerge/>
            <w:shd w:val="clear" w:color="auto" w:fill="auto"/>
          </w:tcPr>
          <w:p w14:paraId="57041418" w14:textId="77777777" w:rsidR="00F026E8" w:rsidRPr="00FE7622" w:rsidRDefault="00F026E8" w:rsidP="00AF19CC">
            <w:pPr>
              <w:pStyle w:val="72TabletextTablesTableFigureBoxstyles"/>
              <w:rPr>
                <w:rFonts w:eastAsia="Calibri"/>
              </w:rPr>
            </w:pPr>
          </w:p>
        </w:tc>
        <w:tc>
          <w:tcPr>
            <w:tcW w:w="0" w:type="auto"/>
            <w:shd w:val="clear" w:color="auto" w:fill="auto"/>
          </w:tcPr>
          <w:p w14:paraId="5283BDD3" w14:textId="66B8829E"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23163114" w14:textId="77777777" w:rsidR="00F026E8" w:rsidRPr="00FE7622" w:rsidRDefault="00F026E8" w:rsidP="00AF19CC">
            <w:pPr>
              <w:pStyle w:val="72TabletextTablesTableFigureBoxstyles"/>
              <w:rPr>
                <w:rFonts w:eastAsia="Calibri"/>
              </w:rPr>
            </w:pPr>
            <w:r w:rsidRPr="00FE7622">
              <w:rPr>
                <w:rFonts w:eastAsia="Calibri"/>
                <w:color w:val="auto"/>
              </w:rPr>
              <w:t>56.0 (50, 9.2)</w:t>
            </w:r>
          </w:p>
        </w:tc>
        <w:tc>
          <w:tcPr>
            <w:tcW w:w="0" w:type="auto"/>
            <w:shd w:val="clear" w:color="auto" w:fill="auto"/>
          </w:tcPr>
          <w:p w14:paraId="2565958C" w14:textId="77777777" w:rsidR="00F026E8" w:rsidRPr="00FE7622" w:rsidRDefault="00F026E8" w:rsidP="00AF19CC">
            <w:pPr>
              <w:pStyle w:val="72TabletextTablesTableFigureBoxstyles"/>
              <w:rPr>
                <w:rFonts w:eastAsia="Calibri"/>
              </w:rPr>
            </w:pPr>
            <w:r w:rsidRPr="00FE7622">
              <w:rPr>
                <w:rFonts w:eastAsia="Calibri"/>
                <w:color w:val="auto"/>
              </w:rPr>
              <w:t>55.4 (56, 11.6)</w:t>
            </w:r>
          </w:p>
        </w:tc>
        <w:tc>
          <w:tcPr>
            <w:tcW w:w="0" w:type="auto"/>
            <w:vMerge/>
            <w:shd w:val="clear" w:color="auto" w:fill="auto"/>
          </w:tcPr>
          <w:p w14:paraId="4526E810"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00A17D3E"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E4E5551"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E2BDB32"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3588E974" w14:textId="77777777" w:rsidTr="00AF19CC">
        <w:trPr>
          <w:cantSplit/>
        </w:trPr>
        <w:tc>
          <w:tcPr>
            <w:tcW w:w="0" w:type="auto"/>
            <w:vMerge w:val="restart"/>
            <w:shd w:val="clear" w:color="auto" w:fill="auto"/>
          </w:tcPr>
          <w:p w14:paraId="7A8B1AF5" w14:textId="1C5B3D93" w:rsidR="00F026E8" w:rsidRPr="00FE7622" w:rsidRDefault="00F026E8" w:rsidP="00AF19CC">
            <w:pPr>
              <w:pStyle w:val="72TabletextTablesTableFigureBoxstyles"/>
              <w:rPr>
                <w:rFonts w:eastAsia="Calibri"/>
              </w:rPr>
            </w:pPr>
            <w:r w:rsidRPr="00842651">
              <w:rPr>
                <w:rFonts w:eastAsia="Calibri"/>
                <w:color w:val="auto"/>
              </w:rPr>
              <w:t>EQ</w:t>
            </w:r>
            <w:r w:rsidR="008910E9" w:rsidRPr="00842651">
              <w:rPr>
                <w:rFonts w:eastAsia="Calibri"/>
                <w:color w:val="auto"/>
              </w:rPr>
              <w:t>-</w:t>
            </w:r>
            <w:r w:rsidRPr="00842651">
              <w:rPr>
                <w:rFonts w:eastAsia="Calibri"/>
                <w:color w:val="auto"/>
              </w:rPr>
              <w:t>5D</w:t>
            </w:r>
            <w:r w:rsidRPr="00FE7622">
              <w:rPr>
                <w:rFonts w:eastAsia="Calibri"/>
                <w:color w:val="auto"/>
              </w:rPr>
              <w:t xml:space="preserve"> main</w:t>
            </w:r>
          </w:p>
        </w:tc>
        <w:tc>
          <w:tcPr>
            <w:tcW w:w="0" w:type="auto"/>
            <w:shd w:val="clear" w:color="auto" w:fill="auto"/>
          </w:tcPr>
          <w:p w14:paraId="459623E3" w14:textId="4F77D817"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2BEB911C" w14:textId="77777777" w:rsidR="00F026E8" w:rsidRPr="00FE7622" w:rsidRDefault="00F026E8" w:rsidP="00AF19CC">
            <w:pPr>
              <w:pStyle w:val="72TabletextTablesTableFigureBoxstyles"/>
              <w:rPr>
                <w:rFonts w:eastAsia="Calibri"/>
              </w:rPr>
            </w:pPr>
            <w:r w:rsidRPr="00FE7622">
              <w:rPr>
                <w:rFonts w:eastAsia="Calibri"/>
                <w:color w:val="auto"/>
              </w:rPr>
              <w:t>0.77 (67, 0.11)</w:t>
            </w:r>
          </w:p>
        </w:tc>
        <w:tc>
          <w:tcPr>
            <w:tcW w:w="0" w:type="auto"/>
            <w:shd w:val="clear" w:color="auto" w:fill="auto"/>
          </w:tcPr>
          <w:p w14:paraId="072AAA41" w14:textId="77777777" w:rsidR="00F026E8" w:rsidRPr="00FE7622" w:rsidRDefault="00F026E8" w:rsidP="00AF19CC">
            <w:pPr>
              <w:pStyle w:val="72TabletextTablesTableFigureBoxstyles"/>
              <w:rPr>
                <w:rFonts w:eastAsia="Calibri"/>
              </w:rPr>
            </w:pPr>
            <w:r w:rsidRPr="00FE7622">
              <w:rPr>
                <w:rFonts w:eastAsia="Calibri"/>
                <w:color w:val="auto"/>
              </w:rPr>
              <w:t>0.78 (73, 0.10)</w:t>
            </w:r>
          </w:p>
        </w:tc>
        <w:tc>
          <w:tcPr>
            <w:tcW w:w="0" w:type="auto"/>
            <w:vMerge w:val="restart"/>
            <w:shd w:val="clear" w:color="auto" w:fill="auto"/>
          </w:tcPr>
          <w:p w14:paraId="3D048AC5" w14:textId="7FC8CA70" w:rsidR="00F026E8" w:rsidRPr="00FE7622" w:rsidRDefault="00F026E8" w:rsidP="00AF19CC">
            <w:pPr>
              <w:pStyle w:val="72TabletextTablesTableFigureBoxstyles"/>
              <w:rPr>
                <w:rFonts w:eastAsia="Calibri"/>
              </w:rPr>
            </w:pPr>
            <w:r w:rsidRPr="00FE7622">
              <w:rPr>
                <w:rFonts w:eastAsia="Calibri"/>
                <w:color w:val="auto"/>
              </w:rPr>
              <w:t>0.01</w:t>
            </w:r>
            <w:r w:rsidR="00F921A4" w:rsidRPr="00FE7622">
              <w:rPr>
                <w:rFonts w:eastAsia="Calibri"/>
                <w:color w:val="auto"/>
              </w:rPr>
              <w:t xml:space="preserve"> </w:t>
            </w:r>
            <w:r w:rsidR="00D605C2" w:rsidRPr="00FE7622">
              <w:rPr>
                <w:rFonts w:eastAsia="Calibri"/>
                <w:color w:val="auto"/>
              </w:rPr>
              <w:t>(–0.03 to 0.04)</w:t>
            </w:r>
          </w:p>
        </w:tc>
        <w:tc>
          <w:tcPr>
            <w:tcW w:w="0" w:type="auto"/>
            <w:vMerge w:val="restart"/>
            <w:shd w:val="clear" w:color="auto" w:fill="auto"/>
          </w:tcPr>
          <w:p w14:paraId="724C78B6" w14:textId="77777777" w:rsidR="00F026E8" w:rsidRPr="00FE7622" w:rsidRDefault="00F026E8" w:rsidP="00AF19CC">
            <w:pPr>
              <w:pStyle w:val="72TabletextTablesTableFigureBoxstyles"/>
              <w:rPr>
                <w:rFonts w:eastAsia="Calibri"/>
                <w:color w:val="auto"/>
              </w:rPr>
            </w:pPr>
            <w:r w:rsidRPr="00FE7622">
              <w:rPr>
                <w:color w:val="auto"/>
              </w:rPr>
              <w:t>0.77</w:t>
            </w:r>
          </w:p>
        </w:tc>
        <w:tc>
          <w:tcPr>
            <w:tcW w:w="0" w:type="auto"/>
            <w:vMerge w:val="restart"/>
            <w:shd w:val="clear" w:color="auto" w:fill="auto"/>
          </w:tcPr>
          <w:p w14:paraId="2C1FF45D" w14:textId="5D34A46A" w:rsidR="00F026E8" w:rsidRPr="00FE7622" w:rsidRDefault="00F026E8" w:rsidP="00AF19CC">
            <w:pPr>
              <w:pStyle w:val="72TabletextTablesTableFigureBoxstyles"/>
              <w:rPr>
                <w:rFonts w:eastAsia="Calibri"/>
              </w:rPr>
            </w:pPr>
            <w:r w:rsidRPr="00FE7622">
              <w:rPr>
                <w:rFonts w:eastAsia="Calibri"/>
                <w:color w:val="auto"/>
              </w:rPr>
              <w:t>–0.06</w:t>
            </w:r>
            <w:r w:rsidR="004C4560" w:rsidRPr="00FE7622">
              <w:rPr>
                <w:rFonts w:eastAsia="Calibri"/>
                <w:color w:val="auto"/>
              </w:rPr>
              <w:t xml:space="preserve"> </w:t>
            </w:r>
            <w:r w:rsidR="00E56C38" w:rsidRPr="00FE7622">
              <w:rPr>
                <w:rFonts w:eastAsia="Calibri"/>
                <w:color w:val="auto"/>
              </w:rPr>
              <w:t xml:space="preserve">(–0.11 to </w:t>
            </w:r>
            <w:r w:rsidR="00685EC4" w:rsidRPr="00FE7622">
              <w:rPr>
                <w:rFonts w:eastAsia="Calibri"/>
                <w:color w:val="auto"/>
              </w:rPr>
              <w:t>–</w:t>
            </w:r>
            <w:r w:rsidR="00E56C38" w:rsidRPr="00FE7622">
              <w:rPr>
                <w:rFonts w:eastAsia="Calibri"/>
                <w:color w:val="auto"/>
              </w:rPr>
              <w:t>0.01)</w:t>
            </w:r>
          </w:p>
        </w:tc>
        <w:tc>
          <w:tcPr>
            <w:tcW w:w="0" w:type="auto"/>
            <w:vMerge w:val="restart"/>
            <w:shd w:val="clear" w:color="auto" w:fill="auto"/>
          </w:tcPr>
          <w:p w14:paraId="60EE6AED" w14:textId="77777777" w:rsidR="00F026E8" w:rsidRPr="00FE7622" w:rsidRDefault="00F026E8" w:rsidP="00AF19CC">
            <w:pPr>
              <w:pStyle w:val="72TabletextTablesTableFigureBoxstyles"/>
              <w:rPr>
                <w:rFonts w:eastAsia="Calibri"/>
                <w:color w:val="auto"/>
              </w:rPr>
            </w:pPr>
            <w:r w:rsidRPr="00FE7622">
              <w:rPr>
                <w:rFonts w:eastAsia="Calibri"/>
                <w:color w:val="auto"/>
              </w:rPr>
              <w:t>0.03</w:t>
            </w:r>
          </w:p>
        </w:tc>
      </w:tr>
      <w:tr w:rsidR="00F026E8" w:rsidRPr="00FE7622" w14:paraId="65FC6974" w14:textId="77777777" w:rsidTr="00AF19CC">
        <w:trPr>
          <w:cantSplit/>
        </w:trPr>
        <w:tc>
          <w:tcPr>
            <w:tcW w:w="0" w:type="auto"/>
            <w:vMerge/>
            <w:shd w:val="clear" w:color="auto" w:fill="auto"/>
          </w:tcPr>
          <w:p w14:paraId="6070DB6F" w14:textId="77777777" w:rsidR="00F026E8" w:rsidRPr="00FE7622" w:rsidRDefault="00F026E8" w:rsidP="00AF19CC">
            <w:pPr>
              <w:pStyle w:val="72TabletextTablesTableFigureBoxstyles"/>
              <w:rPr>
                <w:rFonts w:eastAsia="Calibri"/>
              </w:rPr>
            </w:pPr>
          </w:p>
        </w:tc>
        <w:tc>
          <w:tcPr>
            <w:tcW w:w="0" w:type="auto"/>
            <w:shd w:val="clear" w:color="auto" w:fill="auto"/>
          </w:tcPr>
          <w:p w14:paraId="649F186C" w14:textId="43A9CB63"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678E50A" w14:textId="77777777" w:rsidR="00F026E8" w:rsidRPr="00FE7622" w:rsidRDefault="00F026E8" w:rsidP="00AF19CC">
            <w:pPr>
              <w:pStyle w:val="72TabletextTablesTableFigureBoxstyles"/>
              <w:rPr>
                <w:rFonts w:eastAsia="Calibri"/>
              </w:rPr>
            </w:pPr>
            <w:r w:rsidRPr="00FE7622">
              <w:rPr>
                <w:rFonts w:eastAsia="Calibri"/>
                <w:color w:val="auto"/>
              </w:rPr>
              <w:t>0.80 (56, 0.13)</w:t>
            </w:r>
          </w:p>
        </w:tc>
        <w:tc>
          <w:tcPr>
            <w:tcW w:w="0" w:type="auto"/>
            <w:shd w:val="clear" w:color="auto" w:fill="auto"/>
          </w:tcPr>
          <w:p w14:paraId="26F78980" w14:textId="77777777" w:rsidR="00F026E8" w:rsidRPr="00FE7622" w:rsidRDefault="00F026E8" w:rsidP="00AF19CC">
            <w:pPr>
              <w:pStyle w:val="72TabletextTablesTableFigureBoxstyles"/>
              <w:rPr>
                <w:rFonts w:eastAsia="Calibri"/>
              </w:rPr>
            </w:pPr>
            <w:r w:rsidRPr="00FE7622">
              <w:rPr>
                <w:rFonts w:eastAsia="Calibri"/>
                <w:color w:val="auto"/>
              </w:rPr>
              <w:t>0.81 (61, 0.11)</w:t>
            </w:r>
          </w:p>
        </w:tc>
        <w:tc>
          <w:tcPr>
            <w:tcW w:w="0" w:type="auto"/>
            <w:vMerge/>
            <w:shd w:val="clear" w:color="auto" w:fill="auto"/>
          </w:tcPr>
          <w:p w14:paraId="0162B750"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31F3A4D"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00C6555"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6982627"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30909A8E" w14:textId="77777777" w:rsidTr="00AF19CC">
        <w:trPr>
          <w:cantSplit/>
        </w:trPr>
        <w:tc>
          <w:tcPr>
            <w:tcW w:w="0" w:type="auto"/>
            <w:vMerge/>
            <w:shd w:val="clear" w:color="auto" w:fill="auto"/>
          </w:tcPr>
          <w:p w14:paraId="1F666554" w14:textId="77777777" w:rsidR="00F026E8" w:rsidRPr="00FE7622" w:rsidRDefault="00F026E8" w:rsidP="00AF19CC">
            <w:pPr>
              <w:pStyle w:val="72TabletextTablesTableFigureBoxstyles"/>
              <w:rPr>
                <w:rFonts w:eastAsia="Calibri"/>
              </w:rPr>
            </w:pPr>
          </w:p>
        </w:tc>
        <w:tc>
          <w:tcPr>
            <w:tcW w:w="0" w:type="auto"/>
            <w:shd w:val="clear" w:color="auto" w:fill="auto"/>
          </w:tcPr>
          <w:p w14:paraId="364A075B" w14:textId="63EC776B"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5108FE9B" w14:textId="77777777" w:rsidR="00F026E8" w:rsidRPr="00FE7622" w:rsidRDefault="00F026E8" w:rsidP="00AF19CC">
            <w:pPr>
              <w:pStyle w:val="72TabletextTablesTableFigureBoxstyles"/>
              <w:rPr>
                <w:rFonts w:eastAsia="Calibri"/>
              </w:rPr>
            </w:pPr>
            <w:r w:rsidRPr="00FE7622">
              <w:rPr>
                <w:rFonts w:eastAsia="Calibri"/>
                <w:color w:val="auto"/>
              </w:rPr>
              <w:t>0.81 (50, 0.13)</w:t>
            </w:r>
          </w:p>
        </w:tc>
        <w:tc>
          <w:tcPr>
            <w:tcW w:w="0" w:type="auto"/>
            <w:shd w:val="clear" w:color="auto" w:fill="auto"/>
          </w:tcPr>
          <w:p w14:paraId="611C6443" w14:textId="77777777" w:rsidR="00F026E8" w:rsidRPr="00FE7622" w:rsidRDefault="00F026E8" w:rsidP="00AF19CC">
            <w:pPr>
              <w:pStyle w:val="72TabletextTablesTableFigureBoxstyles"/>
              <w:rPr>
                <w:rFonts w:eastAsia="Calibri"/>
              </w:rPr>
            </w:pPr>
            <w:r w:rsidRPr="00FE7622">
              <w:rPr>
                <w:rFonts w:eastAsia="Calibri"/>
                <w:color w:val="auto"/>
              </w:rPr>
              <w:t>0.77 (56, 0.10)</w:t>
            </w:r>
          </w:p>
        </w:tc>
        <w:tc>
          <w:tcPr>
            <w:tcW w:w="0" w:type="auto"/>
            <w:vMerge/>
            <w:shd w:val="clear" w:color="auto" w:fill="auto"/>
          </w:tcPr>
          <w:p w14:paraId="193F4405"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2B2139F3"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34B8F9B8"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3750C489"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5C599534" w14:textId="77777777" w:rsidTr="00AF19CC">
        <w:trPr>
          <w:cantSplit/>
        </w:trPr>
        <w:tc>
          <w:tcPr>
            <w:tcW w:w="0" w:type="auto"/>
            <w:vMerge w:val="restart"/>
            <w:shd w:val="clear" w:color="auto" w:fill="auto"/>
          </w:tcPr>
          <w:p w14:paraId="36860ACF" w14:textId="7355E646" w:rsidR="00F026E8" w:rsidRPr="00FE7622" w:rsidRDefault="00F026E8" w:rsidP="00AF19CC">
            <w:pPr>
              <w:pStyle w:val="72TabletextTablesTableFigureBoxstyles"/>
              <w:rPr>
                <w:rFonts w:eastAsia="Calibri"/>
              </w:rPr>
            </w:pPr>
            <w:r w:rsidRPr="00842651">
              <w:rPr>
                <w:rFonts w:eastAsia="Calibri"/>
                <w:color w:val="auto"/>
              </w:rPr>
              <w:t>EQ</w:t>
            </w:r>
            <w:r w:rsidR="008910E9" w:rsidRPr="00842651">
              <w:rPr>
                <w:rFonts w:eastAsia="Calibri"/>
                <w:color w:val="auto"/>
              </w:rPr>
              <w:t>-</w:t>
            </w:r>
            <w:r w:rsidRPr="00842651">
              <w:rPr>
                <w:rFonts w:eastAsia="Calibri"/>
                <w:color w:val="auto"/>
              </w:rPr>
              <w:t>5D</w:t>
            </w:r>
            <w:r w:rsidRPr="00FE7622">
              <w:rPr>
                <w:rFonts w:eastAsia="Calibri"/>
                <w:color w:val="auto"/>
              </w:rPr>
              <w:t xml:space="preserve"> thermometer</w:t>
            </w:r>
          </w:p>
        </w:tc>
        <w:tc>
          <w:tcPr>
            <w:tcW w:w="0" w:type="auto"/>
            <w:shd w:val="clear" w:color="auto" w:fill="auto"/>
          </w:tcPr>
          <w:p w14:paraId="4F597D24" w14:textId="01AE37A4" w:rsidR="00F026E8" w:rsidRPr="00FE7622" w:rsidRDefault="00F026E8" w:rsidP="00AF19CC">
            <w:pPr>
              <w:pStyle w:val="72TabletextTablesTableFigureBoxstyles"/>
              <w:rPr>
                <w:rFonts w:eastAsia="Calibri"/>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3722B508" w14:textId="77777777" w:rsidR="00F026E8" w:rsidRPr="00FE7622" w:rsidRDefault="00F026E8" w:rsidP="00AF19CC">
            <w:pPr>
              <w:pStyle w:val="72TabletextTablesTableFigureBoxstyles"/>
              <w:rPr>
                <w:rFonts w:eastAsia="Calibri"/>
              </w:rPr>
            </w:pPr>
            <w:r w:rsidRPr="00FE7622">
              <w:rPr>
                <w:rFonts w:eastAsia="Calibri"/>
                <w:color w:val="auto"/>
              </w:rPr>
              <w:t>73 (70, 17)</w:t>
            </w:r>
          </w:p>
        </w:tc>
        <w:tc>
          <w:tcPr>
            <w:tcW w:w="0" w:type="auto"/>
            <w:shd w:val="clear" w:color="auto" w:fill="auto"/>
          </w:tcPr>
          <w:p w14:paraId="4987BD69" w14:textId="77777777" w:rsidR="00F026E8" w:rsidRPr="00FE7622" w:rsidRDefault="00F026E8" w:rsidP="00AF19CC">
            <w:pPr>
              <w:pStyle w:val="72TabletextTablesTableFigureBoxstyles"/>
              <w:rPr>
                <w:rFonts w:eastAsia="Calibri"/>
              </w:rPr>
            </w:pPr>
            <w:r w:rsidRPr="00FE7622">
              <w:rPr>
                <w:rFonts w:eastAsia="Calibri"/>
                <w:color w:val="auto"/>
              </w:rPr>
              <w:t>70 (72, 13)</w:t>
            </w:r>
          </w:p>
        </w:tc>
        <w:tc>
          <w:tcPr>
            <w:tcW w:w="0" w:type="auto"/>
            <w:vMerge w:val="restart"/>
            <w:shd w:val="clear" w:color="auto" w:fill="auto"/>
          </w:tcPr>
          <w:p w14:paraId="28E5EEAD" w14:textId="55FA173C" w:rsidR="00F026E8" w:rsidRPr="00FE7622" w:rsidRDefault="00F026E8" w:rsidP="00AF19CC">
            <w:pPr>
              <w:pStyle w:val="72TabletextTablesTableFigureBoxstyles"/>
              <w:rPr>
                <w:rFonts w:eastAsia="Calibri"/>
              </w:rPr>
            </w:pPr>
            <w:r w:rsidRPr="00FE7622">
              <w:rPr>
                <w:rFonts w:eastAsia="Calibri"/>
                <w:color w:val="auto"/>
              </w:rPr>
              <w:t>2</w:t>
            </w:r>
            <w:r w:rsidR="00F921A4" w:rsidRPr="00FE7622">
              <w:rPr>
                <w:rFonts w:eastAsia="Calibri"/>
                <w:color w:val="auto"/>
              </w:rPr>
              <w:t xml:space="preserve"> </w:t>
            </w:r>
            <w:r w:rsidR="00D605C2" w:rsidRPr="00FE7622">
              <w:rPr>
                <w:rFonts w:eastAsia="Calibri"/>
                <w:color w:val="auto"/>
              </w:rPr>
              <w:t>(–2 to 7)</w:t>
            </w:r>
          </w:p>
        </w:tc>
        <w:tc>
          <w:tcPr>
            <w:tcW w:w="0" w:type="auto"/>
            <w:vMerge w:val="restart"/>
            <w:shd w:val="clear" w:color="auto" w:fill="auto"/>
          </w:tcPr>
          <w:p w14:paraId="18022C35" w14:textId="77777777" w:rsidR="00F026E8" w:rsidRPr="00FE7622" w:rsidRDefault="00F026E8" w:rsidP="00AF19CC">
            <w:pPr>
              <w:pStyle w:val="72TabletextTablesTableFigureBoxstyles"/>
              <w:rPr>
                <w:rFonts w:eastAsia="Calibri"/>
                <w:color w:val="auto"/>
              </w:rPr>
            </w:pPr>
            <w:r w:rsidRPr="00FE7622">
              <w:rPr>
                <w:color w:val="auto"/>
              </w:rPr>
              <w:t>0.34</w:t>
            </w:r>
          </w:p>
        </w:tc>
        <w:tc>
          <w:tcPr>
            <w:tcW w:w="0" w:type="auto"/>
            <w:vMerge w:val="restart"/>
            <w:shd w:val="clear" w:color="auto" w:fill="auto"/>
          </w:tcPr>
          <w:p w14:paraId="4931231D" w14:textId="442FD54E" w:rsidR="00F026E8" w:rsidRPr="00FE7622" w:rsidRDefault="00F026E8" w:rsidP="00AF19CC">
            <w:pPr>
              <w:pStyle w:val="72TabletextTablesTableFigureBoxstyles"/>
              <w:rPr>
                <w:rFonts w:eastAsia="Calibri"/>
              </w:rPr>
            </w:pPr>
            <w:r w:rsidRPr="00FE7622">
              <w:rPr>
                <w:rFonts w:eastAsia="Calibri"/>
                <w:color w:val="auto"/>
              </w:rPr>
              <w:t>–3</w:t>
            </w:r>
            <w:r w:rsidR="004C4560" w:rsidRPr="00FE7622">
              <w:rPr>
                <w:rFonts w:eastAsia="Calibri"/>
                <w:color w:val="auto"/>
              </w:rPr>
              <w:t xml:space="preserve"> </w:t>
            </w:r>
            <w:r w:rsidRPr="00FE7622">
              <w:rPr>
                <w:rFonts w:eastAsia="Calibri"/>
                <w:color w:val="auto"/>
              </w:rPr>
              <w:t>(–12</w:t>
            </w:r>
            <w:r w:rsidR="00685EC4" w:rsidRPr="00FE7622">
              <w:rPr>
                <w:rFonts w:eastAsia="Calibri"/>
                <w:color w:val="auto"/>
              </w:rPr>
              <w:t xml:space="preserve"> to</w:t>
            </w:r>
            <w:r w:rsidRPr="00FE7622">
              <w:rPr>
                <w:rFonts w:eastAsia="Calibri"/>
                <w:color w:val="auto"/>
              </w:rPr>
              <w:t xml:space="preserve"> 6)</w:t>
            </w:r>
          </w:p>
        </w:tc>
        <w:tc>
          <w:tcPr>
            <w:tcW w:w="0" w:type="auto"/>
            <w:vMerge w:val="restart"/>
            <w:shd w:val="clear" w:color="auto" w:fill="auto"/>
          </w:tcPr>
          <w:p w14:paraId="7D1CFE6D" w14:textId="77777777" w:rsidR="00F026E8" w:rsidRPr="00FE7622" w:rsidRDefault="00F026E8" w:rsidP="00AF19CC">
            <w:pPr>
              <w:pStyle w:val="72TabletextTablesTableFigureBoxstyles"/>
              <w:rPr>
                <w:rFonts w:eastAsia="Calibri"/>
                <w:color w:val="auto"/>
              </w:rPr>
            </w:pPr>
            <w:r w:rsidRPr="00FE7622">
              <w:rPr>
                <w:rFonts w:eastAsia="Calibri"/>
                <w:color w:val="auto"/>
              </w:rPr>
              <w:t>0.53</w:t>
            </w:r>
          </w:p>
        </w:tc>
      </w:tr>
      <w:tr w:rsidR="00F026E8" w:rsidRPr="00FE7622" w14:paraId="7329EAC7" w14:textId="77777777" w:rsidTr="00AF19CC">
        <w:trPr>
          <w:cantSplit/>
        </w:trPr>
        <w:tc>
          <w:tcPr>
            <w:tcW w:w="0" w:type="auto"/>
            <w:vMerge/>
            <w:shd w:val="clear" w:color="auto" w:fill="auto"/>
          </w:tcPr>
          <w:p w14:paraId="73BDE499" w14:textId="77777777" w:rsidR="00F026E8" w:rsidRPr="00FE7622" w:rsidRDefault="00F026E8" w:rsidP="00AF19CC">
            <w:pPr>
              <w:pStyle w:val="72TabletextTablesTableFigureBoxstyles"/>
              <w:rPr>
                <w:rFonts w:eastAsia="Calibri"/>
              </w:rPr>
            </w:pPr>
          </w:p>
        </w:tc>
        <w:tc>
          <w:tcPr>
            <w:tcW w:w="0" w:type="auto"/>
            <w:shd w:val="clear" w:color="auto" w:fill="auto"/>
          </w:tcPr>
          <w:p w14:paraId="56F7B352" w14:textId="1399340C" w:rsidR="00F026E8" w:rsidRPr="00FE7622" w:rsidRDefault="00F026E8" w:rsidP="00AF19CC">
            <w:pPr>
              <w:pStyle w:val="72TabletextTablesTableFigureBoxstyles"/>
              <w:rPr>
                <w:rFonts w:eastAsia="Calibri"/>
              </w:rPr>
            </w:pPr>
            <w:r w:rsidRPr="00FE7622">
              <w:rPr>
                <w:rFonts w:eastAsia="Calibri"/>
                <w:color w:val="auto"/>
              </w:rPr>
              <w:t>6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77A746CC" w14:textId="77777777" w:rsidR="00F026E8" w:rsidRPr="00FE7622" w:rsidRDefault="00F026E8" w:rsidP="00AF19CC">
            <w:pPr>
              <w:pStyle w:val="72TabletextTablesTableFigureBoxstyles"/>
              <w:rPr>
                <w:rFonts w:eastAsia="Calibri"/>
              </w:rPr>
            </w:pPr>
            <w:r w:rsidRPr="00FE7622">
              <w:rPr>
                <w:rFonts w:eastAsia="Calibri"/>
                <w:color w:val="auto"/>
              </w:rPr>
              <w:t>72 (59, 18)</w:t>
            </w:r>
          </w:p>
        </w:tc>
        <w:tc>
          <w:tcPr>
            <w:tcW w:w="0" w:type="auto"/>
            <w:shd w:val="clear" w:color="auto" w:fill="auto"/>
          </w:tcPr>
          <w:p w14:paraId="67540388" w14:textId="77777777" w:rsidR="00F026E8" w:rsidRPr="00FE7622" w:rsidRDefault="00F026E8" w:rsidP="00AF19CC">
            <w:pPr>
              <w:pStyle w:val="72TabletextTablesTableFigureBoxstyles"/>
              <w:rPr>
                <w:rFonts w:eastAsia="Calibri"/>
              </w:rPr>
            </w:pPr>
            <w:r w:rsidRPr="00FE7622">
              <w:rPr>
                <w:rFonts w:eastAsia="Calibri"/>
                <w:color w:val="auto"/>
              </w:rPr>
              <w:t>69 (61, 16)</w:t>
            </w:r>
          </w:p>
        </w:tc>
        <w:tc>
          <w:tcPr>
            <w:tcW w:w="0" w:type="auto"/>
            <w:vMerge/>
            <w:shd w:val="clear" w:color="auto" w:fill="auto"/>
          </w:tcPr>
          <w:p w14:paraId="1D186953"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4C8D64BA"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75E09A9"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DA58D49"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261BB641" w14:textId="77777777" w:rsidTr="00AF19CC">
        <w:trPr>
          <w:cantSplit/>
        </w:trPr>
        <w:tc>
          <w:tcPr>
            <w:tcW w:w="0" w:type="auto"/>
            <w:vMerge/>
            <w:shd w:val="clear" w:color="auto" w:fill="auto"/>
          </w:tcPr>
          <w:p w14:paraId="2A20DC84" w14:textId="77777777" w:rsidR="00F026E8" w:rsidRPr="00FE7622" w:rsidRDefault="00F026E8" w:rsidP="00AF19CC">
            <w:pPr>
              <w:pStyle w:val="72TabletextTablesTableFigureBoxstyles"/>
              <w:rPr>
                <w:rFonts w:eastAsia="Calibri"/>
              </w:rPr>
            </w:pPr>
          </w:p>
        </w:tc>
        <w:tc>
          <w:tcPr>
            <w:tcW w:w="0" w:type="auto"/>
            <w:shd w:val="clear" w:color="auto" w:fill="auto"/>
          </w:tcPr>
          <w:p w14:paraId="49B8701F" w14:textId="776E5CF1" w:rsidR="00F026E8" w:rsidRPr="00FE7622" w:rsidRDefault="00F026E8" w:rsidP="00AF19CC">
            <w:pPr>
              <w:pStyle w:val="72TabletextTablesTableFigureBoxstyles"/>
              <w:rPr>
                <w:rFonts w:eastAsia="Calibri"/>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43B229A2" w14:textId="77777777" w:rsidR="00F026E8" w:rsidRPr="00FE7622" w:rsidRDefault="00F026E8" w:rsidP="00AF19CC">
            <w:pPr>
              <w:pStyle w:val="72TabletextTablesTableFigureBoxstyles"/>
              <w:rPr>
                <w:rFonts w:eastAsia="Calibri"/>
              </w:rPr>
            </w:pPr>
            <w:r w:rsidRPr="00FE7622">
              <w:rPr>
                <w:rFonts w:eastAsia="Calibri"/>
                <w:color w:val="auto"/>
              </w:rPr>
              <w:t>72 (51, 20)</w:t>
            </w:r>
          </w:p>
        </w:tc>
        <w:tc>
          <w:tcPr>
            <w:tcW w:w="0" w:type="auto"/>
            <w:shd w:val="clear" w:color="auto" w:fill="auto"/>
          </w:tcPr>
          <w:p w14:paraId="24F3F38F" w14:textId="77777777" w:rsidR="00F026E8" w:rsidRPr="00FE7622" w:rsidRDefault="00F026E8" w:rsidP="00AF19CC">
            <w:pPr>
              <w:pStyle w:val="72TabletextTablesTableFigureBoxstyles"/>
              <w:rPr>
                <w:rFonts w:eastAsia="Calibri"/>
              </w:rPr>
            </w:pPr>
            <w:r w:rsidRPr="00FE7622">
              <w:rPr>
                <w:rFonts w:eastAsia="Calibri"/>
                <w:color w:val="auto"/>
              </w:rPr>
              <w:t>72 (56, 13)</w:t>
            </w:r>
          </w:p>
        </w:tc>
        <w:tc>
          <w:tcPr>
            <w:tcW w:w="0" w:type="auto"/>
            <w:vMerge/>
            <w:shd w:val="clear" w:color="auto" w:fill="auto"/>
          </w:tcPr>
          <w:p w14:paraId="3DD38845"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771F984E"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1222CEFE"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5C6B940E"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03070A92" w14:textId="77777777" w:rsidTr="00AF19CC">
        <w:trPr>
          <w:cantSplit/>
        </w:trPr>
        <w:tc>
          <w:tcPr>
            <w:tcW w:w="0" w:type="auto"/>
            <w:vMerge w:val="restart"/>
            <w:shd w:val="clear" w:color="auto" w:fill="auto"/>
          </w:tcPr>
          <w:p w14:paraId="102B94F0" w14:textId="77777777" w:rsidR="00F026E8" w:rsidRPr="00FE7622" w:rsidRDefault="00F026E8" w:rsidP="00AF19CC">
            <w:pPr>
              <w:pStyle w:val="72TabletextTablesTableFigureBoxstyles"/>
              <w:rPr>
                <w:rFonts w:eastAsia="Calibri"/>
              </w:rPr>
            </w:pPr>
            <w:r w:rsidRPr="00FE7622">
              <w:rPr>
                <w:rFonts w:eastAsia="Calibri"/>
                <w:color w:val="auto"/>
              </w:rPr>
              <w:t>Hip T-score</w:t>
            </w:r>
          </w:p>
        </w:tc>
        <w:tc>
          <w:tcPr>
            <w:tcW w:w="0" w:type="auto"/>
            <w:shd w:val="clear" w:color="auto" w:fill="auto"/>
          </w:tcPr>
          <w:p w14:paraId="72FD6CF0" w14:textId="5FF07D50" w:rsidR="00F026E8" w:rsidRPr="00FE7622" w:rsidRDefault="00F026E8" w:rsidP="00AF19CC">
            <w:pPr>
              <w:pStyle w:val="72TabletextTablesTableFigureBoxstyles"/>
              <w:rPr>
                <w:rFonts w:eastAsia="Calibri"/>
                <w:color w:val="auto"/>
              </w:rPr>
            </w:pPr>
            <w:r w:rsidRPr="00FE7622">
              <w:rPr>
                <w:rFonts w:eastAsia="Calibri"/>
                <w:color w:val="auto"/>
              </w:rPr>
              <w:t>Baseline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7F492467" w14:textId="77777777" w:rsidR="00F026E8" w:rsidRPr="00FE7622" w:rsidRDefault="00F026E8" w:rsidP="00AF19CC">
            <w:pPr>
              <w:pStyle w:val="72TabletextTablesTableFigureBoxstyles"/>
              <w:rPr>
                <w:rFonts w:eastAsia="Calibri"/>
                <w:color w:val="auto"/>
              </w:rPr>
            </w:pPr>
            <w:r w:rsidRPr="00FE7622">
              <w:rPr>
                <w:rFonts w:eastAsia="Calibri"/>
                <w:color w:val="auto"/>
              </w:rPr>
              <w:t>–1.22 (63, 1.35)</w:t>
            </w:r>
          </w:p>
        </w:tc>
        <w:tc>
          <w:tcPr>
            <w:tcW w:w="0" w:type="auto"/>
            <w:shd w:val="clear" w:color="auto" w:fill="auto"/>
          </w:tcPr>
          <w:p w14:paraId="34066EF1" w14:textId="77777777" w:rsidR="00F026E8" w:rsidRPr="00FE7622" w:rsidRDefault="00F026E8" w:rsidP="00AF19CC">
            <w:pPr>
              <w:pStyle w:val="72TabletextTablesTableFigureBoxstyles"/>
              <w:rPr>
                <w:rFonts w:eastAsia="Calibri"/>
              </w:rPr>
            </w:pPr>
            <w:r w:rsidRPr="00FE7622">
              <w:rPr>
                <w:rFonts w:eastAsia="Calibri"/>
                <w:color w:val="auto"/>
              </w:rPr>
              <w:t>–1.42 (65, 1.10)</w:t>
            </w:r>
          </w:p>
        </w:tc>
        <w:tc>
          <w:tcPr>
            <w:tcW w:w="0" w:type="auto"/>
            <w:vMerge w:val="restart"/>
            <w:shd w:val="clear" w:color="auto" w:fill="auto"/>
          </w:tcPr>
          <w:p w14:paraId="68D7FDC2" w14:textId="2FA027FF" w:rsidR="00F026E8" w:rsidRPr="00FE7622" w:rsidRDefault="00F026E8" w:rsidP="00AF19CC">
            <w:pPr>
              <w:pStyle w:val="72TabletextTablesTableFigureBoxstyles"/>
              <w:rPr>
                <w:rFonts w:eastAsia="Calibri"/>
              </w:rPr>
            </w:pPr>
            <w:r w:rsidRPr="00FE7622">
              <w:rPr>
                <w:rFonts w:eastAsia="Calibri"/>
                <w:color w:val="auto"/>
              </w:rPr>
              <w:t>0.22</w:t>
            </w:r>
            <w:r w:rsidR="00F921A4" w:rsidRPr="00FE7622">
              <w:rPr>
                <w:rFonts w:eastAsia="Calibri"/>
                <w:color w:val="auto"/>
              </w:rPr>
              <w:t xml:space="preserve"> </w:t>
            </w:r>
            <w:r w:rsidRPr="00FE7622">
              <w:rPr>
                <w:rFonts w:eastAsia="Calibri"/>
                <w:color w:val="auto"/>
              </w:rPr>
              <w:t>(–0.20</w:t>
            </w:r>
            <w:r w:rsidR="00685EC4" w:rsidRPr="00FE7622">
              <w:rPr>
                <w:rFonts w:eastAsia="Calibri"/>
                <w:color w:val="auto"/>
              </w:rPr>
              <w:t xml:space="preserve"> to</w:t>
            </w:r>
            <w:r w:rsidRPr="00FE7622">
              <w:rPr>
                <w:rFonts w:eastAsia="Calibri"/>
                <w:color w:val="auto"/>
              </w:rPr>
              <w:t xml:space="preserve"> 0.65)</w:t>
            </w:r>
          </w:p>
        </w:tc>
        <w:tc>
          <w:tcPr>
            <w:tcW w:w="0" w:type="auto"/>
            <w:vMerge w:val="restart"/>
            <w:shd w:val="clear" w:color="auto" w:fill="auto"/>
          </w:tcPr>
          <w:p w14:paraId="412EF7C8" w14:textId="77777777" w:rsidR="00F026E8" w:rsidRPr="00FE7622" w:rsidRDefault="00F026E8" w:rsidP="00AF19CC">
            <w:pPr>
              <w:pStyle w:val="72TabletextTablesTableFigureBoxstyles"/>
              <w:rPr>
                <w:rFonts w:eastAsia="Calibri"/>
              </w:rPr>
            </w:pPr>
            <w:r w:rsidRPr="00FE7622">
              <w:rPr>
                <w:color w:val="auto"/>
              </w:rPr>
              <w:t>0.30</w:t>
            </w:r>
          </w:p>
        </w:tc>
        <w:tc>
          <w:tcPr>
            <w:tcW w:w="0" w:type="auto"/>
            <w:vMerge w:val="restart"/>
            <w:shd w:val="clear" w:color="auto" w:fill="auto"/>
          </w:tcPr>
          <w:p w14:paraId="7A0C1C2C" w14:textId="27D58EAE" w:rsidR="00F026E8" w:rsidRPr="00FE7622" w:rsidRDefault="00F026E8" w:rsidP="00AF19CC">
            <w:pPr>
              <w:pStyle w:val="72TabletextTablesTableFigureBoxstyles"/>
              <w:rPr>
                <w:rFonts w:eastAsia="Calibri"/>
              </w:rPr>
            </w:pPr>
            <w:r w:rsidRPr="00FE7622">
              <w:rPr>
                <w:rFonts w:eastAsia="Calibri"/>
                <w:color w:val="auto"/>
              </w:rPr>
              <w:t>0.17</w:t>
            </w:r>
            <w:r w:rsidR="004C4560" w:rsidRPr="00FE7622">
              <w:rPr>
                <w:rFonts w:eastAsia="Calibri"/>
                <w:color w:val="auto"/>
              </w:rPr>
              <w:t xml:space="preserve"> </w:t>
            </w:r>
            <w:r w:rsidRPr="00FE7622">
              <w:rPr>
                <w:rFonts w:eastAsia="Calibri"/>
                <w:color w:val="auto"/>
              </w:rPr>
              <w:t>(–0.59</w:t>
            </w:r>
            <w:r w:rsidR="00685EC4" w:rsidRPr="00FE7622">
              <w:rPr>
                <w:rFonts w:eastAsia="Calibri"/>
                <w:color w:val="auto"/>
              </w:rPr>
              <w:t xml:space="preserve"> to</w:t>
            </w:r>
            <w:r w:rsidRPr="00FE7622">
              <w:rPr>
                <w:rFonts w:eastAsia="Calibri"/>
                <w:color w:val="auto"/>
              </w:rPr>
              <w:t xml:space="preserve"> 0.93)</w:t>
            </w:r>
          </w:p>
        </w:tc>
        <w:tc>
          <w:tcPr>
            <w:tcW w:w="0" w:type="auto"/>
            <w:vMerge w:val="restart"/>
            <w:shd w:val="clear" w:color="auto" w:fill="auto"/>
          </w:tcPr>
          <w:p w14:paraId="3DA1CB75" w14:textId="77777777" w:rsidR="00F026E8" w:rsidRPr="00FE7622" w:rsidRDefault="00F026E8" w:rsidP="00AF19CC">
            <w:pPr>
              <w:pStyle w:val="72TabletextTablesTableFigureBoxstyles"/>
              <w:rPr>
                <w:rFonts w:eastAsia="Calibri"/>
                <w:color w:val="auto"/>
              </w:rPr>
            </w:pPr>
            <w:r w:rsidRPr="00FE7622">
              <w:rPr>
                <w:rFonts w:eastAsia="Calibri"/>
                <w:color w:val="auto"/>
              </w:rPr>
              <w:t>0.66</w:t>
            </w:r>
          </w:p>
        </w:tc>
      </w:tr>
      <w:tr w:rsidR="00F026E8" w:rsidRPr="00FE7622" w14:paraId="720D8700" w14:textId="77777777" w:rsidTr="00AF19CC">
        <w:trPr>
          <w:cantSplit/>
        </w:trPr>
        <w:tc>
          <w:tcPr>
            <w:tcW w:w="0" w:type="auto"/>
            <w:vMerge/>
            <w:shd w:val="clear" w:color="auto" w:fill="auto"/>
          </w:tcPr>
          <w:p w14:paraId="402D25F5" w14:textId="77777777" w:rsidR="00F026E8" w:rsidRPr="00FE7622" w:rsidRDefault="00F026E8" w:rsidP="00AF19CC">
            <w:pPr>
              <w:pStyle w:val="72TabletextTablesTableFigureBoxstyles"/>
              <w:rPr>
                <w:rFonts w:eastAsia="Calibri"/>
              </w:rPr>
            </w:pPr>
          </w:p>
        </w:tc>
        <w:tc>
          <w:tcPr>
            <w:tcW w:w="0" w:type="auto"/>
            <w:shd w:val="clear" w:color="auto" w:fill="auto"/>
          </w:tcPr>
          <w:p w14:paraId="1F15F436" w14:textId="28045854" w:rsidR="00F026E8" w:rsidRPr="00FE7622" w:rsidRDefault="00F026E8" w:rsidP="00AF19CC">
            <w:pPr>
              <w:pStyle w:val="72TabletextTablesTableFigureBoxstyles"/>
              <w:rPr>
                <w:rFonts w:eastAsia="Calibri"/>
                <w:color w:val="auto"/>
              </w:rPr>
            </w:pPr>
            <w:r w:rsidRPr="00FE7622">
              <w:rPr>
                <w:rFonts w:eastAsia="Calibri"/>
                <w:color w:val="auto"/>
              </w:rPr>
              <w:t>12 months (</w:t>
            </w:r>
            <w:r w:rsidR="00E038BF" w:rsidRPr="00FE7622">
              <w:rPr>
                <w:rFonts w:eastAsia="Calibri"/>
                <w:i/>
                <w:iCs/>
                <w:color w:val="auto"/>
              </w:rPr>
              <w:t>n</w:t>
            </w:r>
            <w:r w:rsidR="00554C49" w:rsidRPr="00FE7622">
              <w:rPr>
                <w:rFonts w:eastAsia="Calibri"/>
                <w:color w:val="auto"/>
              </w:rPr>
              <w:t xml:space="preserve">, </w:t>
            </w:r>
            <w:r w:rsidRPr="00842651">
              <w:rPr>
                <w:rFonts w:eastAsia="Calibri"/>
                <w:color w:val="auto"/>
              </w:rPr>
              <w:t>SD</w:t>
            </w:r>
            <w:r w:rsidRPr="00FE7622">
              <w:rPr>
                <w:rFonts w:eastAsia="Calibri"/>
                <w:color w:val="auto"/>
              </w:rPr>
              <w:t>)</w:t>
            </w:r>
          </w:p>
        </w:tc>
        <w:tc>
          <w:tcPr>
            <w:tcW w:w="0" w:type="auto"/>
            <w:shd w:val="clear" w:color="auto" w:fill="auto"/>
          </w:tcPr>
          <w:p w14:paraId="28467BAF" w14:textId="77777777" w:rsidR="00F026E8" w:rsidRPr="00FE7622" w:rsidRDefault="00F026E8" w:rsidP="00AF19CC">
            <w:pPr>
              <w:pStyle w:val="72TabletextTablesTableFigureBoxstyles"/>
              <w:rPr>
                <w:rFonts w:eastAsia="Calibri"/>
                <w:color w:val="auto"/>
              </w:rPr>
            </w:pPr>
            <w:r w:rsidRPr="00FE7622">
              <w:rPr>
                <w:rFonts w:eastAsia="Calibri"/>
                <w:color w:val="auto"/>
              </w:rPr>
              <w:t>–1.14 (44, 1.35)</w:t>
            </w:r>
          </w:p>
        </w:tc>
        <w:tc>
          <w:tcPr>
            <w:tcW w:w="0" w:type="auto"/>
            <w:shd w:val="clear" w:color="auto" w:fill="auto"/>
          </w:tcPr>
          <w:p w14:paraId="3303A7AA" w14:textId="77777777" w:rsidR="00F026E8" w:rsidRPr="00FE7622" w:rsidRDefault="00F026E8" w:rsidP="00AF19CC">
            <w:pPr>
              <w:pStyle w:val="72TabletextTablesTableFigureBoxstyles"/>
              <w:rPr>
                <w:rFonts w:eastAsia="Calibri"/>
              </w:rPr>
            </w:pPr>
            <w:r w:rsidRPr="00FE7622">
              <w:rPr>
                <w:rFonts w:eastAsia="Calibri"/>
                <w:color w:val="auto"/>
              </w:rPr>
              <w:t>–1.29 (48, 1.01)</w:t>
            </w:r>
          </w:p>
        </w:tc>
        <w:tc>
          <w:tcPr>
            <w:tcW w:w="0" w:type="auto"/>
            <w:vMerge/>
            <w:shd w:val="clear" w:color="auto" w:fill="auto"/>
          </w:tcPr>
          <w:p w14:paraId="2E43FC5A"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0134C923"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6114FF48" w14:textId="77777777" w:rsidR="00F026E8" w:rsidRPr="00FE7622" w:rsidRDefault="00F026E8" w:rsidP="00AF19CC">
            <w:pPr>
              <w:pStyle w:val="72TabletextTablesTableFigureBoxstyles"/>
              <w:rPr>
                <w:rFonts w:ascii="Calibri" w:eastAsia="Calibri" w:hAnsi="Calibri" w:cs="Calibri"/>
              </w:rPr>
            </w:pPr>
          </w:p>
        </w:tc>
        <w:tc>
          <w:tcPr>
            <w:tcW w:w="0" w:type="auto"/>
            <w:vMerge/>
            <w:shd w:val="clear" w:color="auto" w:fill="auto"/>
          </w:tcPr>
          <w:p w14:paraId="7D925681" w14:textId="77777777" w:rsidR="00F026E8" w:rsidRPr="00FE7622" w:rsidRDefault="00F026E8" w:rsidP="00AF19CC">
            <w:pPr>
              <w:pStyle w:val="72TabletextTablesTableFigureBoxstyles"/>
              <w:rPr>
                <w:rFonts w:ascii="Calibri" w:eastAsia="Calibri" w:hAnsi="Calibri" w:cs="Calibri"/>
                <w:color w:val="auto"/>
              </w:rPr>
            </w:pPr>
          </w:p>
        </w:tc>
      </w:tr>
      <w:tr w:rsidR="00F026E8" w:rsidRPr="00FE7622" w14:paraId="7A672504" w14:textId="77777777" w:rsidTr="00AF19CC">
        <w:trPr>
          <w:cantSplit/>
        </w:trPr>
        <w:tc>
          <w:tcPr>
            <w:tcW w:w="0" w:type="auto"/>
            <w:vMerge w:val="restart"/>
            <w:shd w:val="clear" w:color="auto" w:fill="auto"/>
          </w:tcPr>
          <w:p w14:paraId="0C00F9D3" w14:textId="4A1A7FF6" w:rsidR="00F026E8" w:rsidRPr="00FE7622" w:rsidRDefault="00F026E8" w:rsidP="00AF19CC">
            <w:pPr>
              <w:pStyle w:val="72TabletextTablesTableFigureBoxstyles"/>
              <w:rPr>
                <w:rFonts w:eastAsia="Calibri"/>
              </w:rPr>
            </w:pPr>
            <w:r w:rsidRPr="00FE7622">
              <w:rPr>
                <w:color w:val="auto"/>
                <w:shd w:val="clear" w:color="auto" w:fill="FFFFFF"/>
              </w:rPr>
              <w:t xml:space="preserve">Median </w:t>
            </w:r>
            <w:r w:rsidRPr="00842651">
              <w:rPr>
                <w:color w:val="auto"/>
                <w:shd w:val="clear" w:color="auto" w:fill="FFFFFF"/>
              </w:rPr>
              <w:t>HOMA</w:t>
            </w:r>
            <w:r w:rsidR="00C35FF6" w:rsidRPr="00842651">
              <w:rPr>
                <w:color w:val="auto"/>
                <w:shd w:val="clear" w:color="auto" w:fill="FFFFFF"/>
              </w:rPr>
              <w:t>-</w:t>
            </w:r>
            <w:r w:rsidRPr="00842651">
              <w:rPr>
                <w:color w:val="auto"/>
                <w:shd w:val="clear" w:color="auto" w:fill="FFFFFF"/>
              </w:rPr>
              <w:t>IR</w:t>
            </w:r>
          </w:p>
        </w:tc>
        <w:tc>
          <w:tcPr>
            <w:tcW w:w="0" w:type="auto"/>
            <w:shd w:val="clear" w:color="auto" w:fill="auto"/>
          </w:tcPr>
          <w:p w14:paraId="1C7CB9A5" w14:textId="49BD686E" w:rsidR="00F026E8" w:rsidRPr="00FE7622" w:rsidRDefault="00F026E8" w:rsidP="00AF19CC">
            <w:pPr>
              <w:pStyle w:val="72TabletextTablesTableFigureBoxstyles"/>
              <w:rPr>
                <w:rFonts w:eastAsia="Calibri"/>
              </w:rPr>
            </w:pPr>
            <w:r w:rsidRPr="00FE7622">
              <w:rPr>
                <w:rFonts w:eastAsia="Calibri"/>
                <w:color w:val="auto"/>
              </w:rPr>
              <w:t xml:space="preserve">Baseline </w:t>
            </w:r>
            <w:r w:rsidR="003A29E6" w:rsidRPr="00FE7622">
              <w:rPr>
                <w:rFonts w:eastAsia="Calibri"/>
                <w:color w:val="auto"/>
              </w:rPr>
              <w:t>(</w:t>
            </w:r>
            <w:r w:rsidR="00E038BF" w:rsidRPr="00FE7622">
              <w:rPr>
                <w:rFonts w:eastAsia="Calibri"/>
                <w:i/>
                <w:color w:val="auto"/>
              </w:rPr>
              <w:t>n</w:t>
            </w:r>
            <w:r w:rsidRPr="00FE7622">
              <w:rPr>
                <w:rFonts w:eastAsia="Calibri"/>
                <w:color w:val="auto"/>
              </w:rPr>
              <w:t xml:space="preserve">, </w:t>
            </w:r>
            <w:r w:rsidRPr="00842651">
              <w:rPr>
                <w:rFonts w:eastAsia="Calibri"/>
                <w:color w:val="auto"/>
              </w:rPr>
              <w:t>IQR</w:t>
            </w:r>
            <w:r w:rsidR="003A29E6" w:rsidRPr="00FE7622">
              <w:rPr>
                <w:rFonts w:eastAsia="Calibri"/>
                <w:color w:val="auto"/>
              </w:rPr>
              <w:t>)</w:t>
            </w:r>
          </w:p>
        </w:tc>
        <w:tc>
          <w:tcPr>
            <w:tcW w:w="0" w:type="auto"/>
            <w:shd w:val="clear" w:color="auto" w:fill="auto"/>
          </w:tcPr>
          <w:p w14:paraId="77EAA5F0" w14:textId="77777777" w:rsidR="00F026E8" w:rsidRPr="00FE7622" w:rsidRDefault="00F026E8" w:rsidP="00AF19CC">
            <w:pPr>
              <w:pStyle w:val="72TabletextTablesTableFigureBoxstyles"/>
              <w:rPr>
                <w:rFonts w:eastAsia="Calibri"/>
              </w:rPr>
            </w:pPr>
            <w:r w:rsidRPr="00FE7622">
              <w:rPr>
                <w:color w:val="auto"/>
              </w:rPr>
              <w:t>2.8 (63, 2.0–4.2)</w:t>
            </w:r>
          </w:p>
        </w:tc>
        <w:tc>
          <w:tcPr>
            <w:tcW w:w="0" w:type="auto"/>
            <w:shd w:val="clear" w:color="auto" w:fill="auto"/>
          </w:tcPr>
          <w:p w14:paraId="7FECCE76" w14:textId="77777777" w:rsidR="00F026E8" w:rsidRPr="00FE7622" w:rsidRDefault="00F026E8" w:rsidP="00AF19CC">
            <w:pPr>
              <w:pStyle w:val="72TabletextTablesTableFigureBoxstyles"/>
              <w:rPr>
                <w:rFonts w:eastAsia="Calibri"/>
                <w:color w:val="auto"/>
              </w:rPr>
            </w:pPr>
            <w:r w:rsidRPr="00FE7622">
              <w:rPr>
                <w:color w:val="auto"/>
              </w:rPr>
              <w:t>3.1 (64, 2.2–4.8)</w:t>
            </w:r>
          </w:p>
        </w:tc>
        <w:tc>
          <w:tcPr>
            <w:tcW w:w="0" w:type="auto"/>
            <w:vMerge w:val="restart"/>
            <w:shd w:val="clear" w:color="auto" w:fill="auto"/>
          </w:tcPr>
          <w:p w14:paraId="79DC992A" w14:textId="650860A1" w:rsidR="00F026E8" w:rsidRPr="00FE7622" w:rsidRDefault="00F026E8" w:rsidP="00AF19CC">
            <w:pPr>
              <w:pStyle w:val="72TabletextTablesTableFigureBoxstyles"/>
              <w:rPr>
                <w:rFonts w:eastAsia="Calibri"/>
              </w:rPr>
            </w:pPr>
            <w:r w:rsidRPr="00FE7622">
              <w:rPr>
                <w:rFonts w:eastAsia="Calibri"/>
                <w:color w:val="auto"/>
              </w:rPr>
              <w:t>–0.1</w:t>
            </w:r>
            <w:r w:rsidR="00F921A4" w:rsidRPr="00FE7622">
              <w:rPr>
                <w:rFonts w:eastAsia="Calibri"/>
                <w:color w:val="auto"/>
              </w:rPr>
              <w:t xml:space="preserve"> </w:t>
            </w:r>
            <w:r w:rsidRPr="00FE7622">
              <w:rPr>
                <w:rFonts w:eastAsia="Calibri"/>
                <w:color w:val="auto"/>
              </w:rPr>
              <w:t>(–1.7</w:t>
            </w:r>
            <w:r w:rsidR="00685EC4" w:rsidRPr="00FE7622">
              <w:rPr>
                <w:rFonts w:eastAsia="Calibri"/>
                <w:color w:val="auto"/>
              </w:rPr>
              <w:t xml:space="preserve"> to</w:t>
            </w:r>
            <w:r w:rsidRPr="00FE7622">
              <w:rPr>
                <w:rFonts w:eastAsia="Calibri"/>
                <w:color w:val="auto"/>
              </w:rPr>
              <w:t xml:space="preserve"> 1.5)</w:t>
            </w:r>
          </w:p>
        </w:tc>
        <w:tc>
          <w:tcPr>
            <w:tcW w:w="0" w:type="auto"/>
            <w:vMerge w:val="restart"/>
            <w:shd w:val="clear" w:color="auto" w:fill="auto"/>
          </w:tcPr>
          <w:p w14:paraId="1EECC929" w14:textId="77777777" w:rsidR="00F026E8" w:rsidRPr="00FE7622" w:rsidRDefault="00F026E8" w:rsidP="00AF19CC">
            <w:pPr>
              <w:pStyle w:val="72TabletextTablesTableFigureBoxstyles"/>
              <w:rPr>
                <w:rFonts w:eastAsia="Calibri"/>
                <w:color w:val="auto"/>
              </w:rPr>
            </w:pPr>
            <w:r w:rsidRPr="00FE7622">
              <w:rPr>
                <w:rFonts w:eastAsia="Calibri"/>
                <w:color w:val="auto"/>
              </w:rPr>
              <w:t>0.87</w:t>
            </w:r>
          </w:p>
        </w:tc>
        <w:tc>
          <w:tcPr>
            <w:tcW w:w="0" w:type="auto"/>
            <w:vMerge w:val="restart"/>
            <w:shd w:val="clear" w:color="auto" w:fill="auto"/>
          </w:tcPr>
          <w:p w14:paraId="4E074387" w14:textId="6FE68B1C" w:rsidR="00F026E8" w:rsidRPr="00FE7622" w:rsidRDefault="00F026E8" w:rsidP="00AF19CC">
            <w:pPr>
              <w:pStyle w:val="72TabletextTablesTableFigureBoxstyles"/>
              <w:rPr>
                <w:rFonts w:eastAsia="Calibri"/>
              </w:rPr>
            </w:pPr>
            <w:r w:rsidRPr="00FE7622">
              <w:rPr>
                <w:rFonts w:eastAsia="Calibri"/>
                <w:color w:val="auto"/>
              </w:rPr>
              <w:t>–1.3</w:t>
            </w:r>
            <w:r w:rsidR="004C4560" w:rsidRPr="00FE7622">
              <w:rPr>
                <w:rFonts w:eastAsia="Calibri"/>
                <w:color w:val="auto"/>
              </w:rPr>
              <w:t xml:space="preserve"> </w:t>
            </w:r>
            <w:r w:rsidRPr="00FE7622">
              <w:rPr>
                <w:rFonts w:eastAsia="Calibri"/>
                <w:color w:val="auto"/>
              </w:rPr>
              <w:t>(–4.5</w:t>
            </w:r>
            <w:r w:rsidR="00685EC4" w:rsidRPr="00FE7622">
              <w:rPr>
                <w:rFonts w:eastAsia="Calibri"/>
                <w:color w:val="auto"/>
              </w:rPr>
              <w:t xml:space="preserve"> to</w:t>
            </w:r>
            <w:r w:rsidRPr="00FE7622">
              <w:rPr>
                <w:rFonts w:eastAsia="Calibri"/>
                <w:color w:val="auto"/>
              </w:rPr>
              <w:t xml:space="preserve"> 1.9)</w:t>
            </w:r>
          </w:p>
        </w:tc>
        <w:tc>
          <w:tcPr>
            <w:tcW w:w="0" w:type="auto"/>
            <w:vMerge w:val="restart"/>
            <w:shd w:val="clear" w:color="auto" w:fill="auto"/>
          </w:tcPr>
          <w:p w14:paraId="07B65F00" w14:textId="77777777" w:rsidR="00F026E8" w:rsidRPr="00FE7622" w:rsidRDefault="00F026E8" w:rsidP="00AF19CC">
            <w:pPr>
              <w:pStyle w:val="72TabletextTablesTableFigureBoxstyles"/>
              <w:rPr>
                <w:rFonts w:eastAsia="Calibri"/>
                <w:color w:val="auto"/>
              </w:rPr>
            </w:pPr>
            <w:r w:rsidRPr="00FE7622">
              <w:rPr>
                <w:rFonts w:eastAsia="Calibri"/>
                <w:color w:val="auto"/>
              </w:rPr>
              <w:t>0.42</w:t>
            </w:r>
          </w:p>
        </w:tc>
      </w:tr>
      <w:tr w:rsidR="00F026E8" w:rsidRPr="00FE7622" w14:paraId="498A2EF9" w14:textId="77777777" w:rsidTr="00AF19CC">
        <w:trPr>
          <w:cantSplit/>
        </w:trPr>
        <w:tc>
          <w:tcPr>
            <w:tcW w:w="0" w:type="auto"/>
            <w:vMerge/>
            <w:shd w:val="clear" w:color="auto" w:fill="auto"/>
          </w:tcPr>
          <w:p w14:paraId="6203F620" w14:textId="77777777" w:rsidR="00F026E8" w:rsidRPr="00FE7622" w:rsidRDefault="00F026E8" w:rsidP="00AF19CC">
            <w:pPr>
              <w:pStyle w:val="72TabletextTablesTableFigureBoxstyles"/>
              <w:rPr>
                <w:rFonts w:ascii="Courier New" w:hAnsi="Courier New" w:cs="Courier New"/>
                <w:color w:val="FF0000"/>
                <w:shd w:val="clear" w:color="auto" w:fill="FFFFFF"/>
              </w:rPr>
            </w:pPr>
          </w:p>
        </w:tc>
        <w:tc>
          <w:tcPr>
            <w:tcW w:w="0" w:type="auto"/>
            <w:shd w:val="clear" w:color="auto" w:fill="auto"/>
          </w:tcPr>
          <w:p w14:paraId="4D060436" w14:textId="025C1C9B" w:rsidR="00F026E8" w:rsidRPr="00FE7622" w:rsidRDefault="00F026E8" w:rsidP="00AF19CC">
            <w:pPr>
              <w:pStyle w:val="72TabletextTablesTableFigureBoxstyles"/>
              <w:rPr>
                <w:rFonts w:eastAsia="Calibri"/>
                <w:color w:val="FF0000"/>
              </w:rPr>
            </w:pPr>
            <w:r w:rsidRPr="00FE7622">
              <w:rPr>
                <w:rFonts w:eastAsia="Calibri"/>
                <w:color w:val="auto"/>
              </w:rPr>
              <w:t xml:space="preserve">3 months </w:t>
            </w:r>
            <w:r w:rsidR="003A29E6" w:rsidRPr="00FE7622">
              <w:rPr>
                <w:rFonts w:eastAsia="Calibri"/>
                <w:color w:val="auto"/>
              </w:rPr>
              <w:t>(</w:t>
            </w:r>
            <w:r w:rsidR="00E038BF" w:rsidRPr="00FE7622">
              <w:rPr>
                <w:rFonts w:eastAsia="Calibri"/>
                <w:i/>
                <w:color w:val="auto"/>
              </w:rPr>
              <w:t>n</w:t>
            </w:r>
            <w:r w:rsidRPr="00FE7622">
              <w:rPr>
                <w:rFonts w:eastAsia="Calibri"/>
                <w:color w:val="auto"/>
              </w:rPr>
              <w:t xml:space="preserve">, </w:t>
            </w:r>
            <w:r w:rsidRPr="00842651">
              <w:rPr>
                <w:rFonts w:eastAsia="Calibri"/>
                <w:color w:val="auto"/>
              </w:rPr>
              <w:t>IQR</w:t>
            </w:r>
            <w:r w:rsidR="003A29E6" w:rsidRPr="00FE7622">
              <w:rPr>
                <w:rFonts w:eastAsia="Calibri"/>
                <w:color w:val="auto"/>
              </w:rPr>
              <w:t>)</w:t>
            </w:r>
          </w:p>
        </w:tc>
        <w:tc>
          <w:tcPr>
            <w:tcW w:w="0" w:type="auto"/>
            <w:shd w:val="clear" w:color="auto" w:fill="auto"/>
          </w:tcPr>
          <w:p w14:paraId="7ADC7C9B" w14:textId="77777777" w:rsidR="00F026E8" w:rsidRPr="00FE7622" w:rsidRDefault="00F026E8" w:rsidP="00AF19CC">
            <w:pPr>
              <w:pStyle w:val="72TabletextTablesTableFigureBoxstyles"/>
              <w:rPr>
                <w:rFonts w:eastAsia="Calibri"/>
                <w:color w:val="FF0000"/>
              </w:rPr>
            </w:pPr>
            <w:r w:rsidRPr="00FE7622">
              <w:rPr>
                <w:color w:val="auto"/>
              </w:rPr>
              <w:t>3.0 (55, 2.0–6.8)</w:t>
            </w:r>
          </w:p>
        </w:tc>
        <w:tc>
          <w:tcPr>
            <w:tcW w:w="0" w:type="auto"/>
            <w:shd w:val="clear" w:color="auto" w:fill="auto"/>
          </w:tcPr>
          <w:p w14:paraId="77A54336" w14:textId="77777777" w:rsidR="00F026E8" w:rsidRPr="00FE7622" w:rsidRDefault="00F026E8" w:rsidP="00AF19CC">
            <w:pPr>
              <w:pStyle w:val="72TabletextTablesTableFigureBoxstyles"/>
              <w:rPr>
                <w:rFonts w:eastAsia="Calibri"/>
                <w:color w:val="auto"/>
              </w:rPr>
            </w:pPr>
            <w:r w:rsidRPr="00FE7622">
              <w:rPr>
                <w:color w:val="auto"/>
              </w:rPr>
              <w:t>2.7 (52, 1.6–5.8)</w:t>
            </w:r>
          </w:p>
        </w:tc>
        <w:tc>
          <w:tcPr>
            <w:tcW w:w="0" w:type="auto"/>
            <w:vMerge/>
            <w:shd w:val="clear" w:color="auto" w:fill="auto"/>
          </w:tcPr>
          <w:p w14:paraId="1A106708" w14:textId="77777777" w:rsidR="00F026E8" w:rsidRPr="00FE7622" w:rsidRDefault="00F026E8" w:rsidP="00AF19CC">
            <w:pPr>
              <w:spacing w:line="360" w:lineRule="auto"/>
              <w:rPr>
                <w:rFonts w:ascii="Calibri" w:eastAsia="Calibri" w:hAnsi="Calibri" w:cs="Calibri"/>
                <w:sz w:val="16"/>
                <w:szCs w:val="16"/>
              </w:rPr>
            </w:pPr>
          </w:p>
        </w:tc>
        <w:tc>
          <w:tcPr>
            <w:tcW w:w="0" w:type="auto"/>
            <w:vMerge/>
            <w:shd w:val="clear" w:color="auto" w:fill="auto"/>
          </w:tcPr>
          <w:p w14:paraId="024D4D7D" w14:textId="77777777" w:rsidR="00F026E8" w:rsidRPr="00FE7622" w:rsidRDefault="00F026E8" w:rsidP="00AF19CC">
            <w:pPr>
              <w:spacing w:line="360" w:lineRule="auto"/>
              <w:rPr>
                <w:rFonts w:ascii="Calibri" w:eastAsia="Calibri" w:hAnsi="Calibri" w:cs="Calibri"/>
                <w:sz w:val="16"/>
                <w:szCs w:val="16"/>
              </w:rPr>
            </w:pPr>
          </w:p>
        </w:tc>
        <w:tc>
          <w:tcPr>
            <w:tcW w:w="0" w:type="auto"/>
            <w:vMerge/>
            <w:shd w:val="clear" w:color="auto" w:fill="auto"/>
          </w:tcPr>
          <w:p w14:paraId="6AA274FF" w14:textId="77777777" w:rsidR="00F026E8" w:rsidRPr="00FE7622" w:rsidRDefault="00F026E8" w:rsidP="00AF19CC">
            <w:pPr>
              <w:spacing w:line="360" w:lineRule="auto"/>
              <w:rPr>
                <w:rFonts w:ascii="Calibri" w:eastAsia="Calibri" w:hAnsi="Calibri" w:cs="Calibri"/>
                <w:sz w:val="16"/>
                <w:szCs w:val="16"/>
              </w:rPr>
            </w:pPr>
          </w:p>
        </w:tc>
        <w:tc>
          <w:tcPr>
            <w:tcW w:w="0" w:type="auto"/>
            <w:vMerge/>
            <w:shd w:val="clear" w:color="auto" w:fill="auto"/>
          </w:tcPr>
          <w:p w14:paraId="756F4A81" w14:textId="77777777" w:rsidR="00F026E8" w:rsidRPr="00FE7622" w:rsidRDefault="00F026E8" w:rsidP="00AF19CC">
            <w:pPr>
              <w:spacing w:line="360" w:lineRule="auto"/>
              <w:rPr>
                <w:rFonts w:ascii="Calibri" w:eastAsia="Calibri" w:hAnsi="Calibri" w:cs="Calibri"/>
                <w:sz w:val="16"/>
                <w:szCs w:val="16"/>
              </w:rPr>
            </w:pPr>
          </w:p>
        </w:tc>
      </w:tr>
      <w:tr w:rsidR="00F026E8" w:rsidRPr="00FE7622" w14:paraId="40BD7B17" w14:textId="77777777" w:rsidTr="00AF19CC">
        <w:trPr>
          <w:cantSplit/>
        </w:trPr>
        <w:tc>
          <w:tcPr>
            <w:tcW w:w="0" w:type="auto"/>
            <w:vMerge/>
            <w:shd w:val="clear" w:color="auto" w:fill="auto"/>
          </w:tcPr>
          <w:p w14:paraId="5538E6E4" w14:textId="77777777" w:rsidR="00F026E8" w:rsidRPr="00FE7622" w:rsidRDefault="00F026E8" w:rsidP="00AF19CC">
            <w:pPr>
              <w:pStyle w:val="72TabletextTablesTableFigureBoxstyles"/>
              <w:rPr>
                <w:rFonts w:ascii="Courier New" w:hAnsi="Courier New" w:cs="Courier New"/>
                <w:color w:val="FF0000"/>
                <w:shd w:val="clear" w:color="auto" w:fill="FFFFFF"/>
              </w:rPr>
            </w:pPr>
          </w:p>
        </w:tc>
        <w:tc>
          <w:tcPr>
            <w:tcW w:w="0" w:type="auto"/>
            <w:shd w:val="clear" w:color="auto" w:fill="auto"/>
          </w:tcPr>
          <w:p w14:paraId="02FE89E8" w14:textId="22C21537" w:rsidR="00F026E8" w:rsidRPr="00FE7622" w:rsidRDefault="00F026E8" w:rsidP="00AF19CC">
            <w:pPr>
              <w:pStyle w:val="72TabletextTablesTableFigureBoxstyles"/>
              <w:rPr>
                <w:rFonts w:eastAsia="Calibri"/>
                <w:color w:val="FF0000"/>
              </w:rPr>
            </w:pPr>
            <w:r w:rsidRPr="00FE7622">
              <w:rPr>
                <w:rFonts w:eastAsia="Calibri"/>
                <w:color w:val="auto"/>
              </w:rPr>
              <w:t xml:space="preserve">12 months </w:t>
            </w:r>
            <w:r w:rsidR="003A29E6" w:rsidRPr="00FE7622">
              <w:rPr>
                <w:rFonts w:eastAsia="Calibri"/>
                <w:color w:val="auto"/>
              </w:rPr>
              <w:t>(</w:t>
            </w:r>
            <w:r w:rsidR="00E038BF" w:rsidRPr="00FE7622">
              <w:rPr>
                <w:rFonts w:eastAsia="Calibri"/>
                <w:i/>
                <w:iCs/>
                <w:color w:val="auto"/>
              </w:rPr>
              <w:t>n</w:t>
            </w:r>
            <w:r w:rsidR="00512077" w:rsidRPr="00FE7622">
              <w:rPr>
                <w:rFonts w:eastAsia="Calibri"/>
                <w:color w:val="auto"/>
              </w:rPr>
              <w:t xml:space="preserve">, </w:t>
            </w:r>
            <w:r w:rsidRPr="00842651">
              <w:rPr>
                <w:rFonts w:eastAsia="Calibri"/>
                <w:color w:val="auto"/>
              </w:rPr>
              <w:t>IQR</w:t>
            </w:r>
            <w:r w:rsidR="003A29E6" w:rsidRPr="00FE7622">
              <w:rPr>
                <w:rFonts w:eastAsia="Calibri"/>
                <w:color w:val="auto"/>
              </w:rPr>
              <w:t>)</w:t>
            </w:r>
          </w:p>
        </w:tc>
        <w:tc>
          <w:tcPr>
            <w:tcW w:w="0" w:type="auto"/>
            <w:shd w:val="clear" w:color="auto" w:fill="auto"/>
          </w:tcPr>
          <w:p w14:paraId="79FD2AEC" w14:textId="77777777" w:rsidR="00F026E8" w:rsidRPr="00FE7622" w:rsidRDefault="00F026E8" w:rsidP="00AF19CC">
            <w:pPr>
              <w:pStyle w:val="72TabletextTablesTableFigureBoxstyles"/>
              <w:rPr>
                <w:rFonts w:eastAsia="Calibri"/>
                <w:color w:val="FF0000"/>
              </w:rPr>
            </w:pPr>
            <w:r w:rsidRPr="00FE7622">
              <w:rPr>
                <w:color w:val="auto"/>
              </w:rPr>
              <w:t>2.6 (49, 1.9–5.1)</w:t>
            </w:r>
          </w:p>
        </w:tc>
        <w:tc>
          <w:tcPr>
            <w:tcW w:w="0" w:type="auto"/>
            <w:shd w:val="clear" w:color="auto" w:fill="auto"/>
          </w:tcPr>
          <w:p w14:paraId="00648EEF" w14:textId="77777777" w:rsidR="00F026E8" w:rsidRPr="00FE7622" w:rsidRDefault="00F026E8" w:rsidP="00AF19CC">
            <w:pPr>
              <w:pStyle w:val="72TabletextTablesTableFigureBoxstyles"/>
              <w:rPr>
                <w:rFonts w:eastAsia="Calibri"/>
                <w:color w:val="auto"/>
              </w:rPr>
            </w:pPr>
            <w:r w:rsidRPr="00FE7622">
              <w:rPr>
                <w:color w:val="auto"/>
              </w:rPr>
              <w:t>3.1 (52, 1.8–4.8)</w:t>
            </w:r>
          </w:p>
        </w:tc>
        <w:tc>
          <w:tcPr>
            <w:tcW w:w="0" w:type="auto"/>
            <w:vMerge/>
            <w:shd w:val="clear" w:color="auto" w:fill="auto"/>
          </w:tcPr>
          <w:p w14:paraId="2CCC204C" w14:textId="77777777" w:rsidR="00F026E8" w:rsidRPr="00FE7622" w:rsidRDefault="00F026E8" w:rsidP="00AF19CC">
            <w:pPr>
              <w:spacing w:line="360" w:lineRule="auto"/>
              <w:rPr>
                <w:rFonts w:ascii="Calibri" w:eastAsia="Calibri" w:hAnsi="Calibri" w:cs="Calibri"/>
                <w:sz w:val="16"/>
                <w:szCs w:val="16"/>
              </w:rPr>
            </w:pPr>
          </w:p>
        </w:tc>
        <w:tc>
          <w:tcPr>
            <w:tcW w:w="0" w:type="auto"/>
            <w:vMerge/>
            <w:shd w:val="clear" w:color="auto" w:fill="auto"/>
          </w:tcPr>
          <w:p w14:paraId="2DFFC34D" w14:textId="77777777" w:rsidR="00F026E8" w:rsidRPr="00FE7622" w:rsidRDefault="00F026E8" w:rsidP="00AF19CC">
            <w:pPr>
              <w:spacing w:line="360" w:lineRule="auto"/>
              <w:rPr>
                <w:rFonts w:ascii="Calibri" w:eastAsia="Calibri" w:hAnsi="Calibri" w:cs="Calibri"/>
                <w:sz w:val="16"/>
                <w:szCs w:val="16"/>
              </w:rPr>
            </w:pPr>
          </w:p>
        </w:tc>
        <w:tc>
          <w:tcPr>
            <w:tcW w:w="0" w:type="auto"/>
            <w:vMerge/>
            <w:shd w:val="clear" w:color="auto" w:fill="auto"/>
          </w:tcPr>
          <w:p w14:paraId="47F431F8" w14:textId="77777777" w:rsidR="00F026E8" w:rsidRPr="00FE7622" w:rsidRDefault="00F026E8" w:rsidP="00AF19CC">
            <w:pPr>
              <w:spacing w:line="360" w:lineRule="auto"/>
              <w:rPr>
                <w:rFonts w:ascii="Calibri" w:eastAsia="Calibri" w:hAnsi="Calibri" w:cs="Calibri"/>
                <w:sz w:val="16"/>
                <w:szCs w:val="16"/>
              </w:rPr>
            </w:pPr>
          </w:p>
        </w:tc>
        <w:tc>
          <w:tcPr>
            <w:tcW w:w="0" w:type="auto"/>
            <w:vMerge/>
            <w:shd w:val="clear" w:color="auto" w:fill="auto"/>
          </w:tcPr>
          <w:p w14:paraId="7E2DDE7E" w14:textId="77777777" w:rsidR="00F026E8" w:rsidRPr="00FE7622" w:rsidRDefault="00F026E8" w:rsidP="00AF19CC">
            <w:pPr>
              <w:spacing w:line="360" w:lineRule="auto"/>
              <w:rPr>
                <w:rFonts w:ascii="Calibri" w:eastAsia="Calibri" w:hAnsi="Calibri" w:cs="Calibri"/>
                <w:sz w:val="16"/>
                <w:szCs w:val="16"/>
              </w:rPr>
            </w:pPr>
          </w:p>
        </w:tc>
      </w:tr>
      <w:tr w:rsidR="00F026E8" w:rsidRPr="00FE7622" w14:paraId="2E2ABA80" w14:textId="77777777" w:rsidTr="00AF19CC">
        <w:trPr>
          <w:cantSplit/>
        </w:trPr>
        <w:tc>
          <w:tcPr>
            <w:tcW w:w="0" w:type="auto"/>
            <w:gridSpan w:val="8"/>
            <w:shd w:val="clear" w:color="auto" w:fill="auto"/>
          </w:tcPr>
          <w:p w14:paraId="4027E9D0" w14:textId="0A082659" w:rsidR="00F026E8" w:rsidRPr="00FE7622" w:rsidRDefault="003A29E6" w:rsidP="00AF19CC">
            <w:pPr>
              <w:pStyle w:val="75TablenotesTablesTableFigureBoxstyles"/>
            </w:pPr>
            <w:r w:rsidRPr="00FE7622">
              <w:t>NEADL, Nottingham Extended Activities of Daily Living</w:t>
            </w:r>
            <w:r w:rsidR="00F026E8" w:rsidRPr="00FE7622">
              <w:t>.</w:t>
            </w:r>
          </w:p>
          <w:p w14:paraId="56419CD7" w14:textId="1A2195C1" w:rsidR="00F026E8" w:rsidRPr="00FE7622" w:rsidRDefault="00F026E8" w:rsidP="00AF19CC">
            <w:pPr>
              <w:pStyle w:val="75TablenotesTablesTableFigureBoxstyles"/>
              <w:rPr>
                <w:rFonts w:ascii="Calibri" w:eastAsia="Calibri" w:hAnsi="Calibri" w:cs="Calibri"/>
                <w:sz w:val="16"/>
                <w:szCs w:val="16"/>
              </w:rPr>
            </w:pPr>
            <w:r w:rsidRPr="00FE7622">
              <w:t xml:space="preserve">Adjusted analyses adjusted for age, sex, </w:t>
            </w:r>
            <w:r w:rsidRPr="00842651">
              <w:t>SPPB</w:t>
            </w:r>
            <w:r w:rsidRPr="00FE7622">
              <w:t xml:space="preserve">, Charlson Comorbidity </w:t>
            </w:r>
            <w:r w:rsidR="0007485D" w:rsidRPr="00FE7622">
              <w:t>Index s</w:t>
            </w:r>
            <w:r w:rsidRPr="00FE7622">
              <w:t>core and baseline handgrip strength</w:t>
            </w:r>
            <w:r w:rsidR="0007485D" w:rsidRPr="00FE7622">
              <w:t>.</w:t>
            </w:r>
          </w:p>
        </w:tc>
      </w:tr>
    </w:tbl>
    <w:p w14:paraId="4808DFF6" w14:textId="6BF9A129" w:rsidR="00E038BF" w:rsidRPr="00FE7622" w:rsidRDefault="00E038BF" w:rsidP="00140672">
      <w:pPr>
        <w:pStyle w:val="52AheadHeadingsHeadingstyles"/>
      </w:pPr>
      <w:bookmarkStart w:id="116" w:name="_Toc79684539"/>
      <w:r w:rsidRPr="00FE7622">
        <w:t>Adverse events</w:t>
      </w:r>
      <w:bookmarkEnd w:id="116"/>
    </w:p>
    <w:p w14:paraId="448652E9" w14:textId="521F9DC8" w:rsidR="00F026E8" w:rsidRPr="00FE7622" w:rsidRDefault="00E038BF" w:rsidP="00140672">
      <w:pPr>
        <w:pStyle w:val="602TextfoTextstylesTextstyles"/>
        <w:rPr>
          <w:color w:val="auto"/>
        </w:rPr>
      </w:pPr>
      <w:r w:rsidRPr="00FE7622">
        <w:rPr>
          <w:i/>
          <w:color w:val="FF0000"/>
        </w:rPr>
        <w:t>Table 15</w:t>
      </w:r>
      <w:r w:rsidR="00F026E8" w:rsidRPr="00FE7622">
        <w:rPr>
          <w:color w:val="auto"/>
        </w:rPr>
        <w:t xml:space="preserve"> shows </w:t>
      </w:r>
      <w:r w:rsidR="00E3640A" w:rsidRPr="00FE7622">
        <w:rPr>
          <w:color w:val="auto"/>
        </w:rPr>
        <w:t xml:space="preserve">the </w:t>
      </w:r>
      <w:r w:rsidR="00F026E8" w:rsidRPr="00FE7622">
        <w:rPr>
          <w:color w:val="auto"/>
        </w:rPr>
        <w:t xml:space="preserve">key prespecified adverse events for the </w:t>
      </w:r>
      <w:r w:rsidR="00E3640A" w:rsidRPr="00FE7622">
        <w:rPr>
          <w:color w:val="auto"/>
        </w:rPr>
        <w:t xml:space="preserve">analysis of </w:t>
      </w:r>
      <w:r w:rsidR="00F026E8" w:rsidRPr="00FE7622">
        <w:rPr>
          <w:color w:val="auto"/>
        </w:rPr>
        <w:t xml:space="preserve">leucine </w:t>
      </w:r>
      <w:r w:rsidR="00E3640A" w:rsidRPr="00FE7622">
        <w:rPr>
          <w:color w:val="auto"/>
        </w:rPr>
        <w:t>compared with</w:t>
      </w:r>
      <w:r w:rsidR="00F026E8" w:rsidRPr="00FE7622">
        <w:rPr>
          <w:color w:val="auto"/>
        </w:rPr>
        <w:t xml:space="preserve"> placebo. One death (due to acute leukaemia) was noted in the placebo </w:t>
      </w:r>
      <w:r w:rsidR="00E3640A" w:rsidRPr="00FE7622">
        <w:rPr>
          <w:color w:val="auto"/>
        </w:rPr>
        <w:t>group</w:t>
      </w:r>
      <w:r w:rsidR="00F026E8" w:rsidRPr="00FE7622">
        <w:rPr>
          <w:color w:val="auto"/>
        </w:rPr>
        <w:t xml:space="preserve">. There was no significant difference in the falls rate between the leucine and placebo </w:t>
      </w:r>
      <w:r w:rsidR="00E3640A" w:rsidRPr="00FE7622">
        <w:rPr>
          <w:color w:val="auto"/>
        </w:rPr>
        <w:t>groups</w:t>
      </w:r>
      <w:r w:rsidR="00F026E8" w:rsidRPr="00FE7622">
        <w:rPr>
          <w:color w:val="auto"/>
        </w:rPr>
        <w:t>; rates of fragility fractures were low in both groups.</w:t>
      </w:r>
    </w:p>
    <w:p w14:paraId="702797FF" w14:textId="4D301F4B" w:rsidR="00F026E8" w:rsidRPr="00FE7622" w:rsidRDefault="00E038BF" w:rsidP="00F026E8">
      <w:pPr>
        <w:pStyle w:val="70TablelegendTablesTableFigureBoxstyles"/>
        <w:rPr>
          <w:lang w:val="en-GB"/>
        </w:rPr>
      </w:pPr>
      <w:r w:rsidRPr="00FE7622">
        <w:rPr>
          <w:b/>
        </w:rPr>
        <w:t>TABLE 15</w:t>
      </w:r>
      <w:r w:rsidRPr="00FE7622">
        <w:rPr>
          <w:b/>
        </w:rPr>
        <w:t> </w:t>
      </w:r>
      <w:r w:rsidR="00F026E8" w:rsidRPr="00FE7622">
        <w:rPr>
          <w:lang w:val="en-GB"/>
        </w:rPr>
        <w:t>Selected key adverse outcomes of interest</w:t>
      </w:r>
      <w:r w:rsidR="005A2E53" w:rsidRPr="00FE7622">
        <w:rPr>
          <w:lang w:val="en-GB"/>
        </w:rPr>
        <w:t>:</w:t>
      </w:r>
      <w:r w:rsidR="00F026E8" w:rsidRPr="00FE7622">
        <w:rPr>
          <w:lang w:val="en-GB"/>
        </w:rPr>
        <w:t xml:space="preserve"> leucine </w:t>
      </w:r>
      <w:r w:rsidR="0024745D" w:rsidRPr="00FE7622">
        <w:rPr>
          <w:lang w:val="en-GB"/>
        </w:rPr>
        <w:t>compared with</w:t>
      </w:r>
      <w:r w:rsidR="00F026E8" w:rsidRPr="00FE7622">
        <w:rPr>
          <w:lang w:val="en-GB"/>
        </w:rPr>
        <w:t xml:space="preserve"> placebo analysis</w:t>
      </w:r>
    </w:p>
    <w:tbl>
      <w:tblPr>
        <w:tblW w:w="0" w:type="auto"/>
        <w:tblCellMar>
          <w:top w:w="40" w:type="dxa"/>
          <w:left w:w="60" w:type="dxa"/>
          <w:bottom w:w="40" w:type="dxa"/>
          <w:right w:w="60" w:type="dxa"/>
        </w:tblCellMar>
        <w:tblLook w:val="04A0" w:firstRow="1" w:lastRow="0" w:firstColumn="1" w:lastColumn="0" w:noHBand="0" w:noVBand="1"/>
      </w:tblPr>
      <w:tblGrid>
        <w:gridCol w:w="4900"/>
        <w:gridCol w:w="1347"/>
        <w:gridCol w:w="1364"/>
      </w:tblGrid>
      <w:tr w:rsidR="00F026E8" w:rsidRPr="00FE7622" w14:paraId="2FCCDD58" w14:textId="77777777" w:rsidTr="00AF19CC">
        <w:trPr>
          <w:cantSplit/>
        </w:trPr>
        <w:tc>
          <w:tcPr>
            <w:tcW w:w="0" w:type="auto"/>
            <w:shd w:val="clear" w:color="auto" w:fill="auto"/>
          </w:tcPr>
          <w:p w14:paraId="39FF0C4C" w14:textId="4A2D6D7E" w:rsidR="00F026E8" w:rsidRPr="00FE7622" w:rsidRDefault="00E038BF" w:rsidP="00AF19CC">
            <w:pPr>
              <w:pStyle w:val="710TableheadTablesTableFigureBoxstyles"/>
              <w:rPr>
                <w:rFonts w:eastAsia="Calibri"/>
              </w:rPr>
            </w:pPr>
            <w:r w:rsidRPr="00FE7622">
              <w:rPr>
                <w:rFonts w:eastAsia="Calibri"/>
              </w:rPr>
              <w:t>Outcome</w:t>
            </w:r>
          </w:p>
        </w:tc>
        <w:tc>
          <w:tcPr>
            <w:tcW w:w="0" w:type="auto"/>
            <w:shd w:val="clear" w:color="auto" w:fill="auto"/>
          </w:tcPr>
          <w:p w14:paraId="51568DA5" w14:textId="4BCE4E2B" w:rsidR="00F026E8" w:rsidRPr="00FE7622" w:rsidRDefault="00E038BF" w:rsidP="00AF19CC">
            <w:pPr>
              <w:pStyle w:val="710TableheadTablesTableFigureBoxstyles"/>
              <w:rPr>
                <w:rFonts w:eastAsia="Calibri"/>
              </w:rPr>
            </w:pPr>
            <w:r w:rsidRPr="00FE7622">
              <w:rPr>
                <w:rFonts w:eastAsia="Calibri"/>
              </w:rPr>
              <w:t>Leucine (</w:t>
            </w:r>
            <w:r w:rsidRPr="00FE7622">
              <w:rPr>
                <w:rFonts w:eastAsia="Calibri"/>
                <w:i/>
              </w:rPr>
              <w:t>N</w:t>
            </w:r>
            <w:r w:rsidRPr="00FE7622">
              <w:rPr>
                <w:rFonts w:eastAsia="Calibri"/>
              </w:rPr>
              <w:t> = 72)</w:t>
            </w:r>
          </w:p>
        </w:tc>
        <w:tc>
          <w:tcPr>
            <w:tcW w:w="0" w:type="auto"/>
            <w:shd w:val="clear" w:color="auto" w:fill="auto"/>
          </w:tcPr>
          <w:p w14:paraId="00ED6F20" w14:textId="4499A7D4" w:rsidR="00F026E8" w:rsidRPr="00FE7622" w:rsidRDefault="00E038BF" w:rsidP="00AF19CC">
            <w:pPr>
              <w:pStyle w:val="710TableheadTablesTableFigureBoxstyles"/>
              <w:rPr>
                <w:rFonts w:eastAsia="Calibri"/>
              </w:rPr>
            </w:pPr>
            <w:r w:rsidRPr="00FE7622">
              <w:rPr>
                <w:rFonts w:eastAsia="Calibri"/>
              </w:rPr>
              <w:t>Placebo (</w:t>
            </w:r>
            <w:r w:rsidRPr="00FE7622">
              <w:rPr>
                <w:rFonts w:eastAsia="Calibri"/>
                <w:i/>
              </w:rPr>
              <w:t>N</w:t>
            </w:r>
            <w:r w:rsidRPr="00FE7622">
              <w:rPr>
                <w:rFonts w:eastAsia="Calibri"/>
              </w:rPr>
              <w:t> = 73)</w:t>
            </w:r>
          </w:p>
        </w:tc>
      </w:tr>
      <w:tr w:rsidR="00F026E8" w:rsidRPr="00FE7622" w14:paraId="2D622808" w14:textId="77777777" w:rsidTr="00AF19CC">
        <w:trPr>
          <w:cantSplit/>
        </w:trPr>
        <w:tc>
          <w:tcPr>
            <w:tcW w:w="0" w:type="auto"/>
            <w:shd w:val="clear" w:color="auto" w:fill="auto"/>
          </w:tcPr>
          <w:p w14:paraId="61543937" w14:textId="38E8E5B9" w:rsidR="00F026E8" w:rsidRPr="00FE7622" w:rsidRDefault="00266EF3" w:rsidP="00AF19CC">
            <w:pPr>
              <w:pStyle w:val="72TabletextTablesTableFigureBoxstyles"/>
              <w:rPr>
                <w:rFonts w:eastAsia="Calibri"/>
              </w:rPr>
            </w:pPr>
            <w:r w:rsidRPr="00FE7622">
              <w:rPr>
                <w:rFonts w:eastAsia="Calibri"/>
                <w:color w:val="auto"/>
              </w:rPr>
              <w:t>Deaths (all)</w:t>
            </w:r>
            <w:r w:rsidR="0024745D" w:rsidRPr="00FE7622">
              <w:rPr>
                <w:rFonts w:eastAsia="Calibri"/>
                <w:color w:val="auto"/>
              </w:rPr>
              <w:t>,</w:t>
            </w:r>
            <w:r w:rsidRPr="00FE7622">
              <w:rPr>
                <w:rFonts w:eastAsia="Calibri"/>
                <w:color w:val="auto"/>
              </w:rPr>
              <w:t xml:space="preserve"> </w:t>
            </w:r>
            <w:r w:rsidR="00E038BF" w:rsidRPr="00FE7622">
              <w:rPr>
                <w:rFonts w:eastAsia="Calibri"/>
                <w:i/>
                <w:iCs/>
                <w:color w:val="auto"/>
              </w:rPr>
              <w:t>n</w:t>
            </w:r>
            <w:r w:rsidR="0024745D" w:rsidRPr="00FE7622">
              <w:rPr>
                <w:rFonts w:eastAsia="Calibri"/>
                <w:color w:val="auto"/>
              </w:rPr>
              <w:t xml:space="preserve"> </w:t>
            </w:r>
            <w:r w:rsidRPr="00FE7622">
              <w:rPr>
                <w:rFonts w:eastAsia="Calibri"/>
                <w:color w:val="auto"/>
              </w:rPr>
              <w:t>(%)</w:t>
            </w:r>
          </w:p>
        </w:tc>
        <w:tc>
          <w:tcPr>
            <w:tcW w:w="0" w:type="auto"/>
            <w:shd w:val="clear" w:color="auto" w:fill="auto"/>
          </w:tcPr>
          <w:p w14:paraId="7723E608" w14:textId="77777777" w:rsidR="00F026E8" w:rsidRPr="00FE7622" w:rsidRDefault="00F026E8" w:rsidP="00AF19CC">
            <w:pPr>
              <w:pStyle w:val="72TabletextTablesTableFigureBoxstyles"/>
              <w:rPr>
                <w:rFonts w:eastAsia="Calibri"/>
              </w:rPr>
            </w:pPr>
            <w:r w:rsidRPr="00FE7622">
              <w:rPr>
                <w:rFonts w:eastAsia="Calibri"/>
                <w:color w:val="auto"/>
              </w:rPr>
              <w:t>0 (0)</w:t>
            </w:r>
          </w:p>
        </w:tc>
        <w:tc>
          <w:tcPr>
            <w:tcW w:w="0" w:type="auto"/>
            <w:shd w:val="clear" w:color="auto" w:fill="auto"/>
          </w:tcPr>
          <w:p w14:paraId="373CAA68" w14:textId="77777777" w:rsidR="00F026E8" w:rsidRPr="00FE7622" w:rsidRDefault="00F026E8" w:rsidP="00AF19CC">
            <w:pPr>
              <w:pStyle w:val="72TabletextTablesTableFigureBoxstyles"/>
              <w:rPr>
                <w:rFonts w:eastAsia="Calibri"/>
                <w:color w:val="auto"/>
              </w:rPr>
            </w:pPr>
            <w:r w:rsidRPr="00FE7622">
              <w:rPr>
                <w:rFonts w:eastAsia="Calibri"/>
                <w:color w:val="auto"/>
              </w:rPr>
              <w:t>1 (1)</w:t>
            </w:r>
          </w:p>
        </w:tc>
      </w:tr>
      <w:tr w:rsidR="00F026E8" w:rsidRPr="00FE7622" w14:paraId="4A6A1B46" w14:textId="77777777" w:rsidTr="00AF19CC">
        <w:trPr>
          <w:cantSplit/>
        </w:trPr>
        <w:tc>
          <w:tcPr>
            <w:tcW w:w="0" w:type="auto"/>
            <w:shd w:val="clear" w:color="auto" w:fill="auto"/>
          </w:tcPr>
          <w:p w14:paraId="29A682FD" w14:textId="59C1AD0B" w:rsidR="00F026E8" w:rsidRPr="00FE7622" w:rsidRDefault="00F026E8" w:rsidP="00AF19CC">
            <w:pPr>
              <w:pStyle w:val="72TabletextTablesTableFigureBoxstyles"/>
              <w:rPr>
                <w:rFonts w:eastAsia="Calibri"/>
              </w:rPr>
            </w:pPr>
            <w:r w:rsidRPr="00FE7622">
              <w:rPr>
                <w:rFonts w:eastAsia="Calibri"/>
                <w:color w:val="auto"/>
              </w:rPr>
              <w:t>Fragility fractures (distal radius, vertebra or neck of femur)</w:t>
            </w:r>
            <w:r w:rsidR="0024745D"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p>
        </w:tc>
        <w:tc>
          <w:tcPr>
            <w:tcW w:w="0" w:type="auto"/>
            <w:shd w:val="clear" w:color="auto" w:fill="auto"/>
          </w:tcPr>
          <w:p w14:paraId="73FBF3B5" w14:textId="77777777" w:rsidR="00F026E8" w:rsidRPr="00FE7622" w:rsidRDefault="00F026E8" w:rsidP="00AF19CC">
            <w:pPr>
              <w:pStyle w:val="72TabletextTablesTableFigureBoxstyles"/>
              <w:rPr>
                <w:rFonts w:eastAsia="Calibri"/>
              </w:rPr>
            </w:pPr>
            <w:r w:rsidRPr="00FE7622">
              <w:rPr>
                <w:rFonts w:eastAsia="Calibri"/>
                <w:color w:val="auto"/>
              </w:rPr>
              <w:t>1 (1)</w:t>
            </w:r>
          </w:p>
        </w:tc>
        <w:tc>
          <w:tcPr>
            <w:tcW w:w="0" w:type="auto"/>
            <w:shd w:val="clear" w:color="auto" w:fill="auto"/>
          </w:tcPr>
          <w:p w14:paraId="23C151C1" w14:textId="77777777" w:rsidR="00F026E8" w:rsidRPr="00FE7622" w:rsidRDefault="00F026E8" w:rsidP="00AF19CC">
            <w:pPr>
              <w:pStyle w:val="72TabletextTablesTableFigureBoxstyles"/>
              <w:rPr>
                <w:rFonts w:eastAsia="Calibri"/>
                <w:color w:val="auto"/>
              </w:rPr>
            </w:pPr>
            <w:r w:rsidRPr="00FE7622">
              <w:rPr>
                <w:rFonts w:eastAsia="Calibri"/>
                <w:color w:val="auto"/>
              </w:rPr>
              <w:t>3 (1)</w:t>
            </w:r>
          </w:p>
        </w:tc>
      </w:tr>
      <w:tr w:rsidR="00F026E8" w:rsidRPr="00FE7622" w14:paraId="257E3B4D" w14:textId="77777777" w:rsidTr="00AF19CC">
        <w:trPr>
          <w:cantSplit/>
        </w:trPr>
        <w:tc>
          <w:tcPr>
            <w:tcW w:w="0" w:type="auto"/>
            <w:shd w:val="clear" w:color="auto" w:fill="auto"/>
          </w:tcPr>
          <w:p w14:paraId="63A5352D" w14:textId="761859BB" w:rsidR="00F026E8" w:rsidRPr="00FE7622" w:rsidRDefault="00F026E8" w:rsidP="00AF19CC">
            <w:pPr>
              <w:pStyle w:val="72TabletextTablesTableFigureBoxstyles"/>
              <w:rPr>
                <w:rFonts w:eastAsia="Calibri"/>
              </w:rPr>
            </w:pPr>
            <w:r w:rsidRPr="00FE7622">
              <w:rPr>
                <w:rFonts w:eastAsia="Calibri"/>
                <w:color w:val="auto"/>
              </w:rPr>
              <w:t>Number with at least one fall</w:t>
            </w:r>
            <w:r w:rsidR="0024745D" w:rsidRPr="00FE7622">
              <w:rPr>
                <w:rFonts w:eastAsia="Calibri"/>
                <w:color w:val="auto"/>
              </w:rPr>
              <w:t xml:space="preserve">, </w:t>
            </w:r>
            <w:r w:rsidR="00E038BF" w:rsidRPr="00FE7622">
              <w:rPr>
                <w:rFonts w:eastAsia="Calibri"/>
                <w:i/>
                <w:iCs/>
                <w:color w:val="auto"/>
              </w:rPr>
              <w:t>n</w:t>
            </w:r>
            <w:r w:rsidRPr="00FE7622">
              <w:rPr>
                <w:rFonts w:eastAsia="Calibri"/>
                <w:color w:val="auto"/>
              </w:rPr>
              <w:t xml:space="preserve"> (%)</w:t>
            </w:r>
          </w:p>
        </w:tc>
        <w:tc>
          <w:tcPr>
            <w:tcW w:w="0" w:type="auto"/>
            <w:shd w:val="clear" w:color="auto" w:fill="auto"/>
          </w:tcPr>
          <w:p w14:paraId="53F5FD00" w14:textId="77777777" w:rsidR="00F026E8" w:rsidRPr="00FE7622" w:rsidRDefault="00F026E8" w:rsidP="00AF19CC">
            <w:pPr>
              <w:pStyle w:val="72TabletextTablesTableFigureBoxstyles"/>
              <w:rPr>
                <w:rFonts w:eastAsia="Calibri"/>
              </w:rPr>
            </w:pPr>
            <w:r w:rsidRPr="00FE7622">
              <w:rPr>
                <w:rFonts w:eastAsia="Calibri"/>
                <w:color w:val="auto"/>
              </w:rPr>
              <w:t>34 (47)</w:t>
            </w:r>
          </w:p>
        </w:tc>
        <w:tc>
          <w:tcPr>
            <w:tcW w:w="0" w:type="auto"/>
            <w:shd w:val="clear" w:color="auto" w:fill="auto"/>
          </w:tcPr>
          <w:p w14:paraId="1EF7DA4B" w14:textId="77777777" w:rsidR="00F026E8" w:rsidRPr="00FE7622" w:rsidRDefault="00F026E8" w:rsidP="00AF19CC">
            <w:pPr>
              <w:pStyle w:val="72TabletextTablesTableFigureBoxstyles"/>
              <w:rPr>
                <w:rFonts w:eastAsia="Calibri"/>
                <w:color w:val="auto"/>
              </w:rPr>
            </w:pPr>
            <w:r w:rsidRPr="00FE7622">
              <w:rPr>
                <w:rFonts w:eastAsia="Calibri"/>
                <w:color w:val="auto"/>
              </w:rPr>
              <w:t>30 (41)</w:t>
            </w:r>
          </w:p>
        </w:tc>
      </w:tr>
      <w:tr w:rsidR="00F026E8" w:rsidRPr="00FE7622" w14:paraId="05FDE7A3" w14:textId="77777777" w:rsidTr="00AF19CC">
        <w:trPr>
          <w:cantSplit/>
        </w:trPr>
        <w:tc>
          <w:tcPr>
            <w:tcW w:w="0" w:type="auto"/>
            <w:shd w:val="clear" w:color="auto" w:fill="auto"/>
          </w:tcPr>
          <w:p w14:paraId="76B5BA75" w14:textId="77777777" w:rsidR="00F026E8" w:rsidRPr="00FE7622" w:rsidRDefault="00F026E8" w:rsidP="00AF19CC">
            <w:pPr>
              <w:pStyle w:val="72TabletextTablesTableFigureBoxstyles"/>
              <w:rPr>
                <w:rFonts w:eastAsia="Calibri"/>
              </w:rPr>
            </w:pPr>
            <w:r w:rsidRPr="00FE7622">
              <w:rPr>
                <w:rFonts w:eastAsia="Calibri"/>
                <w:color w:val="auto"/>
              </w:rPr>
              <w:t>Number of falls</w:t>
            </w:r>
          </w:p>
        </w:tc>
        <w:tc>
          <w:tcPr>
            <w:tcW w:w="0" w:type="auto"/>
            <w:shd w:val="clear" w:color="auto" w:fill="auto"/>
          </w:tcPr>
          <w:p w14:paraId="34BF1144" w14:textId="77777777" w:rsidR="00F026E8" w:rsidRPr="00FE7622" w:rsidRDefault="00F026E8" w:rsidP="00AF19CC">
            <w:pPr>
              <w:pStyle w:val="72TabletextTablesTableFigureBoxstyles"/>
              <w:rPr>
                <w:rFonts w:eastAsia="Calibri"/>
              </w:rPr>
            </w:pPr>
            <w:r w:rsidRPr="00FE7622">
              <w:rPr>
                <w:rFonts w:eastAsia="Calibri"/>
                <w:color w:val="auto"/>
              </w:rPr>
              <w:t>121</w:t>
            </w:r>
          </w:p>
        </w:tc>
        <w:tc>
          <w:tcPr>
            <w:tcW w:w="0" w:type="auto"/>
            <w:shd w:val="clear" w:color="auto" w:fill="auto"/>
          </w:tcPr>
          <w:p w14:paraId="210633CC" w14:textId="77777777" w:rsidR="00F026E8" w:rsidRPr="00FE7622" w:rsidRDefault="00F026E8" w:rsidP="00AF19CC">
            <w:pPr>
              <w:pStyle w:val="72TabletextTablesTableFigureBoxstyles"/>
              <w:rPr>
                <w:rFonts w:eastAsia="Calibri"/>
                <w:color w:val="auto"/>
              </w:rPr>
            </w:pPr>
            <w:r w:rsidRPr="00FE7622">
              <w:rPr>
                <w:rFonts w:eastAsia="Calibri"/>
                <w:color w:val="auto"/>
              </w:rPr>
              <w:t>132</w:t>
            </w:r>
          </w:p>
        </w:tc>
      </w:tr>
      <w:tr w:rsidR="00F026E8" w:rsidRPr="00FE7622" w14:paraId="686E232E" w14:textId="77777777" w:rsidTr="00AF19CC">
        <w:trPr>
          <w:cantSplit/>
        </w:trPr>
        <w:tc>
          <w:tcPr>
            <w:tcW w:w="0" w:type="auto"/>
            <w:shd w:val="clear" w:color="auto" w:fill="auto"/>
          </w:tcPr>
          <w:p w14:paraId="78AC1979" w14:textId="77777777" w:rsidR="00F026E8" w:rsidRPr="00FE7622" w:rsidRDefault="00F026E8" w:rsidP="00AF19CC">
            <w:pPr>
              <w:pStyle w:val="72TabletextTablesTableFigureBoxstyles"/>
              <w:rPr>
                <w:rFonts w:eastAsia="Calibri"/>
                <w:color w:val="auto"/>
              </w:rPr>
            </w:pPr>
            <w:r w:rsidRPr="00FE7622">
              <w:rPr>
                <w:rFonts w:eastAsia="Calibri"/>
                <w:color w:val="auto"/>
              </w:rPr>
              <w:t xml:space="preserve">Falls rate (per year) (95% </w:t>
            </w:r>
            <w:r w:rsidRPr="00842651">
              <w:rPr>
                <w:rFonts w:eastAsia="Calibri"/>
                <w:color w:val="auto"/>
              </w:rPr>
              <w:t>CI</w:t>
            </w:r>
            <w:r w:rsidRPr="00FE7622">
              <w:rPr>
                <w:rFonts w:eastAsia="Calibri"/>
                <w:color w:val="auto"/>
              </w:rPr>
              <w:t>)</w:t>
            </w:r>
          </w:p>
        </w:tc>
        <w:tc>
          <w:tcPr>
            <w:tcW w:w="0" w:type="auto"/>
            <w:shd w:val="clear" w:color="auto" w:fill="auto"/>
          </w:tcPr>
          <w:p w14:paraId="7D5A3F2C" w14:textId="52A8C9B7" w:rsidR="00F026E8" w:rsidRPr="00FE7622" w:rsidRDefault="00F026E8" w:rsidP="00AF19CC">
            <w:pPr>
              <w:pStyle w:val="72TabletextTablesTableFigureBoxstyles"/>
              <w:rPr>
                <w:rFonts w:eastAsia="Calibri"/>
                <w:color w:val="auto"/>
              </w:rPr>
            </w:pPr>
            <w:r w:rsidRPr="00FE7622">
              <w:rPr>
                <w:rFonts w:eastAsia="Calibri"/>
                <w:color w:val="auto"/>
              </w:rPr>
              <w:t xml:space="preserve">1.9 </w:t>
            </w:r>
            <w:r w:rsidR="00E56C38" w:rsidRPr="00FE7622">
              <w:rPr>
                <w:rFonts w:eastAsia="Calibri"/>
                <w:color w:val="auto"/>
              </w:rPr>
              <w:t>(0.9 to 2.9)</w:t>
            </w:r>
          </w:p>
        </w:tc>
        <w:tc>
          <w:tcPr>
            <w:tcW w:w="0" w:type="auto"/>
            <w:shd w:val="clear" w:color="auto" w:fill="auto"/>
          </w:tcPr>
          <w:p w14:paraId="0A3683E2" w14:textId="7C252F29" w:rsidR="00F026E8" w:rsidRPr="00FE7622" w:rsidRDefault="00F026E8" w:rsidP="00AF19CC">
            <w:pPr>
              <w:pStyle w:val="72TabletextTablesTableFigureBoxstyles"/>
              <w:rPr>
                <w:rFonts w:eastAsia="Calibri"/>
                <w:color w:val="auto"/>
              </w:rPr>
            </w:pPr>
            <w:r w:rsidRPr="00FE7622">
              <w:rPr>
                <w:rFonts w:eastAsia="Calibri"/>
                <w:color w:val="auto"/>
              </w:rPr>
              <w:t xml:space="preserve">2.9 </w:t>
            </w:r>
            <w:r w:rsidR="00E56C38" w:rsidRPr="00FE7622">
              <w:rPr>
                <w:rFonts w:eastAsia="Calibri"/>
                <w:color w:val="auto"/>
              </w:rPr>
              <w:t>(0.8 to 5.0)</w:t>
            </w:r>
          </w:p>
        </w:tc>
      </w:tr>
    </w:tbl>
    <w:p w14:paraId="644890BF" w14:textId="1F3759DD" w:rsidR="00F026E8" w:rsidRPr="00FE7622" w:rsidRDefault="00E038BF" w:rsidP="00266EF3">
      <w:pPr>
        <w:pStyle w:val="602TextfoTextstylesTextstyles"/>
        <w:rPr>
          <w:color w:val="auto"/>
        </w:rPr>
      </w:pPr>
      <w:r w:rsidRPr="00FE7622">
        <w:rPr>
          <w:i/>
          <w:color w:val="FF0000"/>
        </w:rPr>
        <w:t>Table 16</w:t>
      </w:r>
      <w:r w:rsidR="00F026E8" w:rsidRPr="00FE7622">
        <w:rPr>
          <w:color w:val="auto"/>
        </w:rPr>
        <w:t xml:space="preserve"> shows the full categorisation of adverse events in each arm. </w:t>
      </w:r>
      <w:r w:rsidR="00E3640A" w:rsidRPr="00FE7622">
        <w:rPr>
          <w:color w:val="auto"/>
        </w:rPr>
        <w:t>The o</w:t>
      </w:r>
      <w:r w:rsidR="00F026E8" w:rsidRPr="00FE7622">
        <w:rPr>
          <w:color w:val="auto"/>
        </w:rPr>
        <w:t>verall numbers of adverse events were similar in both groups; there were lower rates of infections, neoplasms and skin disorders, but higher rates of vascular disorders</w:t>
      </w:r>
      <w:r w:rsidR="00E3640A" w:rsidRPr="00FE7622">
        <w:rPr>
          <w:color w:val="auto"/>
        </w:rPr>
        <w:t>,</w:t>
      </w:r>
      <w:r w:rsidR="00F026E8" w:rsidRPr="00FE7622">
        <w:rPr>
          <w:color w:val="auto"/>
        </w:rPr>
        <w:t xml:space="preserve"> in the leucine </w:t>
      </w:r>
      <w:r w:rsidR="00E3640A" w:rsidRPr="00FE7622">
        <w:rPr>
          <w:color w:val="auto"/>
        </w:rPr>
        <w:t>group</w:t>
      </w:r>
      <w:r w:rsidR="00F026E8" w:rsidRPr="00FE7622">
        <w:rPr>
          <w:color w:val="auto"/>
        </w:rPr>
        <w:t>.</w:t>
      </w:r>
    </w:p>
    <w:p w14:paraId="4EE5E4F3" w14:textId="0113993C" w:rsidR="00F026E8" w:rsidRPr="00FE7622" w:rsidRDefault="00E038BF" w:rsidP="00F026E8">
      <w:pPr>
        <w:pStyle w:val="70TablelegendTablesTableFigureBoxstyles"/>
        <w:rPr>
          <w:lang w:val="en-GB"/>
        </w:rPr>
      </w:pPr>
      <w:r w:rsidRPr="00FE7622">
        <w:rPr>
          <w:b/>
        </w:rPr>
        <w:t>TABLE 16</w:t>
      </w:r>
      <w:r w:rsidRPr="00FE7622">
        <w:rPr>
          <w:b/>
        </w:rPr>
        <w:t> </w:t>
      </w:r>
      <w:r w:rsidR="00F026E8" w:rsidRPr="00FE7622">
        <w:rPr>
          <w:lang w:val="en-GB"/>
        </w:rPr>
        <w:t xml:space="preserve">Adverse events by </w:t>
      </w:r>
      <w:r w:rsidR="001E51B7" w:rsidRPr="00FE7622">
        <w:rPr>
          <w:lang w:val="en-GB"/>
        </w:rPr>
        <w:t>System Order Class</w:t>
      </w:r>
      <w:r w:rsidR="004C4560" w:rsidRPr="00FE7622">
        <w:rPr>
          <w:lang w:val="en-GB"/>
        </w:rPr>
        <w:t>: leucine vs</w:t>
      </w:r>
      <w:r w:rsidR="00E3640A" w:rsidRPr="00FE7622">
        <w:rPr>
          <w:lang w:val="en-GB"/>
        </w:rPr>
        <w:t>.</w:t>
      </w:r>
      <w:r w:rsidR="004C4560" w:rsidRPr="00FE7622">
        <w:rPr>
          <w:lang w:val="en-GB"/>
        </w:rPr>
        <w:t xml:space="preserve"> placebo</w:t>
      </w:r>
    </w:p>
    <w:tbl>
      <w:tblPr>
        <w:tblW w:w="0" w:type="auto"/>
        <w:tblCellMar>
          <w:top w:w="40" w:type="dxa"/>
          <w:left w:w="60" w:type="dxa"/>
          <w:bottom w:w="40" w:type="dxa"/>
          <w:right w:w="60" w:type="dxa"/>
        </w:tblCellMar>
        <w:tblLook w:val="04A0" w:firstRow="1" w:lastRow="0" w:firstColumn="1" w:lastColumn="0" w:noHBand="0" w:noVBand="1"/>
      </w:tblPr>
      <w:tblGrid>
        <w:gridCol w:w="4492"/>
        <w:gridCol w:w="1347"/>
        <w:gridCol w:w="1364"/>
      </w:tblGrid>
      <w:tr w:rsidR="00F026E8" w:rsidRPr="00FE7622" w14:paraId="3AE2880F" w14:textId="77777777" w:rsidTr="00AF19CC">
        <w:trPr>
          <w:cantSplit/>
        </w:trPr>
        <w:tc>
          <w:tcPr>
            <w:tcW w:w="0" w:type="auto"/>
            <w:shd w:val="clear" w:color="auto" w:fill="auto"/>
          </w:tcPr>
          <w:p w14:paraId="648D17E4" w14:textId="67EA3423" w:rsidR="00F026E8" w:rsidRPr="00FE7622" w:rsidRDefault="00E038BF" w:rsidP="00AF19CC">
            <w:pPr>
              <w:pStyle w:val="710TableheadTablesTableFigureBoxstyles"/>
              <w:rPr>
                <w:rFonts w:eastAsia="Calibri"/>
              </w:rPr>
            </w:pPr>
            <w:r w:rsidRPr="00FE7622">
              <w:rPr>
                <w:rFonts w:eastAsia="Calibri"/>
              </w:rPr>
              <w:t>Adverse event data</w:t>
            </w:r>
          </w:p>
        </w:tc>
        <w:tc>
          <w:tcPr>
            <w:tcW w:w="0" w:type="auto"/>
            <w:shd w:val="clear" w:color="auto" w:fill="auto"/>
          </w:tcPr>
          <w:p w14:paraId="3CF964C2" w14:textId="1EDF1C67" w:rsidR="00F026E8" w:rsidRPr="00FE7622" w:rsidRDefault="00E038BF" w:rsidP="00AF19CC">
            <w:pPr>
              <w:pStyle w:val="710TableheadTablesTableFigureBoxstyles"/>
              <w:rPr>
                <w:rFonts w:eastAsia="Calibri"/>
              </w:rPr>
            </w:pPr>
            <w:r w:rsidRPr="00FE7622">
              <w:rPr>
                <w:rFonts w:eastAsia="Calibri"/>
              </w:rPr>
              <w:t>Leucine (</w:t>
            </w:r>
            <w:r w:rsidRPr="00FE7622">
              <w:rPr>
                <w:rFonts w:eastAsia="Calibri"/>
                <w:i/>
                <w:iCs/>
              </w:rPr>
              <w:t>N</w:t>
            </w:r>
            <w:r w:rsidRPr="00FE7622">
              <w:rPr>
                <w:rFonts w:eastAsia="Calibri"/>
              </w:rPr>
              <w:t> = 72)</w:t>
            </w:r>
          </w:p>
        </w:tc>
        <w:tc>
          <w:tcPr>
            <w:tcW w:w="0" w:type="auto"/>
            <w:shd w:val="clear" w:color="auto" w:fill="auto"/>
          </w:tcPr>
          <w:p w14:paraId="4B168B15" w14:textId="705159C1" w:rsidR="00F026E8" w:rsidRPr="00FE7622" w:rsidRDefault="00E038BF" w:rsidP="00AF19CC">
            <w:pPr>
              <w:pStyle w:val="710TableheadTablesTableFigureBoxstyles"/>
              <w:rPr>
                <w:rFonts w:eastAsia="Calibri"/>
              </w:rPr>
            </w:pPr>
            <w:r w:rsidRPr="00FE7622">
              <w:rPr>
                <w:rFonts w:eastAsia="Calibri"/>
              </w:rPr>
              <w:t>Placebo (</w:t>
            </w:r>
            <w:r w:rsidRPr="00FE7622">
              <w:rPr>
                <w:rFonts w:eastAsia="Calibri"/>
                <w:i/>
              </w:rPr>
              <w:t>N</w:t>
            </w:r>
            <w:r w:rsidRPr="00FE7622">
              <w:rPr>
                <w:rFonts w:eastAsia="Calibri"/>
              </w:rPr>
              <w:t> = 73)</w:t>
            </w:r>
          </w:p>
        </w:tc>
      </w:tr>
      <w:tr w:rsidR="00F026E8" w:rsidRPr="00FE7622" w14:paraId="6F8B85E5" w14:textId="77777777" w:rsidTr="00AF19CC">
        <w:trPr>
          <w:cantSplit/>
        </w:trPr>
        <w:tc>
          <w:tcPr>
            <w:tcW w:w="0" w:type="auto"/>
            <w:shd w:val="clear" w:color="auto" w:fill="auto"/>
          </w:tcPr>
          <w:p w14:paraId="1F8A82B7" w14:textId="626FB084" w:rsidR="00F026E8" w:rsidRPr="00FE7622" w:rsidRDefault="00F026E8" w:rsidP="00AF19CC">
            <w:pPr>
              <w:pStyle w:val="72TabletextTablesTableFigureBoxstyles"/>
              <w:rPr>
                <w:rFonts w:eastAsia="Calibri"/>
              </w:rPr>
            </w:pPr>
            <w:r w:rsidRPr="00FE7622">
              <w:rPr>
                <w:rFonts w:eastAsia="Calibri"/>
                <w:color w:val="auto"/>
              </w:rPr>
              <w:t>Number of participants with</w:t>
            </w:r>
            <w:r w:rsidR="00266EF3" w:rsidRPr="00FE7622">
              <w:rPr>
                <w:rFonts w:eastAsia="Calibri"/>
                <w:color w:val="auto"/>
              </w:rPr>
              <w:t xml:space="preserve"> at least one adverse event (%)</w:t>
            </w:r>
          </w:p>
        </w:tc>
        <w:tc>
          <w:tcPr>
            <w:tcW w:w="0" w:type="auto"/>
            <w:shd w:val="clear" w:color="auto" w:fill="auto"/>
          </w:tcPr>
          <w:p w14:paraId="1FC5631A" w14:textId="77777777" w:rsidR="00F026E8" w:rsidRPr="00FE7622" w:rsidRDefault="00F026E8" w:rsidP="00AF19CC">
            <w:pPr>
              <w:pStyle w:val="72TabletextTablesTableFigureBoxstyles"/>
              <w:rPr>
                <w:rFonts w:eastAsia="Calibri"/>
              </w:rPr>
            </w:pPr>
            <w:r w:rsidRPr="00FE7622">
              <w:rPr>
                <w:rFonts w:eastAsia="Calibri"/>
                <w:color w:val="auto"/>
              </w:rPr>
              <w:t>67</w:t>
            </w:r>
          </w:p>
        </w:tc>
        <w:tc>
          <w:tcPr>
            <w:tcW w:w="0" w:type="auto"/>
            <w:shd w:val="clear" w:color="auto" w:fill="auto"/>
          </w:tcPr>
          <w:p w14:paraId="72778DE5" w14:textId="77777777" w:rsidR="00F026E8" w:rsidRPr="00FE7622" w:rsidRDefault="00F026E8" w:rsidP="00AF19CC">
            <w:pPr>
              <w:pStyle w:val="72TabletextTablesTableFigureBoxstyles"/>
              <w:rPr>
                <w:rFonts w:eastAsia="Calibri"/>
                <w:color w:val="auto"/>
              </w:rPr>
            </w:pPr>
            <w:r w:rsidRPr="00FE7622">
              <w:rPr>
                <w:rFonts w:eastAsia="Calibri"/>
                <w:color w:val="auto"/>
              </w:rPr>
              <w:t>64</w:t>
            </w:r>
          </w:p>
        </w:tc>
      </w:tr>
      <w:tr w:rsidR="00F026E8" w:rsidRPr="00FE7622" w14:paraId="30EF2E1C" w14:textId="77777777" w:rsidTr="00AF19CC">
        <w:trPr>
          <w:cantSplit/>
        </w:trPr>
        <w:tc>
          <w:tcPr>
            <w:tcW w:w="0" w:type="auto"/>
            <w:shd w:val="clear" w:color="auto" w:fill="auto"/>
          </w:tcPr>
          <w:p w14:paraId="569C9E32" w14:textId="7CDA626C" w:rsidR="00F026E8" w:rsidRPr="00FE7622" w:rsidRDefault="00F026E8" w:rsidP="00AF19CC">
            <w:pPr>
              <w:pStyle w:val="72TabletextTablesTableFigureBoxstyles"/>
              <w:rPr>
                <w:rFonts w:eastAsia="Calibri"/>
              </w:rPr>
            </w:pPr>
            <w:r w:rsidRPr="00FE7622">
              <w:rPr>
                <w:rFonts w:eastAsia="Calibri"/>
                <w:color w:val="auto"/>
              </w:rPr>
              <w:t>Number of adverse events</w:t>
            </w:r>
          </w:p>
        </w:tc>
        <w:tc>
          <w:tcPr>
            <w:tcW w:w="0" w:type="auto"/>
            <w:shd w:val="clear" w:color="auto" w:fill="auto"/>
          </w:tcPr>
          <w:p w14:paraId="516DD5AE" w14:textId="77777777" w:rsidR="00F026E8" w:rsidRPr="00FE7622" w:rsidRDefault="00F026E8" w:rsidP="00AF19CC">
            <w:pPr>
              <w:pStyle w:val="72TabletextTablesTableFigureBoxstyles"/>
              <w:rPr>
                <w:rFonts w:eastAsia="Calibri"/>
              </w:rPr>
            </w:pPr>
            <w:r w:rsidRPr="00FE7622">
              <w:rPr>
                <w:rFonts w:eastAsia="Calibri"/>
                <w:color w:val="auto"/>
              </w:rPr>
              <w:t>187</w:t>
            </w:r>
          </w:p>
        </w:tc>
        <w:tc>
          <w:tcPr>
            <w:tcW w:w="0" w:type="auto"/>
            <w:shd w:val="clear" w:color="auto" w:fill="auto"/>
          </w:tcPr>
          <w:p w14:paraId="7DAB552A" w14:textId="77777777" w:rsidR="00F026E8" w:rsidRPr="00FE7622" w:rsidRDefault="00F026E8" w:rsidP="00AF19CC">
            <w:pPr>
              <w:pStyle w:val="72TabletextTablesTableFigureBoxstyles"/>
              <w:rPr>
                <w:rFonts w:eastAsia="Calibri"/>
                <w:color w:val="auto"/>
              </w:rPr>
            </w:pPr>
            <w:r w:rsidRPr="00FE7622">
              <w:rPr>
                <w:rFonts w:eastAsia="Calibri"/>
                <w:color w:val="auto"/>
              </w:rPr>
              <w:t>196</w:t>
            </w:r>
          </w:p>
        </w:tc>
      </w:tr>
      <w:tr w:rsidR="00F026E8" w:rsidRPr="00FE7622" w14:paraId="498B8CFD" w14:textId="77777777" w:rsidTr="00AF19CC">
        <w:trPr>
          <w:cantSplit/>
        </w:trPr>
        <w:tc>
          <w:tcPr>
            <w:tcW w:w="0" w:type="auto"/>
            <w:gridSpan w:val="3"/>
            <w:shd w:val="clear" w:color="auto" w:fill="auto"/>
          </w:tcPr>
          <w:p w14:paraId="62C8B9C4" w14:textId="68FAE970" w:rsidR="00F026E8" w:rsidRPr="00FE7622" w:rsidRDefault="00F026E8" w:rsidP="00AF19CC">
            <w:pPr>
              <w:pStyle w:val="72TabletextTablesTableFigureBoxstyles"/>
              <w:rPr>
                <w:rFonts w:eastAsia="Calibri"/>
                <w:color w:val="auto"/>
              </w:rPr>
            </w:pPr>
            <w:r w:rsidRPr="00FE7622">
              <w:rPr>
                <w:rFonts w:eastAsia="Calibri"/>
                <w:color w:val="auto"/>
              </w:rPr>
              <w:t>Number of individual adverse events</w:t>
            </w:r>
          </w:p>
        </w:tc>
      </w:tr>
      <w:tr w:rsidR="00F026E8" w:rsidRPr="00FE7622" w14:paraId="44CB0613" w14:textId="77777777" w:rsidTr="00AF19CC">
        <w:trPr>
          <w:cantSplit/>
        </w:trPr>
        <w:tc>
          <w:tcPr>
            <w:tcW w:w="0" w:type="auto"/>
            <w:shd w:val="clear" w:color="auto" w:fill="auto"/>
          </w:tcPr>
          <w:p w14:paraId="09AC9843" w14:textId="7951C36D"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Blood and lymphatic system disorders</w:t>
            </w:r>
          </w:p>
        </w:tc>
        <w:tc>
          <w:tcPr>
            <w:tcW w:w="0" w:type="auto"/>
            <w:shd w:val="clear" w:color="auto" w:fill="auto"/>
          </w:tcPr>
          <w:p w14:paraId="3D59E75B" w14:textId="77777777" w:rsidR="00F026E8" w:rsidRPr="00FE7622" w:rsidRDefault="00F026E8" w:rsidP="00AF19CC">
            <w:pPr>
              <w:pStyle w:val="72TabletextTablesTableFigureBoxstyles"/>
              <w:rPr>
                <w:rFonts w:eastAsia="Calibri"/>
              </w:rPr>
            </w:pPr>
            <w:r w:rsidRPr="00FE7622">
              <w:rPr>
                <w:color w:val="auto"/>
              </w:rPr>
              <w:t>2</w:t>
            </w:r>
          </w:p>
        </w:tc>
        <w:tc>
          <w:tcPr>
            <w:tcW w:w="0" w:type="auto"/>
            <w:shd w:val="clear" w:color="auto" w:fill="auto"/>
          </w:tcPr>
          <w:p w14:paraId="3D0D5D8F" w14:textId="77777777" w:rsidR="00F026E8" w:rsidRPr="00FE7622" w:rsidRDefault="00F026E8" w:rsidP="00AF19CC">
            <w:pPr>
              <w:pStyle w:val="72TabletextTablesTableFigureBoxstyles"/>
              <w:rPr>
                <w:rFonts w:eastAsia="Calibri"/>
                <w:color w:val="auto"/>
              </w:rPr>
            </w:pPr>
            <w:r w:rsidRPr="00FE7622">
              <w:rPr>
                <w:color w:val="auto"/>
              </w:rPr>
              <w:t>2</w:t>
            </w:r>
          </w:p>
        </w:tc>
      </w:tr>
      <w:tr w:rsidR="00F026E8" w:rsidRPr="00FE7622" w14:paraId="3845FBD9" w14:textId="77777777" w:rsidTr="00AF19CC">
        <w:trPr>
          <w:cantSplit/>
        </w:trPr>
        <w:tc>
          <w:tcPr>
            <w:tcW w:w="0" w:type="auto"/>
            <w:shd w:val="clear" w:color="auto" w:fill="auto"/>
          </w:tcPr>
          <w:p w14:paraId="3BB4D98D" w14:textId="50C330FF"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Cardiac disorders</w:t>
            </w:r>
          </w:p>
        </w:tc>
        <w:tc>
          <w:tcPr>
            <w:tcW w:w="0" w:type="auto"/>
            <w:shd w:val="clear" w:color="auto" w:fill="auto"/>
          </w:tcPr>
          <w:p w14:paraId="240AB71D" w14:textId="77777777" w:rsidR="00F026E8" w:rsidRPr="00FE7622" w:rsidRDefault="00F026E8" w:rsidP="00AF19CC">
            <w:pPr>
              <w:pStyle w:val="72TabletextTablesTableFigureBoxstyles"/>
              <w:rPr>
                <w:rFonts w:eastAsia="Calibri"/>
              </w:rPr>
            </w:pPr>
            <w:r w:rsidRPr="00FE7622">
              <w:rPr>
                <w:color w:val="auto"/>
              </w:rPr>
              <w:t>7</w:t>
            </w:r>
          </w:p>
        </w:tc>
        <w:tc>
          <w:tcPr>
            <w:tcW w:w="0" w:type="auto"/>
            <w:shd w:val="clear" w:color="auto" w:fill="auto"/>
          </w:tcPr>
          <w:p w14:paraId="4A1F928D" w14:textId="77777777" w:rsidR="00F026E8" w:rsidRPr="00FE7622" w:rsidRDefault="00F026E8" w:rsidP="00AF19CC">
            <w:pPr>
              <w:pStyle w:val="72TabletextTablesTableFigureBoxstyles"/>
              <w:rPr>
                <w:rFonts w:eastAsia="Calibri"/>
                <w:color w:val="auto"/>
              </w:rPr>
            </w:pPr>
            <w:r w:rsidRPr="00FE7622">
              <w:rPr>
                <w:color w:val="auto"/>
              </w:rPr>
              <w:t>6</w:t>
            </w:r>
          </w:p>
        </w:tc>
      </w:tr>
      <w:tr w:rsidR="00F026E8" w:rsidRPr="00FE7622" w14:paraId="3846261E" w14:textId="77777777" w:rsidTr="00AF19CC">
        <w:trPr>
          <w:cantSplit/>
        </w:trPr>
        <w:tc>
          <w:tcPr>
            <w:tcW w:w="0" w:type="auto"/>
            <w:shd w:val="clear" w:color="auto" w:fill="auto"/>
          </w:tcPr>
          <w:p w14:paraId="6FDB7864" w14:textId="6B3B7EFA"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Eye disorders</w:t>
            </w:r>
          </w:p>
        </w:tc>
        <w:tc>
          <w:tcPr>
            <w:tcW w:w="0" w:type="auto"/>
            <w:shd w:val="clear" w:color="auto" w:fill="auto"/>
          </w:tcPr>
          <w:p w14:paraId="51A675E2" w14:textId="77777777" w:rsidR="00F026E8" w:rsidRPr="00FE7622" w:rsidRDefault="00F026E8" w:rsidP="00AF19CC">
            <w:pPr>
              <w:pStyle w:val="72TabletextTablesTableFigureBoxstyles"/>
              <w:rPr>
                <w:rFonts w:eastAsia="Calibri"/>
              </w:rPr>
            </w:pPr>
            <w:r w:rsidRPr="00FE7622">
              <w:rPr>
                <w:color w:val="auto"/>
              </w:rPr>
              <w:t>4</w:t>
            </w:r>
          </w:p>
        </w:tc>
        <w:tc>
          <w:tcPr>
            <w:tcW w:w="0" w:type="auto"/>
            <w:shd w:val="clear" w:color="auto" w:fill="auto"/>
          </w:tcPr>
          <w:p w14:paraId="7A054C1E" w14:textId="77777777" w:rsidR="00F026E8" w:rsidRPr="00FE7622" w:rsidRDefault="00F026E8" w:rsidP="00AF19CC">
            <w:pPr>
              <w:pStyle w:val="72TabletextTablesTableFigureBoxstyles"/>
              <w:rPr>
                <w:rFonts w:eastAsia="Calibri"/>
                <w:color w:val="auto"/>
              </w:rPr>
            </w:pPr>
            <w:r w:rsidRPr="00FE7622">
              <w:rPr>
                <w:color w:val="auto"/>
              </w:rPr>
              <w:t>4</w:t>
            </w:r>
          </w:p>
        </w:tc>
      </w:tr>
      <w:tr w:rsidR="00F026E8" w:rsidRPr="00FE7622" w14:paraId="7BB1F04F" w14:textId="77777777" w:rsidTr="00AF19CC">
        <w:trPr>
          <w:cantSplit/>
        </w:trPr>
        <w:tc>
          <w:tcPr>
            <w:tcW w:w="0" w:type="auto"/>
            <w:shd w:val="clear" w:color="auto" w:fill="auto"/>
          </w:tcPr>
          <w:p w14:paraId="76311341" w14:textId="64831C94"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Gastrointestinal disorders</w:t>
            </w:r>
          </w:p>
        </w:tc>
        <w:tc>
          <w:tcPr>
            <w:tcW w:w="0" w:type="auto"/>
            <w:shd w:val="clear" w:color="auto" w:fill="auto"/>
          </w:tcPr>
          <w:p w14:paraId="53BC93F5" w14:textId="77777777" w:rsidR="00F026E8" w:rsidRPr="00FE7622" w:rsidRDefault="00F026E8" w:rsidP="00AF19CC">
            <w:pPr>
              <w:pStyle w:val="72TabletextTablesTableFigureBoxstyles"/>
              <w:rPr>
                <w:rFonts w:eastAsia="Calibri"/>
              </w:rPr>
            </w:pPr>
            <w:r w:rsidRPr="00FE7622">
              <w:rPr>
                <w:color w:val="auto"/>
              </w:rPr>
              <w:t>32</w:t>
            </w:r>
          </w:p>
        </w:tc>
        <w:tc>
          <w:tcPr>
            <w:tcW w:w="0" w:type="auto"/>
            <w:shd w:val="clear" w:color="auto" w:fill="auto"/>
          </w:tcPr>
          <w:p w14:paraId="0484F4DA" w14:textId="77777777" w:rsidR="00F026E8" w:rsidRPr="00FE7622" w:rsidRDefault="00F026E8" w:rsidP="00AF19CC">
            <w:pPr>
              <w:pStyle w:val="72TabletextTablesTableFigureBoxstyles"/>
              <w:rPr>
                <w:rFonts w:eastAsia="Calibri"/>
                <w:color w:val="auto"/>
              </w:rPr>
            </w:pPr>
            <w:r w:rsidRPr="00FE7622">
              <w:rPr>
                <w:color w:val="auto"/>
              </w:rPr>
              <w:t>31</w:t>
            </w:r>
          </w:p>
        </w:tc>
      </w:tr>
      <w:tr w:rsidR="00F026E8" w:rsidRPr="00FE7622" w14:paraId="1D96DD7B" w14:textId="77777777" w:rsidTr="00AF19CC">
        <w:trPr>
          <w:cantSplit/>
        </w:trPr>
        <w:tc>
          <w:tcPr>
            <w:tcW w:w="0" w:type="auto"/>
            <w:shd w:val="clear" w:color="auto" w:fill="auto"/>
          </w:tcPr>
          <w:p w14:paraId="745D11D7" w14:textId="14EC3901"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General disorders and administration site conditions</w:t>
            </w:r>
          </w:p>
        </w:tc>
        <w:tc>
          <w:tcPr>
            <w:tcW w:w="0" w:type="auto"/>
            <w:shd w:val="clear" w:color="auto" w:fill="auto"/>
          </w:tcPr>
          <w:p w14:paraId="31824AC9" w14:textId="77777777" w:rsidR="00F026E8" w:rsidRPr="00FE7622" w:rsidRDefault="00F026E8" w:rsidP="00AF19CC">
            <w:pPr>
              <w:pStyle w:val="72TabletextTablesTableFigureBoxstyles"/>
              <w:rPr>
                <w:rFonts w:eastAsia="Calibri"/>
              </w:rPr>
            </w:pPr>
            <w:r w:rsidRPr="00FE7622">
              <w:rPr>
                <w:color w:val="auto"/>
              </w:rPr>
              <w:t>5</w:t>
            </w:r>
          </w:p>
        </w:tc>
        <w:tc>
          <w:tcPr>
            <w:tcW w:w="0" w:type="auto"/>
            <w:shd w:val="clear" w:color="auto" w:fill="auto"/>
          </w:tcPr>
          <w:p w14:paraId="6E7BC73A" w14:textId="77777777" w:rsidR="00F026E8" w:rsidRPr="00FE7622" w:rsidRDefault="00F026E8" w:rsidP="00AF19CC">
            <w:pPr>
              <w:pStyle w:val="72TabletextTablesTableFigureBoxstyles"/>
              <w:rPr>
                <w:rFonts w:eastAsia="Calibri"/>
                <w:color w:val="auto"/>
              </w:rPr>
            </w:pPr>
            <w:r w:rsidRPr="00FE7622">
              <w:rPr>
                <w:color w:val="auto"/>
              </w:rPr>
              <w:t>10</w:t>
            </w:r>
          </w:p>
        </w:tc>
      </w:tr>
      <w:tr w:rsidR="00F026E8" w:rsidRPr="00FE7622" w14:paraId="1F9EA931" w14:textId="77777777" w:rsidTr="00AF19CC">
        <w:trPr>
          <w:cantSplit/>
        </w:trPr>
        <w:tc>
          <w:tcPr>
            <w:tcW w:w="0" w:type="auto"/>
            <w:shd w:val="clear" w:color="auto" w:fill="auto"/>
          </w:tcPr>
          <w:p w14:paraId="3FBB7041" w14:textId="455389AB"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Hepatobiliary disorders</w:t>
            </w:r>
          </w:p>
        </w:tc>
        <w:tc>
          <w:tcPr>
            <w:tcW w:w="0" w:type="auto"/>
            <w:shd w:val="clear" w:color="auto" w:fill="auto"/>
          </w:tcPr>
          <w:p w14:paraId="14CE4CC6" w14:textId="77777777" w:rsidR="00F026E8" w:rsidRPr="00FE7622" w:rsidRDefault="00F026E8" w:rsidP="00AF19CC">
            <w:pPr>
              <w:pStyle w:val="72TabletextTablesTableFigureBoxstyles"/>
              <w:rPr>
                <w:rFonts w:eastAsia="Calibri"/>
              </w:rPr>
            </w:pPr>
            <w:r w:rsidRPr="00FE7622">
              <w:rPr>
                <w:color w:val="auto"/>
              </w:rPr>
              <w:t>1</w:t>
            </w:r>
          </w:p>
        </w:tc>
        <w:tc>
          <w:tcPr>
            <w:tcW w:w="0" w:type="auto"/>
            <w:shd w:val="clear" w:color="auto" w:fill="auto"/>
          </w:tcPr>
          <w:p w14:paraId="496415A1" w14:textId="77777777" w:rsidR="00F026E8" w:rsidRPr="00FE7622" w:rsidRDefault="00F026E8" w:rsidP="00AF19CC">
            <w:pPr>
              <w:pStyle w:val="72TabletextTablesTableFigureBoxstyles"/>
              <w:rPr>
                <w:rFonts w:eastAsia="Calibri"/>
                <w:color w:val="auto"/>
              </w:rPr>
            </w:pPr>
            <w:r w:rsidRPr="00FE7622">
              <w:rPr>
                <w:color w:val="auto"/>
              </w:rPr>
              <w:t>0</w:t>
            </w:r>
          </w:p>
        </w:tc>
      </w:tr>
      <w:tr w:rsidR="00F026E8" w:rsidRPr="00FE7622" w14:paraId="000B8D9F" w14:textId="77777777" w:rsidTr="00AF19CC">
        <w:trPr>
          <w:cantSplit/>
        </w:trPr>
        <w:tc>
          <w:tcPr>
            <w:tcW w:w="0" w:type="auto"/>
            <w:shd w:val="clear" w:color="auto" w:fill="auto"/>
          </w:tcPr>
          <w:p w14:paraId="24CD7F44" w14:textId="30D548B4"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Infections and infestations</w:t>
            </w:r>
          </w:p>
        </w:tc>
        <w:tc>
          <w:tcPr>
            <w:tcW w:w="0" w:type="auto"/>
            <w:shd w:val="clear" w:color="auto" w:fill="auto"/>
          </w:tcPr>
          <w:p w14:paraId="7A980B99" w14:textId="77777777" w:rsidR="00F026E8" w:rsidRPr="00FE7622" w:rsidRDefault="00F026E8" w:rsidP="00AF19CC">
            <w:pPr>
              <w:pStyle w:val="72TabletextTablesTableFigureBoxstyles"/>
              <w:rPr>
                <w:rFonts w:eastAsia="Calibri"/>
              </w:rPr>
            </w:pPr>
            <w:r w:rsidRPr="00FE7622">
              <w:rPr>
                <w:color w:val="auto"/>
              </w:rPr>
              <w:t>34</w:t>
            </w:r>
          </w:p>
        </w:tc>
        <w:tc>
          <w:tcPr>
            <w:tcW w:w="0" w:type="auto"/>
            <w:shd w:val="clear" w:color="auto" w:fill="auto"/>
          </w:tcPr>
          <w:p w14:paraId="3601D9C1" w14:textId="77777777" w:rsidR="00F026E8" w:rsidRPr="00FE7622" w:rsidRDefault="00F026E8" w:rsidP="00AF19CC">
            <w:pPr>
              <w:pStyle w:val="72TabletextTablesTableFigureBoxstyles"/>
              <w:rPr>
                <w:rFonts w:eastAsia="Calibri"/>
                <w:color w:val="auto"/>
              </w:rPr>
            </w:pPr>
            <w:r w:rsidRPr="00FE7622">
              <w:rPr>
                <w:color w:val="auto"/>
              </w:rPr>
              <w:t>44</w:t>
            </w:r>
          </w:p>
        </w:tc>
      </w:tr>
      <w:tr w:rsidR="00F026E8" w:rsidRPr="00FE7622" w14:paraId="73DB64AE" w14:textId="77777777" w:rsidTr="00AF19CC">
        <w:trPr>
          <w:cantSplit/>
        </w:trPr>
        <w:tc>
          <w:tcPr>
            <w:tcW w:w="0" w:type="auto"/>
            <w:shd w:val="clear" w:color="auto" w:fill="auto"/>
          </w:tcPr>
          <w:p w14:paraId="5644AB55" w14:textId="0152E43B"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Injury, poisoning and procedural complications</w:t>
            </w:r>
          </w:p>
        </w:tc>
        <w:tc>
          <w:tcPr>
            <w:tcW w:w="0" w:type="auto"/>
            <w:shd w:val="clear" w:color="auto" w:fill="auto"/>
          </w:tcPr>
          <w:p w14:paraId="236DB9EB" w14:textId="77777777" w:rsidR="00F026E8" w:rsidRPr="00FE7622" w:rsidRDefault="00F026E8" w:rsidP="00AF19CC">
            <w:pPr>
              <w:pStyle w:val="72TabletextTablesTableFigureBoxstyles"/>
              <w:rPr>
                <w:rFonts w:eastAsia="Calibri"/>
              </w:rPr>
            </w:pPr>
            <w:r w:rsidRPr="00FE7622">
              <w:rPr>
                <w:color w:val="auto"/>
              </w:rPr>
              <w:t>19</w:t>
            </w:r>
          </w:p>
        </w:tc>
        <w:tc>
          <w:tcPr>
            <w:tcW w:w="0" w:type="auto"/>
            <w:shd w:val="clear" w:color="auto" w:fill="auto"/>
          </w:tcPr>
          <w:p w14:paraId="43822BE9" w14:textId="77777777" w:rsidR="00F026E8" w:rsidRPr="00FE7622" w:rsidRDefault="00F026E8" w:rsidP="00AF19CC">
            <w:pPr>
              <w:pStyle w:val="72TabletextTablesTableFigureBoxstyles"/>
              <w:rPr>
                <w:rFonts w:eastAsia="Calibri"/>
                <w:color w:val="auto"/>
              </w:rPr>
            </w:pPr>
            <w:r w:rsidRPr="00FE7622">
              <w:rPr>
                <w:color w:val="auto"/>
              </w:rPr>
              <w:t>15</w:t>
            </w:r>
          </w:p>
        </w:tc>
      </w:tr>
      <w:tr w:rsidR="00F026E8" w:rsidRPr="00FE7622" w14:paraId="0F91B49F" w14:textId="77777777" w:rsidTr="00AF19CC">
        <w:trPr>
          <w:cantSplit/>
        </w:trPr>
        <w:tc>
          <w:tcPr>
            <w:tcW w:w="0" w:type="auto"/>
            <w:shd w:val="clear" w:color="auto" w:fill="auto"/>
          </w:tcPr>
          <w:p w14:paraId="42B25BA6" w14:textId="640A5FCE"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Investigations</w:t>
            </w:r>
          </w:p>
        </w:tc>
        <w:tc>
          <w:tcPr>
            <w:tcW w:w="0" w:type="auto"/>
            <w:shd w:val="clear" w:color="auto" w:fill="auto"/>
          </w:tcPr>
          <w:p w14:paraId="4F72D3A2" w14:textId="77777777" w:rsidR="00F026E8" w:rsidRPr="00FE7622" w:rsidRDefault="00F026E8" w:rsidP="00AF19CC">
            <w:pPr>
              <w:pStyle w:val="72TabletextTablesTableFigureBoxstyles"/>
              <w:rPr>
                <w:rFonts w:eastAsia="Calibri"/>
              </w:rPr>
            </w:pPr>
            <w:r w:rsidRPr="00FE7622">
              <w:rPr>
                <w:color w:val="auto"/>
              </w:rPr>
              <w:t>3</w:t>
            </w:r>
          </w:p>
        </w:tc>
        <w:tc>
          <w:tcPr>
            <w:tcW w:w="0" w:type="auto"/>
            <w:shd w:val="clear" w:color="auto" w:fill="auto"/>
          </w:tcPr>
          <w:p w14:paraId="032DD003" w14:textId="77777777" w:rsidR="00F026E8" w:rsidRPr="00FE7622" w:rsidRDefault="00F026E8" w:rsidP="00AF19CC">
            <w:pPr>
              <w:pStyle w:val="72TabletextTablesTableFigureBoxstyles"/>
              <w:rPr>
                <w:rFonts w:eastAsia="Calibri"/>
                <w:color w:val="auto"/>
              </w:rPr>
            </w:pPr>
            <w:r w:rsidRPr="00FE7622">
              <w:rPr>
                <w:color w:val="auto"/>
              </w:rPr>
              <w:t>1</w:t>
            </w:r>
          </w:p>
        </w:tc>
      </w:tr>
      <w:tr w:rsidR="00F026E8" w:rsidRPr="00FE7622" w14:paraId="3B79CEFE" w14:textId="77777777" w:rsidTr="00AF19CC">
        <w:trPr>
          <w:cantSplit/>
        </w:trPr>
        <w:tc>
          <w:tcPr>
            <w:tcW w:w="0" w:type="auto"/>
            <w:shd w:val="clear" w:color="auto" w:fill="auto"/>
          </w:tcPr>
          <w:p w14:paraId="63CAEDB6" w14:textId="7D0A60C3"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Metabolism and nutrition disorders</w:t>
            </w:r>
          </w:p>
        </w:tc>
        <w:tc>
          <w:tcPr>
            <w:tcW w:w="0" w:type="auto"/>
            <w:shd w:val="clear" w:color="auto" w:fill="auto"/>
          </w:tcPr>
          <w:p w14:paraId="7B0E4790" w14:textId="77777777" w:rsidR="00F026E8" w:rsidRPr="00FE7622" w:rsidRDefault="00F026E8" w:rsidP="00AF19CC">
            <w:pPr>
              <w:pStyle w:val="72TabletextTablesTableFigureBoxstyles"/>
              <w:rPr>
                <w:rFonts w:eastAsia="Calibri"/>
              </w:rPr>
            </w:pPr>
            <w:r w:rsidRPr="00FE7622">
              <w:rPr>
                <w:color w:val="auto"/>
              </w:rPr>
              <w:t>8</w:t>
            </w:r>
          </w:p>
        </w:tc>
        <w:tc>
          <w:tcPr>
            <w:tcW w:w="0" w:type="auto"/>
            <w:shd w:val="clear" w:color="auto" w:fill="auto"/>
          </w:tcPr>
          <w:p w14:paraId="6DDC6774" w14:textId="77777777" w:rsidR="00F026E8" w:rsidRPr="00FE7622" w:rsidRDefault="00F026E8" w:rsidP="00AF19CC">
            <w:pPr>
              <w:pStyle w:val="72TabletextTablesTableFigureBoxstyles"/>
              <w:rPr>
                <w:rFonts w:eastAsia="Calibri"/>
                <w:color w:val="auto"/>
              </w:rPr>
            </w:pPr>
            <w:r w:rsidRPr="00FE7622">
              <w:rPr>
                <w:color w:val="auto"/>
              </w:rPr>
              <w:t>3</w:t>
            </w:r>
          </w:p>
        </w:tc>
      </w:tr>
      <w:tr w:rsidR="00F026E8" w:rsidRPr="00FE7622" w14:paraId="5C822DDC" w14:textId="77777777" w:rsidTr="00AF19CC">
        <w:trPr>
          <w:cantSplit/>
        </w:trPr>
        <w:tc>
          <w:tcPr>
            <w:tcW w:w="0" w:type="auto"/>
            <w:shd w:val="clear" w:color="auto" w:fill="auto"/>
          </w:tcPr>
          <w:p w14:paraId="4B06B7DF" w14:textId="122F18F8"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Musculoskeletal and connective tissue disorders</w:t>
            </w:r>
          </w:p>
        </w:tc>
        <w:tc>
          <w:tcPr>
            <w:tcW w:w="0" w:type="auto"/>
            <w:shd w:val="clear" w:color="auto" w:fill="auto"/>
          </w:tcPr>
          <w:p w14:paraId="5BC8B86E" w14:textId="77777777" w:rsidR="00F026E8" w:rsidRPr="00FE7622" w:rsidRDefault="00F026E8" w:rsidP="00AF19CC">
            <w:pPr>
              <w:pStyle w:val="72TabletextTablesTableFigureBoxstyles"/>
              <w:rPr>
                <w:rFonts w:eastAsia="Calibri"/>
              </w:rPr>
            </w:pPr>
            <w:r w:rsidRPr="00FE7622">
              <w:rPr>
                <w:color w:val="auto"/>
              </w:rPr>
              <w:t>20</w:t>
            </w:r>
          </w:p>
        </w:tc>
        <w:tc>
          <w:tcPr>
            <w:tcW w:w="0" w:type="auto"/>
            <w:shd w:val="clear" w:color="auto" w:fill="auto"/>
          </w:tcPr>
          <w:p w14:paraId="3E584CAC" w14:textId="77777777" w:rsidR="00F026E8" w:rsidRPr="00FE7622" w:rsidRDefault="00F026E8" w:rsidP="00AF19CC">
            <w:pPr>
              <w:pStyle w:val="72TabletextTablesTableFigureBoxstyles"/>
              <w:rPr>
                <w:rFonts w:eastAsia="Calibri"/>
                <w:color w:val="auto"/>
              </w:rPr>
            </w:pPr>
            <w:r w:rsidRPr="00FE7622">
              <w:rPr>
                <w:color w:val="auto"/>
              </w:rPr>
              <w:t>20</w:t>
            </w:r>
          </w:p>
        </w:tc>
      </w:tr>
      <w:tr w:rsidR="00F026E8" w:rsidRPr="00FE7622" w14:paraId="098A953F" w14:textId="77777777" w:rsidTr="00AF19CC">
        <w:trPr>
          <w:cantSplit/>
        </w:trPr>
        <w:tc>
          <w:tcPr>
            <w:tcW w:w="0" w:type="auto"/>
            <w:shd w:val="clear" w:color="auto" w:fill="auto"/>
          </w:tcPr>
          <w:p w14:paraId="092646CA" w14:textId="43712A29"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Neoplasms benign, malignant and unspecified</w:t>
            </w:r>
          </w:p>
        </w:tc>
        <w:tc>
          <w:tcPr>
            <w:tcW w:w="0" w:type="auto"/>
            <w:shd w:val="clear" w:color="auto" w:fill="auto"/>
          </w:tcPr>
          <w:p w14:paraId="1C765C25" w14:textId="77777777" w:rsidR="00F026E8" w:rsidRPr="00FE7622" w:rsidRDefault="00F026E8" w:rsidP="00AF19CC">
            <w:pPr>
              <w:pStyle w:val="72TabletextTablesTableFigureBoxstyles"/>
              <w:rPr>
                <w:rFonts w:eastAsia="Calibri"/>
              </w:rPr>
            </w:pPr>
            <w:r w:rsidRPr="00FE7622">
              <w:rPr>
                <w:color w:val="auto"/>
              </w:rPr>
              <w:t>1</w:t>
            </w:r>
          </w:p>
        </w:tc>
        <w:tc>
          <w:tcPr>
            <w:tcW w:w="0" w:type="auto"/>
            <w:shd w:val="clear" w:color="auto" w:fill="auto"/>
          </w:tcPr>
          <w:p w14:paraId="03B9CA17" w14:textId="77777777" w:rsidR="00F026E8" w:rsidRPr="00FE7622" w:rsidRDefault="00F026E8" w:rsidP="00AF19CC">
            <w:pPr>
              <w:pStyle w:val="72TabletextTablesTableFigureBoxstyles"/>
              <w:rPr>
                <w:rFonts w:eastAsia="Calibri"/>
                <w:color w:val="auto"/>
              </w:rPr>
            </w:pPr>
            <w:r w:rsidRPr="00FE7622">
              <w:rPr>
                <w:color w:val="auto"/>
              </w:rPr>
              <w:t>8</w:t>
            </w:r>
          </w:p>
        </w:tc>
      </w:tr>
      <w:tr w:rsidR="00F026E8" w:rsidRPr="00FE7622" w14:paraId="26AA7DA5" w14:textId="77777777" w:rsidTr="00AF19CC">
        <w:trPr>
          <w:cantSplit/>
        </w:trPr>
        <w:tc>
          <w:tcPr>
            <w:tcW w:w="0" w:type="auto"/>
            <w:shd w:val="clear" w:color="auto" w:fill="auto"/>
          </w:tcPr>
          <w:p w14:paraId="248C50E7" w14:textId="5A40AB5C"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Nervous system disorders</w:t>
            </w:r>
          </w:p>
        </w:tc>
        <w:tc>
          <w:tcPr>
            <w:tcW w:w="0" w:type="auto"/>
            <w:shd w:val="clear" w:color="auto" w:fill="auto"/>
          </w:tcPr>
          <w:p w14:paraId="36087E8B" w14:textId="77777777" w:rsidR="00F026E8" w:rsidRPr="00FE7622" w:rsidRDefault="00F026E8" w:rsidP="00AF19CC">
            <w:pPr>
              <w:pStyle w:val="72TabletextTablesTableFigureBoxstyles"/>
              <w:rPr>
                <w:rFonts w:eastAsia="Calibri"/>
              </w:rPr>
            </w:pPr>
            <w:r w:rsidRPr="00FE7622">
              <w:rPr>
                <w:color w:val="auto"/>
              </w:rPr>
              <w:t>24</w:t>
            </w:r>
          </w:p>
        </w:tc>
        <w:tc>
          <w:tcPr>
            <w:tcW w:w="0" w:type="auto"/>
            <w:shd w:val="clear" w:color="auto" w:fill="auto"/>
          </w:tcPr>
          <w:p w14:paraId="7EEB5F0D" w14:textId="77777777" w:rsidR="00F026E8" w:rsidRPr="00FE7622" w:rsidRDefault="00F026E8" w:rsidP="00AF19CC">
            <w:pPr>
              <w:pStyle w:val="72TabletextTablesTableFigureBoxstyles"/>
              <w:rPr>
                <w:rFonts w:eastAsia="Calibri"/>
                <w:color w:val="auto"/>
              </w:rPr>
            </w:pPr>
            <w:r w:rsidRPr="00FE7622">
              <w:rPr>
                <w:color w:val="auto"/>
              </w:rPr>
              <w:t>19</w:t>
            </w:r>
          </w:p>
        </w:tc>
      </w:tr>
      <w:tr w:rsidR="00F026E8" w:rsidRPr="00FE7622" w14:paraId="6465F756" w14:textId="77777777" w:rsidTr="00AF19CC">
        <w:trPr>
          <w:cantSplit/>
        </w:trPr>
        <w:tc>
          <w:tcPr>
            <w:tcW w:w="0" w:type="auto"/>
            <w:shd w:val="clear" w:color="auto" w:fill="auto"/>
          </w:tcPr>
          <w:p w14:paraId="75A2E999" w14:textId="7DFAD464"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Psychiatric disorders</w:t>
            </w:r>
          </w:p>
        </w:tc>
        <w:tc>
          <w:tcPr>
            <w:tcW w:w="0" w:type="auto"/>
            <w:shd w:val="clear" w:color="auto" w:fill="auto"/>
          </w:tcPr>
          <w:p w14:paraId="05E87770" w14:textId="77777777" w:rsidR="00F026E8" w:rsidRPr="00FE7622" w:rsidRDefault="00F026E8" w:rsidP="00AF19CC">
            <w:pPr>
              <w:pStyle w:val="72TabletextTablesTableFigureBoxstyles"/>
              <w:rPr>
                <w:rFonts w:eastAsia="Calibri"/>
              </w:rPr>
            </w:pPr>
            <w:r w:rsidRPr="00FE7622">
              <w:rPr>
                <w:color w:val="auto"/>
              </w:rPr>
              <w:t>2</w:t>
            </w:r>
          </w:p>
        </w:tc>
        <w:tc>
          <w:tcPr>
            <w:tcW w:w="0" w:type="auto"/>
            <w:shd w:val="clear" w:color="auto" w:fill="auto"/>
          </w:tcPr>
          <w:p w14:paraId="423ACA0C" w14:textId="77777777" w:rsidR="00F026E8" w:rsidRPr="00FE7622" w:rsidRDefault="00F026E8" w:rsidP="00AF19CC">
            <w:pPr>
              <w:pStyle w:val="72TabletextTablesTableFigureBoxstyles"/>
              <w:rPr>
                <w:rFonts w:eastAsia="Calibri"/>
                <w:color w:val="auto"/>
              </w:rPr>
            </w:pPr>
            <w:r w:rsidRPr="00FE7622">
              <w:rPr>
                <w:color w:val="auto"/>
              </w:rPr>
              <w:t>5</w:t>
            </w:r>
          </w:p>
        </w:tc>
      </w:tr>
      <w:tr w:rsidR="00F026E8" w:rsidRPr="00FE7622" w14:paraId="39703B50" w14:textId="77777777" w:rsidTr="00AF19CC">
        <w:trPr>
          <w:cantSplit/>
        </w:trPr>
        <w:tc>
          <w:tcPr>
            <w:tcW w:w="0" w:type="auto"/>
            <w:shd w:val="clear" w:color="auto" w:fill="auto"/>
          </w:tcPr>
          <w:p w14:paraId="36CE9B4C" w14:textId="1AB2F6B8"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Renal and urinary disorders</w:t>
            </w:r>
          </w:p>
        </w:tc>
        <w:tc>
          <w:tcPr>
            <w:tcW w:w="0" w:type="auto"/>
            <w:shd w:val="clear" w:color="auto" w:fill="auto"/>
          </w:tcPr>
          <w:p w14:paraId="2F289285" w14:textId="77777777" w:rsidR="00F026E8" w:rsidRPr="00FE7622" w:rsidRDefault="00F026E8" w:rsidP="00AF19CC">
            <w:pPr>
              <w:pStyle w:val="72TabletextTablesTableFigureBoxstyles"/>
              <w:rPr>
                <w:rFonts w:eastAsia="Calibri"/>
              </w:rPr>
            </w:pPr>
            <w:r w:rsidRPr="00FE7622">
              <w:rPr>
                <w:color w:val="auto"/>
              </w:rPr>
              <w:t>2</w:t>
            </w:r>
          </w:p>
        </w:tc>
        <w:tc>
          <w:tcPr>
            <w:tcW w:w="0" w:type="auto"/>
            <w:shd w:val="clear" w:color="auto" w:fill="auto"/>
          </w:tcPr>
          <w:p w14:paraId="4289BEF9" w14:textId="77777777" w:rsidR="00F026E8" w:rsidRPr="00FE7622" w:rsidRDefault="00F026E8" w:rsidP="00AF19CC">
            <w:pPr>
              <w:pStyle w:val="72TabletextTablesTableFigureBoxstyles"/>
              <w:rPr>
                <w:rFonts w:eastAsia="Calibri"/>
                <w:color w:val="auto"/>
              </w:rPr>
            </w:pPr>
            <w:r w:rsidRPr="00FE7622">
              <w:rPr>
                <w:color w:val="auto"/>
              </w:rPr>
              <w:t>4</w:t>
            </w:r>
          </w:p>
        </w:tc>
      </w:tr>
      <w:tr w:rsidR="00F026E8" w:rsidRPr="00FE7622" w14:paraId="4635FBFD" w14:textId="77777777" w:rsidTr="00AF19CC">
        <w:trPr>
          <w:cantSplit/>
        </w:trPr>
        <w:tc>
          <w:tcPr>
            <w:tcW w:w="0" w:type="auto"/>
            <w:shd w:val="clear" w:color="auto" w:fill="auto"/>
          </w:tcPr>
          <w:p w14:paraId="21A03246" w14:textId="5EAFA405"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Reproductive system and breast disorders</w:t>
            </w:r>
          </w:p>
        </w:tc>
        <w:tc>
          <w:tcPr>
            <w:tcW w:w="0" w:type="auto"/>
            <w:shd w:val="clear" w:color="auto" w:fill="auto"/>
          </w:tcPr>
          <w:p w14:paraId="19B5627A" w14:textId="77777777" w:rsidR="00F026E8" w:rsidRPr="00FE7622" w:rsidRDefault="00F026E8" w:rsidP="00AF19CC">
            <w:pPr>
              <w:pStyle w:val="72TabletextTablesTableFigureBoxstyles"/>
              <w:rPr>
                <w:rFonts w:eastAsia="Calibri"/>
              </w:rPr>
            </w:pPr>
            <w:r w:rsidRPr="00FE7622">
              <w:rPr>
                <w:color w:val="auto"/>
              </w:rPr>
              <w:t>0</w:t>
            </w:r>
          </w:p>
        </w:tc>
        <w:tc>
          <w:tcPr>
            <w:tcW w:w="0" w:type="auto"/>
            <w:shd w:val="clear" w:color="auto" w:fill="auto"/>
          </w:tcPr>
          <w:p w14:paraId="5E8F9AE4" w14:textId="77777777" w:rsidR="00F026E8" w:rsidRPr="00FE7622" w:rsidRDefault="00F026E8" w:rsidP="00AF19CC">
            <w:pPr>
              <w:pStyle w:val="72TabletextTablesTableFigureBoxstyles"/>
              <w:rPr>
                <w:rFonts w:eastAsia="Calibri"/>
                <w:color w:val="auto"/>
              </w:rPr>
            </w:pPr>
            <w:r w:rsidRPr="00FE7622">
              <w:rPr>
                <w:color w:val="auto"/>
              </w:rPr>
              <w:t>2</w:t>
            </w:r>
          </w:p>
        </w:tc>
      </w:tr>
      <w:tr w:rsidR="00F026E8" w:rsidRPr="00FE7622" w14:paraId="321D3881" w14:textId="77777777" w:rsidTr="00AF19CC">
        <w:trPr>
          <w:cantSplit/>
        </w:trPr>
        <w:tc>
          <w:tcPr>
            <w:tcW w:w="0" w:type="auto"/>
            <w:shd w:val="clear" w:color="auto" w:fill="auto"/>
          </w:tcPr>
          <w:p w14:paraId="2010E69D" w14:textId="13342FFB"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Respiratory, thoracic and mediastinal disorders</w:t>
            </w:r>
          </w:p>
        </w:tc>
        <w:tc>
          <w:tcPr>
            <w:tcW w:w="0" w:type="auto"/>
            <w:shd w:val="clear" w:color="auto" w:fill="auto"/>
          </w:tcPr>
          <w:p w14:paraId="436BD65F" w14:textId="77777777" w:rsidR="00F026E8" w:rsidRPr="00FE7622" w:rsidRDefault="00F026E8" w:rsidP="00AF19CC">
            <w:pPr>
              <w:pStyle w:val="72TabletextTablesTableFigureBoxstyles"/>
              <w:rPr>
                <w:rFonts w:eastAsia="Calibri"/>
              </w:rPr>
            </w:pPr>
            <w:r w:rsidRPr="00FE7622">
              <w:rPr>
                <w:color w:val="auto"/>
              </w:rPr>
              <w:t>9</w:t>
            </w:r>
          </w:p>
        </w:tc>
        <w:tc>
          <w:tcPr>
            <w:tcW w:w="0" w:type="auto"/>
            <w:shd w:val="clear" w:color="auto" w:fill="auto"/>
          </w:tcPr>
          <w:p w14:paraId="1B0BE357" w14:textId="77777777" w:rsidR="00F026E8" w:rsidRPr="00FE7622" w:rsidRDefault="00F026E8" w:rsidP="00AF19CC">
            <w:pPr>
              <w:pStyle w:val="72TabletextTablesTableFigureBoxstyles"/>
              <w:rPr>
                <w:rFonts w:eastAsia="Calibri"/>
                <w:color w:val="auto"/>
              </w:rPr>
            </w:pPr>
            <w:r w:rsidRPr="00FE7622">
              <w:rPr>
                <w:color w:val="auto"/>
              </w:rPr>
              <w:t>10</w:t>
            </w:r>
          </w:p>
        </w:tc>
      </w:tr>
      <w:tr w:rsidR="00F026E8" w:rsidRPr="00FE7622" w14:paraId="5651E9B0" w14:textId="77777777" w:rsidTr="00AF19CC">
        <w:trPr>
          <w:cantSplit/>
        </w:trPr>
        <w:tc>
          <w:tcPr>
            <w:tcW w:w="0" w:type="auto"/>
            <w:shd w:val="clear" w:color="auto" w:fill="auto"/>
          </w:tcPr>
          <w:p w14:paraId="260D73AC" w14:textId="542173B1"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Skin and subcutaneous tissue disorders</w:t>
            </w:r>
          </w:p>
        </w:tc>
        <w:tc>
          <w:tcPr>
            <w:tcW w:w="0" w:type="auto"/>
            <w:shd w:val="clear" w:color="auto" w:fill="auto"/>
          </w:tcPr>
          <w:p w14:paraId="6D1B59E9" w14:textId="77777777" w:rsidR="00F026E8" w:rsidRPr="00FE7622" w:rsidRDefault="00F026E8" w:rsidP="00AF19CC">
            <w:pPr>
              <w:pStyle w:val="72TabletextTablesTableFigureBoxstyles"/>
              <w:rPr>
                <w:rFonts w:eastAsia="Calibri"/>
              </w:rPr>
            </w:pPr>
            <w:r w:rsidRPr="00FE7622">
              <w:rPr>
                <w:color w:val="auto"/>
              </w:rPr>
              <w:t>6</w:t>
            </w:r>
          </w:p>
        </w:tc>
        <w:tc>
          <w:tcPr>
            <w:tcW w:w="0" w:type="auto"/>
            <w:shd w:val="clear" w:color="auto" w:fill="auto"/>
          </w:tcPr>
          <w:p w14:paraId="4D5523F9" w14:textId="77777777" w:rsidR="00F026E8" w:rsidRPr="00FE7622" w:rsidRDefault="00F026E8" w:rsidP="00AF19CC">
            <w:pPr>
              <w:pStyle w:val="72TabletextTablesTableFigureBoxstyles"/>
              <w:rPr>
                <w:rFonts w:eastAsia="Calibri"/>
                <w:color w:val="auto"/>
              </w:rPr>
            </w:pPr>
            <w:r w:rsidRPr="00FE7622">
              <w:rPr>
                <w:color w:val="auto"/>
              </w:rPr>
              <w:t>11</w:t>
            </w:r>
          </w:p>
        </w:tc>
      </w:tr>
      <w:tr w:rsidR="00F026E8" w:rsidRPr="00FE7622" w14:paraId="60B10B12" w14:textId="77777777" w:rsidTr="00AF19CC">
        <w:trPr>
          <w:cantSplit/>
        </w:trPr>
        <w:tc>
          <w:tcPr>
            <w:tcW w:w="0" w:type="auto"/>
            <w:shd w:val="clear" w:color="auto" w:fill="auto"/>
          </w:tcPr>
          <w:p w14:paraId="1F7EE3CD" w14:textId="22604065" w:rsidR="00F026E8" w:rsidRPr="00FE7622" w:rsidRDefault="008F7F2F" w:rsidP="00AF19CC">
            <w:pPr>
              <w:pStyle w:val="72TabletextTablesTableFigureBoxstyles"/>
              <w:rPr>
                <w:rFonts w:eastAsia="Calibri"/>
              </w:rPr>
            </w:pPr>
            <w:r w:rsidRPr="00FE7622">
              <w:rPr>
                <w:color w:val="auto"/>
              </w:rPr>
              <w:tab/>
            </w:r>
            <w:r w:rsidR="00F026E8" w:rsidRPr="00FE7622">
              <w:rPr>
                <w:color w:val="auto"/>
              </w:rPr>
              <w:t>Vascular disorders</w:t>
            </w:r>
          </w:p>
        </w:tc>
        <w:tc>
          <w:tcPr>
            <w:tcW w:w="0" w:type="auto"/>
            <w:shd w:val="clear" w:color="auto" w:fill="auto"/>
          </w:tcPr>
          <w:p w14:paraId="61F5E14C" w14:textId="77777777" w:rsidR="00F026E8" w:rsidRPr="00FE7622" w:rsidRDefault="00F026E8" w:rsidP="00AF19CC">
            <w:pPr>
              <w:pStyle w:val="72TabletextTablesTableFigureBoxstyles"/>
              <w:rPr>
                <w:rFonts w:eastAsia="Calibri"/>
              </w:rPr>
            </w:pPr>
            <w:r w:rsidRPr="00FE7622">
              <w:rPr>
                <w:color w:val="auto"/>
              </w:rPr>
              <w:t>8</w:t>
            </w:r>
          </w:p>
        </w:tc>
        <w:tc>
          <w:tcPr>
            <w:tcW w:w="0" w:type="auto"/>
            <w:shd w:val="clear" w:color="auto" w:fill="auto"/>
          </w:tcPr>
          <w:p w14:paraId="30D118CC" w14:textId="77777777" w:rsidR="00F026E8" w:rsidRPr="00FE7622" w:rsidRDefault="00F026E8" w:rsidP="00AF19CC">
            <w:pPr>
              <w:pStyle w:val="72TabletextTablesTableFigureBoxstyles"/>
              <w:rPr>
                <w:rFonts w:eastAsia="Calibri"/>
                <w:color w:val="auto"/>
              </w:rPr>
            </w:pPr>
            <w:r w:rsidRPr="00FE7622">
              <w:rPr>
                <w:color w:val="auto"/>
              </w:rPr>
              <w:t>1</w:t>
            </w:r>
          </w:p>
        </w:tc>
      </w:tr>
    </w:tbl>
    <w:p w14:paraId="35AA5EB1" w14:textId="63D6BFE9" w:rsidR="00E038BF" w:rsidRPr="00FE7622" w:rsidRDefault="00E038BF" w:rsidP="00924DF2">
      <w:pPr>
        <w:pStyle w:val="52AheadHeadingsHeadingstyles"/>
      </w:pPr>
      <w:bookmarkStart w:id="117" w:name="_Toc79684540"/>
      <w:r w:rsidRPr="00FE7622">
        <w:t>Meta-analysis of leucine trials</w:t>
      </w:r>
      <w:bookmarkEnd w:id="117"/>
    </w:p>
    <w:p w14:paraId="166FD9F8" w14:textId="3952BCD4" w:rsidR="00F026E8" w:rsidRPr="00FE7622" w:rsidRDefault="00F026E8" w:rsidP="00924DF2">
      <w:pPr>
        <w:pStyle w:val="602TextfoTextstylesTextstyles"/>
        <w:rPr>
          <w:color w:val="auto"/>
        </w:rPr>
      </w:pPr>
      <w:r w:rsidRPr="00FE7622">
        <w:rPr>
          <w:color w:val="auto"/>
        </w:rPr>
        <w:t>Only three trials</w:t>
      </w:r>
      <w:r w:rsidR="00E038BF" w:rsidRPr="00FE7622">
        <w:rPr>
          <w:color w:val="auto"/>
          <w:vertAlign w:val="superscript"/>
        </w:rPr>
        <w:t>88–90</w:t>
      </w:r>
      <w:r w:rsidRPr="00FE7622">
        <w:rPr>
          <w:color w:val="auto"/>
        </w:rPr>
        <w:t xml:space="preserve"> included in the 2019 systematic review</w:t>
      </w:r>
      <w:r w:rsidR="00E038BF" w:rsidRPr="00FE7622">
        <w:rPr>
          <w:color w:val="auto"/>
          <w:vertAlign w:val="superscript"/>
        </w:rPr>
        <w:t>75</w:t>
      </w:r>
      <w:r w:rsidRPr="00FE7622">
        <w:rPr>
          <w:color w:val="auto"/>
        </w:rPr>
        <w:t xml:space="preserve"> specifically examined the effect of leucine as an intervention; the other trials examined the effect of protein supplementation, a mix of essential amino acids, or a combination of leucine with other interventions (</w:t>
      </w:r>
      <w:r w:rsidR="000901B7" w:rsidRPr="00FE7622">
        <w:rPr>
          <w:color w:val="auto"/>
        </w:rPr>
        <w:t>e.g.</w:t>
      </w:r>
      <w:r w:rsidRPr="00FE7622">
        <w:rPr>
          <w:color w:val="auto"/>
        </w:rPr>
        <w:t xml:space="preserve"> vitamin D and creatine). The mean age </w:t>
      </w:r>
      <w:r w:rsidR="00EC3230" w:rsidRPr="00FE7622">
        <w:rPr>
          <w:color w:val="auto"/>
        </w:rPr>
        <w:t>of patients in</w:t>
      </w:r>
      <w:r w:rsidRPr="00FE7622">
        <w:rPr>
          <w:color w:val="auto"/>
        </w:rPr>
        <w:t xml:space="preserve"> these three trials ranged from 71 to 72 years. Two trials enrolled men only</w:t>
      </w:r>
      <w:r w:rsidR="00E038BF" w:rsidRPr="00FE7622">
        <w:rPr>
          <w:color w:val="auto"/>
          <w:vertAlign w:val="superscript"/>
        </w:rPr>
        <w:t>88,89</w:t>
      </w:r>
      <w:r w:rsidRPr="00FE7622">
        <w:rPr>
          <w:color w:val="auto"/>
        </w:rPr>
        <w:t xml:space="preserve"> and one enrolled approximately equal numbers of men and women.</w:t>
      </w:r>
      <w:r w:rsidR="00E038BF" w:rsidRPr="00FE7622">
        <w:rPr>
          <w:color w:val="auto"/>
          <w:vertAlign w:val="superscript"/>
        </w:rPr>
        <w:t>90</w:t>
      </w:r>
      <w:r w:rsidRPr="00FE7622">
        <w:rPr>
          <w:color w:val="auto"/>
        </w:rPr>
        <w:t xml:space="preserve"> Sample sizes ranged from 25 to 60 and the mean daily protein intake in the three trials ranged from 0.95 to 1.0</w:t>
      </w:r>
      <w:r w:rsidR="005A2E53" w:rsidRPr="00FE7622">
        <w:rPr>
          <w:color w:val="auto"/>
        </w:rPr>
        <w:t> </w:t>
      </w:r>
      <w:r w:rsidRPr="00FE7622">
        <w:rPr>
          <w:color w:val="auto"/>
        </w:rPr>
        <w:t>g/kg. Two trials administered 7.5</w:t>
      </w:r>
      <w:r w:rsidR="00866064" w:rsidRPr="00FE7622">
        <w:rPr>
          <w:color w:val="auto"/>
        </w:rPr>
        <w:t> </w:t>
      </w:r>
      <w:r w:rsidRPr="00FE7622">
        <w:rPr>
          <w:color w:val="auto"/>
        </w:rPr>
        <w:t>g</w:t>
      </w:r>
      <w:r w:rsidR="00EC3230" w:rsidRPr="00FE7622">
        <w:rPr>
          <w:color w:val="auto"/>
        </w:rPr>
        <w:t xml:space="preserve"> per </w:t>
      </w:r>
      <w:r w:rsidRPr="00FE7622">
        <w:rPr>
          <w:color w:val="auto"/>
        </w:rPr>
        <w:t xml:space="preserve">day </w:t>
      </w:r>
      <w:r w:rsidR="00EC3230" w:rsidRPr="00FE7622">
        <w:rPr>
          <w:color w:val="auto"/>
        </w:rPr>
        <w:t xml:space="preserve">of </w:t>
      </w:r>
      <w:r w:rsidRPr="00FE7622">
        <w:rPr>
          <w:color w:val="auto"/>
        </w:rPr>
        <w:t>additional leucine (with a wheat flour placebo);</w:t>
      </w:r>
      <w:r w:rsidR="00E038BF" w:rsidRPr="00FE7622">
        <w:rPr>
          <w:color w:val="auto"/>
          <w:vertAlign w:val="superscript"/>
        </w:rPr>
        <w:t>88,89</w:t>
      </w:r>
      <w:r w:rsidRPr="00FE7622">
        <w:rPr>
          <w:color w:val="auto"/>
        </w:rPr>
        <w:t xml:space="preserve"> the other trial administered an extra 3</w:t>
      </w:r>
      <w:r w:rsidR="00866064" w:rsidRPr="00FE7622">
        <w:rPr>
          <w:color w:val="auto"/>
        </w:rPr>
        <w:t> </w:t>
      </w:r>
      <w:r w:rsidRPr="00FE7622">
        <w:rPr>
          <w:color w:val="auto"/>
        </w:rPr>
        <w:t>g</w:t>
      </w:r>
      <w:r w:rsidR="00EC3230" w:rsidRPr="00FE7622">
        <w:rPr>
          <w:color w:val="auto"/>
        </w:rPr>
        <w:t xml:space="preserve"> per </w:t>
      </w:r>
      <w:r w:rsidRPr="00FE7622">
        <w:rPr>
          <w:color w:val="auto"/>
        </w:rPr>
        <w:t>day of leucine in one arm in addition to an essential amino acid mixture used in both arms.</w:t>
      </w:r>
      <w:r w:rsidR="00E038BF" w:rsidRPr="00FE7622">
        <w:rPr>
          <w:color w:val="auto"/>
          <w:vertAlign w:val="superscript"/>
        </w:rPr>
        <w:t>90</w:t>
      </w:r>
      <w:r w:rsidRPr="00FE7622">
        <w:rPr>
          <w:color w:val="auto"/>
        </w:rPr>
        <w:t xml:space="preserve"> The duration of treatment ranged from 12 to 24 weeks. All three trials were judged to </w:t>
      </w:r>
      <w:r w:rsidR="00CD7FC5" w:rsidRPr="00FE7622">
        <w:rPr>
          <w:color w:val="auto"/>
        </w:rPr>
        <w:t xml:space="preserve">be showing a high risk of bias in </w:t>
      </w:r>
      <w:r w:rsidRPr="00FE7622">
        <w:rPr>
          <w:color w:val="auto"/>
        </w:rPr>
        <w:t>at least one risk</w:t>
      </w:r>
      <w:r w:rsidR="00CD7FC5" w:rsidRPr="00FE7622">
        <w:rPr>
          <w:color w:val="auto"/>
        </w:rPr>
        <w:t>-</w:t>
      </w:r>
      <w:r w:rsidRPr="00FE7622">
        <w:rPr>
          <w:color w:val="auto"/>
        </w:rPr>
        <w:t>of</w:t>
      </w:r>
      <w:r w:rsidR="00CD7FC5" w:rsidRPr="00FE7622">
        <w:rPr>
          <w:color w:val="auto"/>
        </w:rPr>
        <w:t>-</w:t>
      </w:r>
      <w:r w:rsidRPr="00FE7622">
        <w:rPr>
          <w:color w:val="auto"/>
        </w:rPr>
        <w:t>bias domain, with multiple domains judged to show either high or unclear risk of bias. One additional trial comparing 6</w:t>
      </w:r>
      <w:r w:rsidR="00866064" w:rsidRPr="00FE7622">
        <w:rPr>
          <w:color w:val="auto"/>
        </w:rPr>
        <w:t> </w:t>
      </w:r>
      <w:r w:rsidRPr="00FE7622">
        <w:rPr>
          <w:color w:val="auto"/>
        </w:rPr>
        <w:t>g</w:t>
      </w:r>
      <w:r w:rsidR="00CD7FC5" w:rsidRPr="00FE7622">
        <w:rPr>
          <w:color w:val="auto"/>
        </w:rPr>
        <w:t xml:space="preserve"> per </w:t>
      </w:r>
      <w:r w:rsidRPr="00FE7622">
        <w:rPr>
          <w:color w:val="auto"/>
        </w:rPr>
        <w:t xml:space="preserve">day </w:t>
      </w:r>
      <w:r w:rsidR="00866064" w:rsidRPr="00FE7622">
        <w:rPr>
          <w:color w:val="auto"/>
        </w:rPr>
        <w:t xml:space="preserve">of </w:t>
      </w:r>
      <w:r w:rsidRPr="00FE7622">
        <w:rPr>
          <w:color w:val="auto"/>
        </w:rPr>
        <w:t>leucine with placebo (lactose) for 13 weeks has been published since this systematic review was published;</w:t>
      </w:r>
      <w:r w:rsidR="00E038BF" w:rsidRPr="00FE7622">
        <w:rPr>
          <w:color w:val="auto"/>
          <w:vertAlign w:val="superscript"/>
        </w:rPr>
        <w:t>91</w:t>
      </w:r>
      <w:r w:rsidRPr="00FE7622">
        <w:rPr>
          <w:color w:val="auto"/>
        </w:rPr>
        <w:t xml:space="preserve"> the results from this study are included in the meta-analyses below along with </w:t>
      </w:r>
      <w:r w:rsidR="00CD7FC5" w:rsidRPr="00FE7622">
        <w:rPr>
          <w:color w:val="auto"/>
        </w:rPr>
        <w:t xml:space="preserve">the </w:t>
      </w:r>
      <w:r w:rsidRPr="00FE7622">
        <w:rPr>
          <w:color w:val="auto"/>
        </w:rPr>
        <w:t xml:space="preserve">results from the </w:t>
      </w:r>
      <w:r w:rsidRPr="00842651">
        <w:rPr>
          <w:color w:val="auto"/>
        </w:rPr>
        <w:t>LACE</w:t>
      </w:r>
      <w:r w:rsidRPr="00FE7622">
        <w:rPr>
          <w:color w:val="auto"/>
        </w:rPr>
        <w:t xml:space="preserve"> trial.</w:t>
      </w:r>
    </w:p>
    <w:p w14:paraId="14583975" w14:textId="518DEF1B" w:rsidR="00E038BF" w:rsidRPr="00FE7622" w:rsidRDefault="00E038BF" w:rsidP="00924DF2">
      <w:pPr>
        <w:pStyle w:val="53BheadHeadingsHeadingstyles"/>
      </w:pPr>
      <w:bookmarkStart w:id="118" w:name="_Toc79684541"/>
      <w:r w:rsidRPr="00FE7622">
        <w:t>Effect on walk speed</w:t>
      </w:r>
      <w:bookmarkEnd w:id="118"/>
    </w:p>
    <w:p w14:paraId="7DB23594" w14:textId="3622E7C9" w:rsidR="00F026E8" w:rsidRPr="00FE7622" w:rsidRDefault="00F026E8" w:rsidP="00924DF2">
      <w:pPr>
        <w:pStyle w:val="602TextfoTextstylesTextstyles"/>
        <w:rPr>
          <w:color w:val="auto"/>
        </w:rPr>
      </w:pPr>
      <w:r w:rsidRPr="00FE7622">
        <w:rPr>
          <w:color w:val="auto"/>
        </w:rPr>
        <w:t xml:space="preserve">Only the </w:t>
      </w:r>
      <w:r w:rsidRPr="00842651">
        <w:rPr>
          <w:color w:val="auto"/>
        </w:rPr>
        <w:t>LACE</w:t>
      </w:r>
      <w:r w:rsidRPr="00FE7622">
        <w:rPr>
          <w:color w:val="auto"/>
        </w:rPr>
        <w:t xml:space="preserve"> trial included data on the </w:t>
      </w:r>
      <w:r w:rsidRPr="00842651">
        <w:rPr>
          <w:color w:val="auto"/>
        </w:rPr>
        <w:t>SPPB</w:t>
      </w:r>
      <w:r w:rsidRPr="00FE7622">
        <w:rPr>
          <w:color w:val="auto"/>
        </w:rPr>
        <w:t xml:space="preserve">; </w:t>
      </w:r>
      <w:r w:rsidR="000901B7" w:rsidRPr="00FE7622">
        <w:rPr>
          <w:color w:val="auto"/>
        </w:rPr>
        <w:t xml:space="preserve">therefore, </w:t>
      </w:r>
      <w:r w:rsidRPr="00FE7622">
        <w:rPr>
          <w:color w:val="auto"/>
        </w:rPr>
        <w:t xml:space="preserve">short-course walk speed (a component of the </w:t>
      </w:r>
      <w:r w:rsidRPr="00842651">
        <w:rPr>
          <w:color w:val="auto"/>
        </w:rPr>
        <w:t>SPPB</w:t>
      </w:r>
      <w:r w:rsidRPr="00FE7622">
        <w:rPr>
          <w:color w:val="auto"/>
        </w:rPr>
        <w:t xml:space="preserve">) was analysed instead. </w:t>
      </w:r>
      <w:r w:rsidR="00E038BF" w:rsidRPr="00FE7622">
        <w:rPr>
          <w:i/>
          <w:color w:val="FF0000"/>
        </w:rPr>
        <w:t>Figure 15</w:t>
      </w:r>
      <w:r w:rsidRPr="00FE7622">
        <w:rPr>
          <w:color w:val="auto"/>
        </w:rPr>
        <w:t xml:space="preserve"> shows the pooled effect on short-course walk speed. No significant beneficial treatment effect was evident, although the 95%</w:t>
      </w:r>
      <w:r w:rsidR="000901B7" w:rsidRPr="00FE7622">
        <w:rPr>
          <w:color w:val="auto"/>
        </w:rPr>
        <w:t xml:space="preserve"> </w:t>
      </w:r>
      <w:r w:rsidRPr="00842651">
        <w:rPr>
          <w:color w:val="auto"/>
        </w:rPr>
        <w:t>CI</w:t>
      </w:r>
      <w:r w:rsidRPr="00FE7622">
        <w:rPr>
          <w:color w:val="auto"/>
        </w:rPr>
        <w:t xml:space="preserve"> does not exclude the </w:t>
      </w:r>
      <w:r w:rsidRPr="00842651">
        <w:rPr>
          <w:color w:val="auto"/>
        </w:rPr>
        <w:t>MCID</w:t>
      </w:r>
      <w:r w:rsidRPr="00FE7622">
        <w:rPr>
          <w:color w:val="auto"/>
        </w:rPr>
        <w:t xml:space="preserve"> of 0.05 to 0.1 m/s</w:t>
      </w:r>
      <w:r w:rsidR="005A2E53" w:rsidRPr="00FE7622">
        <w:rPr>
          <w:color w:val="auto"/>
        </w:rPr>
        <w:t>econd</w:t>
      </w:r>
      <w:r w:rsidRPr="00FE7622">
        <w:rPr>
          <w:color w:val="auto"/>
        </w:rPr>
        <w:t xml:space="preserve"> suggested </w:t>
      </w:r>
      <w:r w:rsidR="000901B7" w:rsidRPr="00FE7622">
        <w:rPr>
          <w:color w:val="auto"/>
        </w:rPr>
        <w:t>in</w:t>
      </w:r>
      <w:r w:rsidRPr="00FE7622">
        <w:rPr>
          <w:color w:val="auto"/>
        </w:rPr>
        <w:t xml:space="preserve"> previous work.</w:t>
      </w:r>
      <w:r w:rsidR="00E038BF" w:rsidRPr="00FE7622">
        <w:rPr>
          <w:color w:val="auto"/>
          <w:vertAlign w:val="superscript"/>
        </w:rPr>
        <w:t>69</w:t>
      </w:r>
    </w:p>
    <w:p w14:paraId="38BE6454" w14:textId="2E61FB6C" w:rsidR="00F026E8" w:rsidRPr="00FE7622" w:rsidRDefault="00E038BF" w:rsidP="00F026E8">
      <w:pPr>
        <w:pStyle w:val="81FigurelegendTableFigureBoxstyles"/>
        <w:rPr>
          <w:lang w:val="en-GB"/>
        </w:rPr>
      </w:pPr>
      <w:r w:rsidRPr="00FE7622">
        <w:rPr>
          <w:b/>
        </w:rPr>
        <w:t>FIGURE 15</w:t>
      </w:r>
      <w:r w:rsidRPr="00FE7622">
        <w:rPr>
          <w:b/>
        </w:rPr>
        <w:t> </w:t>
      </w:r>
      <w:r w:rsidR="00F026E8" w:rsidRPr="00FE7622">
        <w:rPr>
          <w:lang w:val="en-GB"/>
        </w:rPr>
        <w:t xml:space="preserve">Meta-analysis of effect of </w:t>
      </w:r>
      <w:r w:rsidR="005A2E53" w:rsidRPr="00FE7622">
        <w:rPr>
          <w:lang w:val="en-GB"/>
        </w:rPr>
        <w:t>l</w:t>
      </w:r>
      <w:r w:rsidR="00F026E8" w:rsidRPr="00FE7622">
        <w:rPr>
          <w:lang w:val="en-GB"/>
        </w:rPr>
        <w:t>eucine on walk speed (in m/s</w:t>
      </w:r>
      <w:r w:rsidR="005A2E53" w:rsidRPr="00FE7622">
        <w:rPr>
          <w:lang w:val="en-GB"/>
        </w:rPr>
        <w:t>econd</w:t>
      </w:r>
      <w:r w:rsidR="00F026E8" w:rsidRPr="00FE7622">
        <w:rPr>
          <w:lang w:val="en-GB"/>
        </w:rPr>
        <w:t>)</w:t>
      </w:r>
      <w:r w:rsidR="005A2E53" w:rsidRPr="00FE7622">
        <w:rPr>
          <w:lang w:val="en-GB"/>
        </w:rPr>
        <w:t>.</w:t>
      </w:r>
    </w:p>
    <w:p w14:paraId="00355DAA" w14:textId="5C20A2CF" w:rsidR="00E038BF" w:rsidRPr="00FE7622" w:rsidRDefault="00E038BF" w:rsidP="00924DF2">
      <w:pPr>
        <w:pStyle w:val="53BheadHeadingsHeadingstyles"/>
      </w:pPr>
      <w:bookmarkStart w:id="119" w:name="_Toc79684542"/>
      <w:r w:rsidRPr="00FE7622">
        <w:t>Effect on quadriceps strength</w:t>
      </w:r>
      <w:bookmarkEnd w:id="119"/>
    </w:p>
    <w:p w14:paraId="7342E8FC" w14:textId="7422CA88" w:rsidR="00F026E8" w:rsidRPr="00FE7622" w:rsidRDefault="00E038BF" w:rsidP="00924DF2">
      <w:pPr>
        <w:pStyle w:val="602TextfoTextstylesTextstyles"/>
        <w:rPr>
          <w:color w:val="auto"/>
        </w:rPr>
      </w:pPr>
      <w:r w:rsidRPr="00FE7622">
        <w:rPr>
          <w:i/>
          <w:color w:val="FF0000"/>
        </w:rPr>
        <w:t>Figure 16</w:t>
      </w:r>
      <w:r w:rsidR="00F026E8" w:rsidRPr="00FE7622">
        <w:rPr>
          <w:color w:val="auto"/>
        </w:rPr>
        <w:t xml:space="preserve"> shows the pooled effect on quadriceps strength. Again, no significant beneficial treatment effect was seen, and a clinically important effect is unlikely given </w:t>
      </w:r>
      <w:r w:rsidR="008B4FC3" w:rsidRPr="00FE7622">
        <w:rPr>
          <w:color w:val="auto"/>
        </w:rPr>
        <w:t xml:space="preserve">the </w:t>
      </w:r>
      <w:r w:rsidR="00F026E8" w:rsidRPr="00FE7622">
        <w:rPr>
          <w:color w:val="auto"/>
        </w:rPr>
        <w:t xml:space="preserve">estimations of the </w:t>
      </w:r>
      <w:r w:rsidR="00F026E8" w:rsidRPr="00842651">
        <w:rPr>
          <w:color w:val="auto"/>
        </w:rPr>
        <w:t>MCID</w:t>
      </w:r>
      <w:r w:rsidR="00F026E8" w:rsidRPr="00FE7622">
        <w:rPr>
          <w:color w:val="auto"/>
        </w:rPr>
        <w:t xml:space="preserve"> from other conditions.</w:t>
      </w:r>
      <w:r w:rsidRPr="00FE7622">
        <w:rPr>
          <w:color w:val="auto"/>
          <w:vertAlign w:val="superscript"/>
        </w:rPr>
        <w:t>86</w:t>
      </w:r>
    </w:p>
    <w:p w14:paraId="68F1138A" w14:textId="46B6CA89" w:rsidR="00F026E8" w:rsidRPr="00FE7622" w:rsidRDefault="00E038BF" w:rsidP="00F026E8">
      <w:pPr>
        <w:pStyle w:val="81FigurelegendTableFigureBoxstyles"/>
        <w:rPr>
          <w:lang w:val="en-GB"/>
        </w:rPr>
      </w:pPr>
      <w:r w:rsidRPr="00FE7622">
        <w:rPr>
          <w:b/>
        </w:rPr>
        <w:t>FIGURE 16</w:t>
      </w:r>
      <w:r w:rsidRPr="00FE7622">
        <w:rPr>
          <w:b/>
        </w:rPr>
        <w:t> </w:t>
      </w:r>
      <w:r w:rsidR="00F026E8" w:rsidRPr="00FE7622">
        <w:rPr>
          <w:lang w:val="en-GB"/>
        </w:rPr>
        <w:t xml:space="preserve">Meta-analysis of effect of </w:t>
      </w:r>
      <w:r w:rsidR="005A2E53" w:rsidRPr="00FE7622">
        <w:rPr>
          <w:lang w:val="en-GB"/>
        </w:rPr>
        <w:t>l</w:t>
      </w:r>
      <w:r w:rsidR="00F026E8" w:rsidRPr="00FE7622">
        <w:rPr>
          <w:lang w:val="en-GB"/>
        </w:rPr>
        <w:t>eucine on quadriceps strength (in kg)</w:t>
      </w:r>
      <w:r w:rsidR="005A2E53" w:rsidRPr="00FE7622">
        <w:rPr>
          <w:lang w:val="en-GB"/>
        </w:rPr>
        <w:t>.</w:t>
      </w:r>
    </w:p>
    <w:p w14:paraId="34EC1A53" w14:textId="2E7763F9" w:rsidR="00E038BF" w:rsidRPr="00FE7622" w:rsidRDefault="00E038BF" w:rsidP="00924DF2">
      <w:pPr>
        <w:pStyle w:val="53BheadHeadingsHeadingstyles"/>
      </w:pPr>
      <w:bookmarkStart w:id="120" w:name="_Toc79684543"/>
      <w:r w:rsidRPr="00FE7622">
        <w:t>Effect on handgrip strength</w:t>
      </w:r>
      <w:bookmarkEnd w:id="120"/>
    </w:p>
    <w:p w14:paraId="01A16B21" w14:textId="75C0AC4E" w:rsidR="00F026E8" w:rsidRPr="00FE7622" w:rsidRDefault="00E038BF" w:rsidP="00924DF2">
      <w:pPr>
        <w:pStyle w:val="602TextfoTextstylesTextstyles"/>
        <w:rPr>
          <w:color w:val="auto"/>
        </w:rPr>
      </w:pPr>
      <w:r w:rsidRPr="00FE7622">
        <w:rPr>
          <w:i/>
          <w:color w:val="FF0000"/>
        </w:rPr>
        <w:t>Figure 17</w:t>
      </w:r>
      <w:r w:rsidR="00F026E8" w:rsidRPr="00FE7622">
        <w:rPr>
          <w:color w:val="auto"/>
        </w:rPr>
        <w:t xml:space="preserve"> shows the pooled effect on maximum handgrip strength. No significant beneficial treatment effect was seen, and the upper bound of the 95%</w:t>
      </w:r>
      <w:r w:rsidR="005A2E53" w:rsidRPr="00FE7622">
        <w:rPr>
          <w:color w:val="auto"/>
        </w:rPr>
        <w:t xml:space="preserve"> </w:t>
      </w:r>
      <w:r w:rsidR="00F026E8" w:rsidRPr="00842651">
        <w:rPr>
          <w:color w:val="auto"/>
        </w:rPr>
        <w:t>CI</w:t>
      </w:r>
      <w:r w:rsidR="00F026E8" w:rsidRPr="00FE7622">
        <w:rPr>
          <w:color w:val="auto"/>
        </w:rPr>
        <w:t xml:space="preserve"> excludes all but the most conservative estimates of the </w:t>
      </w:r>
      <w:r w:rsidR="00F026E8" w:rsidRPr="00842651">
        <w:rPr>
          <w:color w:val="auto"/>
        </w:rPr>
        <w:t>MCID</w:t>
      </w:r>
      <w:r w:rsidR="00F026E8" w:rsidRPr="00FE7622">
        <w:rPr>
          <w:color w:val="auto"/>
        </w:rPr>
        <w:t xml:space="preserve"> (range 0.84</w:t>
      </w:r>
      <w:r w:rsidR="005A2E53" w:rsidRPr="00FE7622">
        <w:rPr>
          <w:color w:val="auto"/>
        </w:rPr>
        <w:t>–</w:t>
      </w:r>
      <w:r w:rsidR="00F026E8" w:rsidRPr="00FE7622">
        <w:rPr>
          <w:color w:val="auto"/>
        </w:rPr>
        <w:t xml:space="preserve">6.5 kg) proposed </w:t>
      </w:r>
      <w:r w:rsidR="000901B7" w:rsidRPr="00FE7622">
        <w:rPr>
          <w:color w:val="auto"/>
        </w:rPr>
        <w:t>in</w:t>
      </w:r>
      <w:r w:rsidR="00F026E8" w:rsidRPr="00FE7622">
        <w:rPr>
          <w:color w:val="auto"/>
        </w:rPr>
        <w:t xml:space="preserve"> a recent meta-analysis</w:t>
      </w:r>
      <w:r w:rsidRPr="00FE7622">
        <w:rPr>
          <w:color w:val="auto"/>
          <w:vertAlign w:val="superscript"/>
        </w:rPr>
        <w:t>87</w:t>
      </w:r>
      <w:r w:rsidR="00F026E8" w:rsidRPr="00FE7622">
        <w:rPr>
          <w:color w:val="auto"/>
        </w:rPr>
        <w:t xml:space="preserve"> of handgrip strength measurement properties.</w:t>
      </w:r>
    </w:p>
    <w:p w14:paraId="28977555" w14:textId="1A5F3D31" w:rsidR="00F026E8" w:rsidRPr="00FE7622" w:rsidRDefault="00E038BF" w:rsidP="00F026E8">
      <w:pPr>
        <w:pStyle w:val="81FigurelegendTableFigureBoxstyles"/>
        <w:rPr>
          <w:lang w:val="en-GB"/>
        </w:rPr>
      </w:pPr>
      <w:r w:rsidRPr="00FE7622">
        <w:rPr>
          <w:b/>
        </w:rPr>
        <w:t>FIGURE 17</w:t>
      </w:r>
      <w:r w:rsidRPr="00FE7622">
        <w:rPr>
          <w:b/>
        </w:rPr>
        <w:t> </w:t>
      </w:r>
      <w:r w:rsidR="00F026E8" w:rsidRPr="00FE7622">
        <w:rPr>
          <w:lang w:val="en-GB"/>
        </w:rPr>
        <w:t xml:space="preserve">Meta-analysis of effect of </w:t>
      </w:r>
      <w:r w:rsidR="005A2E53" w:rsidRPr="00FE7622">
        <w:rPr>
          <w:lang w:val="en-GB"/>
        </w:rPr>
        <w:t>l</w:t>
      </w:r>
      <w:r w:rsidR="00F026E8" w:rsidRPr="00FE7622">
        <w:rPr>
          <w:lang w:val="en-GB"/>
        </w:rPr>
        <w:t>eucine on handgrip strength (in kg)</w:t>
      </w:r>
      <w:r w:rsidR="005A2E53" w:rsidRPr="00FE7622">
        <w:rPr>
          <w:lang w:val="en-GB"/>
        </w:rPr>
        <w:t>.</w:t>
      </w:r>
    </w:p>
    <w:p w14:paraId="1AC4125C" w14:textId="1BF41B3D" w:rsidR="00E038BF" w:rsidRPr="00FE7622" w:rsidRDefault="00E038BF" w:rsidP="00924DF2">
      <w:pPr>
        <w:pStyle w:val="53BheadHeadingsHeadingstyles"/>
      </w:pPr>
      <w:bookmarkStart w:id="121" w:name="_Toc79684544"/>
      <w:r w:rsidRPr="00FE7622">
        <w:t>Effect on 6-minute walk distance</w:t>
      </w:r>
      <w:bookmarkEnd w:id="121"/>
    </w:p>
    <w:p w14:paraId="35D0E6E5" w14:textId="7B9F1190" w:rsidR="00F026E8" w:rsidRPr="00FE7622" w:rsidRDefault="00E038BF" w:rsidP="00924DF2">
      <w:pPr>
        <w:pStyle w:val="602TextfoTextstylesTextstyles"/>
        <w:rPr>
          <w:color w:val="auto"/>
        </w:rPr>
      </w:pPr>
      <w:r w:rsidRPr="00FE7622">
        <w:rPr>
          <w:i/>
          <w:color w:val="FF0000"/>
        </w:rPr>
        <w:t>Figure 18</w:t>
      </w:r>
      <w:r w:rsidR="00F026E8" w:rsidRPr="00FE7622">
        <w:rPr>
          <w:color w:val="auto"/>
        </w:rPr>
        <w:t xml:space="preserve"> shows the pooled effect on the </w:t>
      </w:r>
      <w:r w:rsidR="005A2E53" w:rsidRPr="00FE7622">
        <w:rPr>
          <w:color w:val="auto"/>
        </w:rPr>
        <w:t>6</w:t>
      </w:r>
      <w:r w:rsidR="00F026E8" w:rsidRPr="00FE7622">
        <w:rPr>
          <w:color w:val="auto"/>
        </w:rPr>
        <w:t>-minute walk distance. No significant beneficial effect was seen, but</w:t>
      </w:r>
      <w:r w:rsidR="000901B7" w:rsidRPr="00FE7622">
        <w:rPr>
          <w:color w:val="auto"/>
        </w:rPr>
        <w:t>,</w:t>
      </w:r>
      <w:r w:rsidR="00F026E8" w:rsidRPr="00FE7622">
        <w:rPr>
          <w:color w:val="auto"/>
        </w:rPr>
        <w:t xml:space="preserve"> as with the perindopril analysis, the 95%</w:t>
      </w:r>
      <w:r w:rsidR="000901B7" w:rsidRPr="00FE7622">
        <w:rPr>
          <w:color w:val="auto"/>
        </w:rPr>
        <w:t xml:space="preserve"> </w:t>
      </w:r>
      <w:r w:rsidR="00F026E8" w:rsidRPr="00842651">
        <w:rPr>
          <w:color w:val="auto"/>
        </w:rPr>
        <w:t>CI</w:t>
      </w:r>
      <w:r w:rsidR="00F026E8" w:rsidRPr="00FE7622">
        <w:rPr>
          <w:color w:val="auto"/>
        </w:rPr>
        <w:t xml:space="preserve"> does not exclude the </w:t>
      </w:r>
      <w:r w:rsidR="000901B7" w:rsidRPr="00842651">
        <w:rPr>
          <w:color w:val="auto"/>
        </w:rPr>
        <w:t>MCID</w:t>
      </w:r>
      <w:r w:rsidR="00F026E8" w:rsidRPr="00FE7622">
        <w:rPr>
          <w:color w:val="auto"/>
        </w:rPr>
        <w:t xml:space="preserve"> of 20 m proposed for this measure in older people.</w:t>
      </w:r>
      <w:r w:rsidRPr="00FE7622">
        <w:rPr>
          <w:color w:val="auto"/>
          <w:vertAlign w:val="superscript"/>
        </w:rPr>
        <w:t>69</w:t>
      </w:r>
    </w:p>
    <w:p w14:paraId="2A36BD27" w14:textId="723060B4" w:rsidR="00F026E8" w:rsidRPr="00FE7622" w:rsidRDefault="00E038BF" w:rsidP="00F026E8">
      <w:pPr>
        <w:pStyle w:val="81FigurelegendTableFigureBoxstyles"/>
        <w:rPr>
          <w:lang w:val="en-GB"/>
        </w:rPr>
      </w:pPr>
      <w:r w:rsidRPr="00FE7622">
        <w:rPr>
          <w:b/>
        </w:rPr>
        <w:t>FIGURE 18</w:t>
      </w:r>
      <w:r w:rsidRPr="00FE7622">
        <w:rPr>
          <w:b/>
        </w:rPr>
        <w:t> </w:t>
      </w:r>
      <w:r w:rsidR="00F026E8" w:rsidRPr="00FE7622">
        <w:rPr>
          <w:lang w:val="en-GB"/>
        </w:rPr>
        <w:t xml:space="preserve">Meta-analysis of effect of </w:t>
      </w:r>
      <w:r w:rsidR="005A2E53" w:rsidRPr="00FE7622">
        <w:rPr>
          <w:lang w:val="en-GB"/>
        </w:rPr>
        <w:t>l</w:t>
      </w:r>
      <w:r w:rsidR="00F026E8" w:rsidRPr="00FE7622">
        <w:rPr>
          <w:lang w:val="en-GB"/>
        </w:rPr>
        <w:t xml:space="preserve">eucine on </w:t>
      </w:r>
      <w:r w:rsidR="005A2E53" w:rsidRPr="00FE7622">
        <w:rPr>
          <w:lang w:val="en-GB"/>
        </w:rPr>
        <w:t>6</w:t>
      </w:r>
      <w:r w:rsidR="00F026E8" w:rsidRPr="00FE7622">
        <w:rPr>
          <w:lang w:val="en-GB"/>
        </w:rPr>
        <w:t>-minute walk distance (in metres)</w:t>
      </w:r>
      <w:r w:rsidR="005A2E53" w:rsidRPr="00FE7622">
        <w:rPr>
          <w:lang w:val="en-GB"/>
        </w:rPr>
        <w:t>.</w:t>
      </w:r>
    </w:p>
    <w:p w14:paraId="50AB3A85" w14:textId="7DFC5971" w:rsidR="00E038BF" w:rsidRPr="00FE7622" w:rsidRDefault="00E038BF" w:rsidP="00924DF2">
      <w:pPr>
        <w:pStyle w:val="53BheadHeadingsHeadingstyles"/>
      </w:pPr>
      <w:bookmarkStart w:id="122" w:name="_Toc79684545"/>
      <w:r w:rsidRPr="00FE7622">
        <w:t>Effect on skeletal muscle mass</w:t>
      </w:r>
      <w:bookmarkEnd w:id="122"/>
    </w:p>
    <w:p w14:paraId="477F7C24" w14:textId="44FAD9BE" w:rsidR="00F026E8" w:rsidRPr="00FE7622" w:rsidRDefault="00E038BF" w:rsidP="00924DF2">
      <w:pPr>
        <w:pStyle w:val="602TextfoTextstylesTextstyles"/>
        <w:rPr>
          <w:color w:val="auto"/>
        </w:rPr>
      </w:pPr>
      <w:r w:rsidRPr="00FE7622">
        <w:rPr>
          <w:i/>
          <w:color w:val="FF0000"/>
        </w:rPr>
        <w:t>Figure 19</w:t>
      </w:r>
      <w:r w:rsidR="00F026E8" w:rsidRPr="00FE7622">
        <w:rPr>
          <w:color w:val="auto"/>
        </w:rPr>
        <w:t xml:space="preserve"> shows the pooled effect on skeletal muscle mass. Standardised mean difference is presented, as a number of different indices of lean mass (including total lean mass, bone-free lean mass and appendicular skeletal muscle mass) were used in contributing studies. No significant effect of leucine on lean mass was seen in this meta-analysis.</w:t>
      </w:r>
    </w:p>
    <w:p w14:paraId="00CA53EA" w14:textId="66802DB4" w:rsidR="00F026E8" w:rsidRPr="00FE7622" w:rsidRDefault="00E038BF" w:rsidP="00F026E8">
      <w:pPr>
        <w:pStyle w:val="81FigurelegendTableFigureBoxstyles"/>
        <w:rPr>
          <w:lang w:val="en-GB"/>
        </w:rPr>
      </w:pPr>
      <w:r w:rsidRPr="00FE7622">
        <w:rPr>
          <w:b/>
        </w:rPr>
        <w:t>FIGURE 19</w:t>
      </w:r>
      <w:r w:rsidRPr="00FE7622">
        <w:rPr>
          <w:b/>
        </w:rPr>
        <w:t> </w:t>
      </w:r>
      <w:r w:rsidRPr="00E038BF">
        <w:rPr>
          <w:b/>
          <w:color w:val="FF00FF"/>
          <w:sz w:val="24"/>
        </w:rPr>
        <w:t>[20]</w:t>
      </w:r>
      <w:commentRangeStart w:id="123"/>
      <w:r w:rsidR="00F026E8" w:rsidRPr="00FE7622">
        <w:rPr>
          <w:lang w:val="en-GB"/>
        </w:rPr>
        <w:t xml:space="preserve">Meta-analysis of effect of </w:t>
      </w:r>
      <w:r w:rsidR="005A2E53" w:rsidRPr="00FE7622">
        <w:rPr>
          <w:lang w:val="en-GB"/>
        </w:rPr>
        <w:t>l</w:t>
      </w:r>
      <w:r w:rsidR="00F026E8" w:rsidRPr="00FE7622">
        <w:rPr>
          <w:lang w:val="en-GB"/>
        </w:rPr>
        <w:t>eucine on lean body mass (z</w:t>
      </w:r>
      <w:r w:rsidR="005A2E53" w:rsidRPr="00FE7622">
        <w:rPr>
          <w:lang w:val="en-GB"/>
        </w:rPr>
        <w:t>-</w:t>
      </w:r>
      <w:r w:rsidR="00F026E8" w:rsidRPr="00FE7622">
        <w:rPr>
          <w:lang w:val="en-GB"/>
        </w:rPr>
        <w:t>scores)</w:t>
      </w:r>
      <w:r w:rsidR="005A2E53" w:rsidRPr="00FE7622">
        <w:rPr>
          <w:lang w:val="en-GB"/>
        </w:rPr>
        <w:t>.</w:t>
      </w:r>
      <w:commentRangeEnd w:id="123"/>
      <w:r w:rsidR="00A12972" w:rsidRPr="00FE7622">
        <w:rPr>
          <w:rStyle w:val="CommentReference"/>
          <w:rFonts w:ascii="Times New Roman" w:hAnsi="Times New Roman" w:cs="Times New Roman"/>
          <w:color w:val="auto"/>
        </w:rPr>
        <w:commentReference w:id="123"/>
      </w:r>
    </w:p>
    <w:p w14:paraId="6D01DB85" w14:textId="2071AA70" w:rsidR="00F026E8" w:rsidRPr="00FE7622" w:rsidRDefault="00F026E8" w:rsidP="00924DF2">
      <w:pPr>
        <w:pStyle w:val="602TextfoTextstylesTextstyles"/>
        <w:rPr>
          <w:rFonts w:ascii="Calibri Light" w:hAnsi="Calibri Light"/>
          <w:color w:val="2E74B5"/>
          <w:sz w:val="32"/>
          <w:szCs w:val="32"/>
        </w:rPr>
      </w:pPr>
      <w:r w:rsidRPr="00FE7622">
        <w:rPr>
          <w:color w:val="auto"/>
        </w:rPr>
        <w:t xml:space="preserve">Similar to the results </w:t>
      </w:r>
      <w:r w:rsidR="00220C7F" w:rsidRPr="00FE7622">
        <w:rPr>
          <w:color w:val="auto"/>
        </w:rPr>
        <w:t>in</w:t>
      </w:r>
      <w:r w:rsidRPr="00FE7622">
        <w:rPr>
          <w:color w:val="auto"/>
        </w:rPr>
        <w:t xml:space="preserve"> </w:t>
      </w:r>
      <w:r w:rsidR="00E038BF" w:rsidRPr="00FE7622">
        <w:rPr>
          <w:i/>
          <w:iCs/>
          <w:color w:val="auto"/>
        </w:rPr>
        <w:t>Chapter 5</w:t>
      </w:r>
      <w:r w:rsidRPr="00FE7622">
        <w:rPr>
          <w:color w:val="auto"/>
        </w:rPr>
        <w:t>, the included studies in these meta-analyses are heterogenous, encompassing healthy and functionally impaired populations. One trial</w:t>
      </w:r>
      <w:r w:rsidR="00E038BF" w:rsidRPr="00FE7622">
        <w:rPr>
          <w:color w:val="auto"/>
          <w:vertAlign w:val="superscript"/>
        </w:rPr>
        <w:t>91</w:t>
      </w:r>
      <w:r w:rsidRPr="00FE7622">
        <w:rPr>
          <w:color w:val="auto"/>
        </w:rPr>
        <w:t xml:space="preserve"> specifically targeted patients with sarcopenia; similar to the </w:t>
      </w:r>
      <w:r w:rsidRPr="00842651">
        <w:rPr>
          <w:color w:val="auto"/>
        </w:rPr>
        <w:t>LACE</w:t>
      </w:r>
      <w:r w:rsidRPr="00FE7622">
        <w:rPr>
          <w:color w:val="auto"/>
        </w:rPr>
        <w:t xml:space="preserve"> trial population</w:t>
      </w:r>
      <w:r w:rsidR="003811C1" w:rsidRPr="00FE7622">
        <w:rPr>
          <w:color w:val="auto"/>
        </w:rPr>
        <w:t>,</w:t>
      </w:r>
      <w:r w:rsidRPr="00FE7622">
        <w:rPr>
          <w:color w:val="auto"/>
        </w:rPr>
        <w:t xml:space="preserve"> this study enrolled patients with low muscle strength but the majority did not have muscle mass below the cut</w:t>
      </w:r>
      <w:r w:rsidR="003811C1" w:rsidRPr="00FE7622">
        <w:rPr>
          <w:color w:val="auto"/>
        </w:rPr>
        <w:t>-</w:t>
      </w:r>
      <w:r w:rsidRPr="00FE7622">
        <w:rPr>
          <w:color w:val="auto"/>
        </w:rPr>
        <w:t>off</w:t>
      </w:r>
      <w:r w:rsidR="003811C1" w:rsidRPr="00FE7622">
        <w:rPr>
          <w:color w:val="auto"/>
        </w:rPr>
        <w:t xml:space="preserve"> value</w:t>
      </w:r>
      <w:r w:rsidRPr="00FE7622">
        <w:rPr>
          <w:color w:val="auto"/>
        </w:rPr>
        <w:t xml:space="preserve"> for a diagnosis of confirmed sarcopenia. Average daily protein intake in all trials where this was reported </w:t>
      </w:r>
      <w:r w:rsidR="00BF5E74" w:rsidRPr="00FE7622">
        <w:rPr>
          <w:color w:val="auto"/>
        </w:rPr>
        <w:t>was</w:t>
      </w:r>
      <w:r w:rsidRPr="00FE7622">
        <w:rPr>
          <w:color w:val="auto"/>
        </w:rPr>
        <w:t xml:space="preserve"> similar, and similar to that found in the </w:t>
      </w:r>
      <w:r w:rsidRPr="00842651">
        <w:rPr>
          <w:color w:val="auto"/>
        </w:rPr>
        <w:t>LACE</w:t>
      </w:r>
      <w:r w:rsidRPr="00FE7622">
        <w:rPr>
          <w:color w:val="auto"/>
        </w:rPr>
        <w:t xml:space="preserve"> trial. Despite the heterogeneity </w:t>
      </w:r>
      <w:r w:rsidR="003811C1" w:rsidRPr="00FE7622">
        <w:rPr>
          <w:color w:val="auto"/>
        </w:rPr>
        <w:t>of</w:t>
      </w:r>
      <w:r w:rsidRPr="00FE7622">
        <w:rPr>
          <w:color w:val="auto"/>
        </w:rPr>
        <w:t xml:space="preserve"> study populations, little heterogeneity </w:t>
      </w:r>
      <w:r w:rsidR="00A271CB" w:rsidRPr="00FE7622">
        <w:rPr>
          <w:color w:val="auto"/>
        </w:rPr>
        <w:t xml:space="preserve">was </w:t>
      </w:r>
      <w:r w:rsidRPr="00FE7622">
        <w:rPr>
          <w:color w:val="auto"/>
        </w:rPr>
        <w:t xml:space="preserve">evident for any of the outcomes included in these meta-analyses. In the absence of individual participant data, it is not possible to examine whether leucine had a larger effect in those with confirmed sarcopenia </w:t>
      </w:r>
      <w:r w:rsidR="000901B7" w:rsidRPr="00FE7622">
        <w:rPr>
          <w:color w:val="auto"/>
        </w:rPr>
        <w:t>than in</w:t>
      </w:r>
      <w:r w:rsidRPr="00FE7622">
        <w:rPr>
          <w:color w:val="auto"/>
        </w:rPr>
        <w:t xml:space="preserve"> those not meeting the criteria for sarcopenia.</w:t>
      </w:r>
    </w:p>
    <w:p w14:paraId="1B7C73AB" w14:textId="155B2FD9" w:rsidR="00E038BF" w:rsidRPr="00FE7622" w:rsidRDefault="00E038BF" w:rsidP="00924DF2">
      <w:pPr>
        <w:pStyle w:val="43ChaptertitleHeadingsHeadingstyles"/>
      </w:pPr>
      <w:bookmarkStart w:id="124" w:name="_Toc79684546"/>
      <w:r w:rsidRPr="00FE7622">
        <w:t>Chapter 7</w:t>
      </w:r>
      <w:r w:rsidRPr="00FE7622">
        <w:t> </w:t>
      </w:r>
      <w:r w:rsidRPr="00FE7622">
        <w:t>Biomarker studies</w:t>
      </w:r>
      <w:bookmarkEnd w:id="124"/>
    </w:p>
    <w:p w14:paraId="106E2E02" w14:textId="77777777" w:rsidR="00E038BF" w:rsidRPr="00FE7622" w:rsidRDefault="00E038BF" w:rsidP="00924DF2">
      <w:pPr>
        <w:pStyle w:val="52AheadHeadingsHeadingstyles"/>
      </w:pPr>
      <w:bookmarkStart w:id="125" w:name="_Toc79684547"/>
      <w:r w:rsidRPr="00FE7622">
        <w:t>Focus of chapter</w:t>
      </w:r>
      <w:bookmarkEnd w:id="125"/>
    </w:p>
    <w:p w14:paraId="21A285DD" w14:textId="5E6650DE" w:rsidR="00F026E8" w:rsidRPr="00FE7622" w:rsidRDefault="00F026E8" w:rsidP="00924DF2">
      <w:pPr>
        <w:pStyle w:val="602TextfoTextstylesTextstyles"/>
        <w:rPr>
          <w:color w:val="auto"/>
        </w:rPr>
      </w:pPr>
      <w:r w:rsidRPr="00FE7622">
        <w:rPr>
          <w:color w:val="auto"/>
        </w:rPr>
        <w:t xml:space="preserve">The pathophysiology of sarcopenia remains incompletely understood, and the mechanism component of the </w:t>
      </w:r>
      <w:r w:rsidRPr="00842651">
        <w:rPr>
          <w:color w:val="auto"/>
        </w:rPr>
        <w:t>LACE</w:t>
      </w:r>
      <w:r w:rsidRPr="00FE7622">
        <w:rPr>
          <w:color w:val="auto"/>
        </w:rPr>
        <w:t xml:space="preserve"> </w:t>
      </w:r>
      <w:r w:rsidR="003811C1" w:rsidRPr="00FE7622">
        <w:rPr>
          <w:color w:val="auto"/>
        </w:rPr>
        <w:t>trial</w:t>
      </w:r>
      <w:r w:rsidRPr="00FE7622">
        <w:rPr>
          <w:color w:val="auto"/>
        </w:rPr>
        <w:t xml:space="preserve"> provided an opportunity to collect biomarkers to further knowledge </w:t>
      </w:r>
      <w:r w:rsidR="00795507" w:rsidRPr="00FE7622">
        <w:rPr>
          <w:color w:val="auto"/>
        </w:rPr>
        <w:t>about</w:t>
      </w:r>
      <w:r w:rsidRPr="00FE7622">
        <w:rPr>
          <w:color w:val="auto"/>
        </w:rPr>
        <w:t xml:space="preserve"> the biology of sarcopenia, but also to potentially improve participant selection and therapeutic targeting for future trials. A range of blood-based biomarkers, covering growth factors, renin-angiotensin system activity, inflammation, genotypes relevant to skeletal muscle function and </w:t>
      </w:r>
      <w:r w:rsidRPr="00842651">
        <w:rPr>
          <w:color w:val="auto"/>
        </w:rPr>
        <w:t>miRNA</w:t>
      </w:r>
      <w:r w:rsidR="002A7E2D" w:rsidRPr="00842651">
        <w:rPr>
          <w:color w:val="auto"/>
        </w:rPr>
        <w:t>s</w:t>
      </w:r>
      <w:r w:rsidRPr="00FE7622">
        <w:rPr>
          <w:color w:val="auto"/>
        </w:rPr>
        <w:t xml:space="preserve"> previously shown to play a role in muscle biology, were collected to reflect the breadth of mechanisms implicated in sarcopenia. One originally planned analysis (using biomarkers to identify responders to the trial interventions in </w:t>
      </w:r>
      <w:r w:rsidR="00EC6603" w:rsidRPr="00FE7622">
        <w:rPr>
          <w:color w:val="auto"/>
        </w:rPr>
        <w:t xml:space="preserve">a </w:t>
      </w:r>
      <w:r w:rsidRPr="00FE7622">
        <w:rPr>
          <w:color w:val="auto"/>
        </w:rPr>
        <w:t>post</w:t>
      </w:r>
      <w:r w:rsidR="00EC6603" w:rsidRPr="00FE7622">
        <w:rPr>
          <w:color w:val="auto"/>
        </w:rPr>
        <w:t xml:space="preserve"> </w:t>
      </w:r>
      <w:r w:rsidRPr="00FE7622">
        <w:rPr>
          <w:color w:val="auto"/>
        </w:rPr>
        <w:t xml:space="preserve">hoc analysis) was not performed for this report </w:t>
      </w:r>
      <w:r w:rsidR="00C0588C" w:rsidRPr="00FE7622">
        <w:rPr>
          <w:color w:val="auto"/>
        </w:rPr>
        <w:t>because of</w:t>
      </w:r>
      <w:r w:rsidRPr="00FE7622">
        <w:rPr>
          <w:color w:val="auto"/>
        </w:rPr>
        <w:t xml:space="preserve"> the lower than anticipated recruitment and the lack of overall effect of the interventions.</w:t>
      </w:r>
    </w:p>
    <w:p w14:paraId="72F63E42" w14:textId="43A45E88" w:rsidR="00F026E8" w:rsidRPr="00FE7622" w:rsidRDefault="00F026E8" w:rsidP="00924DF2">
      <w:pPr>
        <w:pStyle w:val="602TextfoTextstylesTextstyles"/>
        <w:rPr>
          <w:color w:val="auto"/>
        </w:rPr>
      </w:pPr>
      <w:r w:rsidRPr="00FE7622">
        <w:rPr>
          <w:color w:val="auto"/>
        </w:rPr>
        <w:t xml:space="preserve">A key use </w:t>
      </w:r>
      <w:r w:rsidR="003811C1" w:rsidRPr="00FE7622">
        <w:rPr>
          <w:color w:val="auto"/>
        </w:rPr>
        <w:t>of</w:t>
      </w:r>
      <w:r w:rsidRPr="00FE7622">
        <w:rPr>
          <w:color w:val="auto"/>
        </w:rPr>
        <w:t xml:space="preserve"> circulating biomarkers in sarcopenia trials is to act as surrogates for changes in physical performance and muscle mass. Successful circulating biomarkers could substitute for these outcomes (for ease of measurement), can predict participants at risk of decline (enabling interventions to be targeted </w:t>
      </w:r>
      <w:r w:rsidR="002B71B4" w:rsidRPr="00FE7622">
        <w:rPr>
          <w:color w:val="auto"/>
        </w:rPr>
        <w:t>to</w:t>
      </w:r>
      <w:r w:rsidRPr="00FE7622">
        <w:rPr>
          <w:color w:val="auto"/>
        </w:rPr>
        <w:t xml:space="preserve"> those at highest risk) or can be used as surrogates in short-term trials to predict longer-term changes in muscle mass and strength.</w:t>
      </w:r>
      <w:r w:rsidR="00E038BF" w:rsidRPr="00FE7622">
        <w:rPr>
          <w:color w:val="auto"/>
          <w:vertAlign w:val="superscript"/>
        </w:rPr>
        <w:t>8</w:t>
      </w:r>
      <w:r w:rsidRPr="00FE7622">
        <w:rPr>
          <w:color w:val="auto"/>
        </w:rPr>
        <w:t xml:space="preserve"> This chapter</w:t>
      </w:r>
      <w:r w:rsidR="00971512" w:rsidRPr="00FE7622">
        <w:rPr>
          <w:color w:val="auto"/>
        </w:rPr>
        <w:t>,</w:t>
      </w:r>
      <w:r w:rsidRPr="00FE7622">
        <w:rPr>
          <w:color w:val="auto"/>
        </w:rPr>
        <w:t xml:space="preserve"> therefore</w:t>
      </w:r>
      <w:r w:rsidR="00971512" w:rsidRPr="00FE7622">
        <w:rPr>
          <w:color w:val="auto"/>
        </w:rPr>
        <w:t>,</w:t>
      </w:r>
      <w:r w:rsidRPr="00FE7622">
        <w:rPr>
          <w:color w:val="auto"/>
        </w:rPr>
        <w:t xml:space="preserve"> presents analyses of the relationship between baseline biomarker concentrations and baseline physical performance and muscle mass, but </w:t>
      </w:r>
      <w:r w:rsidR="00124083" w:rsidRPr="00FE7622">
        <w:rPr>
          <w:color w:val="auto"/>
        </w:rPr>
        <w:t xml:space="preserve">it </w:t>
      </w:r>
      <w:r w:rsidRPr="00FE7622">
        <w:rPr>
          <w:color w:val="auto"/>
        </w:rPr>
        <w:t xml:space="preserve">also presents analyses of whether </w:t>
      </w:r>
      <w:r w:rsidR="003811C1" w:rsidRPr="00FE7622">
        <w:rPr>
          <w:color w:val="auto"/>
        </w:rPr>
        <w:t xml:space="preserve">or not </w:t>
      </w:r>
      <w:r w:rsidRPr="00FE7622">
        <w:rPr>
          <w:color w:val="auto"/>
        </w:rPr>
        <w:t xml:space="preserve">baseline and short-term changes in biomarkers can predict longer-term changes in physical performance and muscle mass. The methods used for these analyses are outlined in </w:t>
      </w:r>
      <w:r w:rsidR="00E038BF" w:rsidRPr="00FE7622">
        <w:rPr>
          <w:i/>
          <w:iCs/>
          <w:color w:val="auto"/>
        </w:rPr>
        <w:t>Chapter 3</w:t>
      </w:r>
      <w:r w:rsidRPr="00FE7622">
        <w:rPr>
          <w:color w:val="auto"/>
        </w:rPr>
        <w:t>.</w:t>
      </w:r>
    </w:p>
    <w:p w14:paraId="03457942" w14:textId="2B3A3BC1" w:rsidR="00E038BF" w:rsidRPr="00FE7622" w:rsidRDefault="00E038BF" w:rsidP="00924DF2">
      <w:pPr>
        <w:pStyle w:val="52AheadHeadingsHeadingstyles"/>
      </w:pPr>
      <w:bookmarkStart w:id="126" w:name="_Toc79684548"/>
      <w:r w:rsidRPr="00FE7622">
        <w:t>Association between baseline biomarkers and baseline muscle measures</w:t>
      </w:r>
      <w:bookmarkEnd w:id="126"/>
    </w:p>
    <w:p w14:paraId="262E9CEE" w14:textId="163945DE" w:rsidR="00F026E8" w:rsidRPr="00FE7622" w:rsidRDefault="00E038BF" w:rsidP="00924DF2">
      <w:pPr>
        <w:pStyle w:val="602TextfoTextstylesTextstyles"/>
        <w:rPr>
          <w:color w:val="auto"/>
        </w:rPr>
      </w:pPr>
      <w:r w:rsidRPr="00FE7622">
        <w:rPr>
          <w:i/>
          <w:color w:val="FF0000"/>
        </w:rPr>
        <w:t>Table 17</w:t>
      </w:r>
      <w:r w:rsidR="00F026E8" w:rsidRPr="00FE7622">
        <w:rPr>
          <w:color w:val="auto"/>
        </w:rPr>
        <w:t xml:space="preserve"> shows the baseline associations between all biomarkers and measures of baseline physical performance and muscle mass. Renin, GDF-15 and insulin showed the most consistent associations, although for baseline muscle mass only the association with renin reached statistical significance; this association was driven by the known differences between men and women </w:t>
      </w:r>
      <w:r w:rsidR="00E55E0C" w:rsidRPr="00FE7622">
        <w:rPr>
          <w:color w:val="auto"/>
        </w:rPr>
        <w:t>in</w:t>
      </w:r>
      <w:r w:rsidR="00F026E8" w:rsidRPr="00FE7622">
        <w:rPr>
          <w:color w:val="auto"/>
        </w:rPr>
        <w:t xml:space="preserve"> both renin concentrations and muscle mass (men have higher muscle mass and higher renin concentrations than women). </w:t>
      </w:r>
      <w:r w:rsidRPr="00FE7622">
        <w:rPr>
          <w:i/>
          <w:color w:val="FF0000"/>
        </w:rPr>
        <w:t>Figure 20</w:t>
      </w:r>
      <w:r w:rsidR="00F026E8" w:rsidRPr="00FE7622">
        <w:rPr>
          <w:color w:val="auto"/>
        </w:rPr>
        <w:t xml:space="preserve"> shows baseline muscle mass and </w:t>
      </w:r>
      <w:r w:rsidR="00F026E8" w:rsidRPr="00842651">
        <w:rPr>
          <w:color w:val="auto"/>
        </w:rPr>
        <w:t>SPPB</w:t>
      </w:r>
      <w:r w:rsidR="00F026E8" w:rsidRPr="00FE7622">
        <w:rPr>
          <w:color w:val="auto"/>
        </w:rPr>
        <w:t xml:space="preserve"> </w:t>
      </w:r>
      <w:r w:rsidR="00E55E0C" w:rsidRPr="00FE7622">
        <w:rPr>
          <w:color w:val="auto"/>
        </w:rPr>
        <w:t>with</w:t>
      </w:r>
      <w:r w:rsidR="00F026E8" w:rsidRPr="00FE7622">
        <w:rPr>
          <w:color w:val="auto"/>
        </w:rPr>
        <w:t xml:space="preserve"> different allelic variants; no significant differences in either baseline muscle mass or </w:t>
      </w:r>
      <w:r w:rsidR="00F026E8" w:rsidRPr="00842651">
        <w:rPr>
          <w:color w:val="auto"/>
        </w:rPr>
        <w:t>SPPB</w:t>
      </w:r>
      <w:r w:rsidR="00F026E8" w:rsidRPr="00FE7622">
        <w:rPr>
          <w:color w:val="auto"/>
        </w:rPr>
        <w:t xml:space="preserve"> between alleles was found</w:t>
      </w:r>
      <w:r w:rsidR="00E55E0C" w:rsidRPr="00FE7622">
        <w:rPr>
          <w:color w:val="auto"/>
        </w:rPr>
        <w:t>,</w:t>
      </w:r>
      <w:r w:rsidR="00F026E8" w:rsidRPr="00FE7622">
        <w:rPr>
          <w:color w:val="auto"/>
        </w:rPr>
        <w:t xml:space="preserve"> as shown in </w:t>
      </w:r>
      <w:r w:rsidRPr="00FE7622">
        <w:rPr>
          <w:i/>
          <w:iCs/>
          <w:color w:val="auto"/>
        </w:rPr>
        <w:t>Appendix 5</w:t>
      </w:r>
      <w:r w:rsidR="00F026E8" w:rsidRPr="00FE7622">
        <w:rPr>
          <w:color w:val="auto"/>
        </w:rPr>
        <w:t xml:space="preserve">, </w:t>
      </w:r>
      <w:r w:rsidRPr="00FE7622">
        <w:rPr>
          <w:i/>
          <w:color w:val="auto"/>
        </w:rPr>
        <w:t>Tables 24</w:t>
      </w:r>
      <w:r w:rsidR="00F026E8" w:rsidRPr="00FE7622">
        <w:rPr>
          <w:iCs/>
          <w:color w:val="auto"/>
        </w:rPr>
        <w:t>–</w:t>
      </w:r>
      <w:r w:rsidRPr="00FE7622">
        <w:rPr>
          <w:i/>
          <w:color w:val="auto"/>
        </w:rPr>
        <w:t>26</w:t>
      </w:r>
      <w:r w:rsidR="00F026E8" w:rsidRPr="00FE7622">
        <w:rPr>
          <w:color w:val="auto"/>
        </w:rPr>
        <w:t>.</w:t>
      </w:r>
    </w:p>
    <w:p w14:paraId="65471BC5" w14:textId="2E3A1ABC" w:rsidR="00F026E8" w:rsidRPr="00FE7622" w:rsidRDefault="00E038BF" w:rsidP="00F026E8">
      <w:pPr>
        <w:pStyle w:val="70TablelegendTablesTableFigureBoxstyles"/>
        <w:rPr>
          <w:lang w:val="en-GB"/>
        </w:rPr>
      </w:pPr>
      <w:bookmarkStart w:id="127" w:name="_Hlk68848597"/>
      <w:r w:rsidRPr="00FE7622">
        <w:rPr>
          <w:b/>
        </w:rPr>
        <w:t>TABLE 17</w:t>
      </w:r>
      <w:r w:rsidRPr="00FE7622">
        <w:rPr>
          <w:b/>
        </w:rPr>
        <w:t> </w:t>
      </w:r>
      <w:r w:rsidRPr="00E038BF">
        <w:rPr>
          <w:b/>
          <w:color w:val="FF00FF"/>
          <w:sz w:val="24"/>
        </w:rPr>
        <w:t>[21][22]</w:t>
      </w:r>
      <w:commentRangeStart w:id="128"/>
      <w:commentRangeStart w:id="129"/>
      <w:r w:rsidR="00F026E8" w:rsidRPr="00FE7622">
        <w:rPr>
          <w:lang w:val="en-GB"/>
        </w:rPr>
        <w:t xml:space="preserve">Association between baseline biomarkers and baseline measures of physical performance and muscle </w:t>
      </w:r>
      <w:r w:rsidRPr="00E038BF">
        <w:rPr>
          <w:color w:val="FF00FF"/>
          <w:sz w:val="24"/>
          <w:lang w:val="en-GB"/>
        </w:rPr>
        <w:t>[23]</w:t>
      </w:r>
      <w:commentRangeStart w:id="130"/>
      <w:r w:rsidR="00F026E8" w:rsidRPr="00FE7622">
        <w:rPr>
          <w:lang w:val="en-GB"/>
        </w:rPr>
        <w:t>mass</w:t>
      </w:r>
      <w:commentRangeEnd w:id="128"/>
      <w:r w:rsidR="002D6908" w:rsidRPr="00FE7622">
        <w:rPr>
          <w:rStyle w:val="CommentReference"/>
          <w:rFonts w:ascii="Times New Roman" w:hAnsi="Times New Roman" w:cs="Times New Roman"/>
          <w:color w:val="auto"/>
        </w:rPr>
        <w:commentReference w:id="128"/>
      </w:r>
      <w:commentRangeEnd w:id="129"/>
      <w:r w:rsidR="00341640" w:rsidRPr="00FE7622">
        <w:rPr>
          <w:rStyle w:val="CommentReference"/>
          <w:rFonts w:ascii="Times New Roman" w:hAnsi="Times New Roman" w:cs="Times New Roman"/>
          <w:color w:val="auto"/>
        </w:rPr>
        <w:commentReference w:id="129"/>
      </w:r>
      <w:commentRangeEnd w:id="130"/>
      <w:r w:rsidR="00E932D9" w:rsidRPr="00FE7622">
        <w:rPr>
          <w:rStyle w:val="CommentReference"/>
          <w:rFonts w:ascii="Times New Roman" w:hAnsi="Times New Roman" w:cs="Times New Roman"/>
          <w:color w:val="auto"/>
        </w:rPr>
        <w:commentReference w:id="130"/>
      </w:r>
    </w:p>
    <w:p w14:paraId="74012F14" w14:textId="062063E9" w:rsidR="00F026E8" w:rsidRPr="00FE7622" w:rsidRDefault="00E038BF" w:rsidP="00924DF2">
      <w:pPr>
        <w:pStyle w:val="602TextfoTextstylesTextstyles"/>
        <w:rPr>
          <w:b/>
          <w:i/>
          <w:color w:val="FF0000"/>
        </w:rPr>
      </w:pPr>
      <w:r w:rsidRPr="00FE7622">
        <w:rPr>
          <w:b/>
          <w:i/>
          <w:color w:val="FF0000"/>
        </w:rPr>
        <w:t>&lt;&lt;Typesetter please retain shading using journal style colours&gt;&gt;</w:t>
      </w:r>
    </w:p>
    <w:tbl>
      <w:tblPr>
        <w:tblW w:w="0" w:type="auto"/>
        <w:tblCellMar>
          <w:top w:w="40" w:type="dxa"/>
          <w:left w:w="60" w:type="dxa"/>
          <w:bottom w:w="40" w:type="dxa"/>
          <w:right w:w="60" w:type="dxa"/>
        </w:tblCellMar>
        <w:tblLook w:val="04A0" w:firstRow="1" w:lastRow="0" w:firstColumn="1" w:lastColumn="0" w:noHBand="0" w:noVBand="1"/>
      </w:tblPr>
      <w:tblGrid>
        <w:gridCol w:w="1582"/>
        <w:gridCol w:w="1243"/>
        <w:gridCol w:w="1147"/>
        <w:gridCol w:w="1623"/>
        <w:gridCol w:w="1773"/>
        <w:gridCol w:w="1658"/>
      </w:tblGrid>
      <w:tr w:rsidR="008A56CC" w:rsidRPr="00FE7622" w14:paraId="3AD7CB13" w14:textId="77777777" w:rsidTr="00AF19CC">
        <w:trPr>
          <w:cantSplit/>
        </w:trPr>
        <w:tc>
          <w:tcPr>
            <w:tcW w:w="0" w:type="auto"/>
            <w:shd w:val="clear" w:color="auto" w:fill="auto"/>
          </w:tcPr>
          <w:bookmarkEnd w:id="127"/>
          <w:p w14:paraId="6C77FC49" w14:textId="116952A5" w:rsidR="002930D1" w:rsidRPr="00FE7622" w:rsidRDefault="00E038BF" w:rsidP="00AF19CC">
            <w:pPr>
              <w:pStyle w:val="710TableheadTablesTableFigureBoxstyles"/>
            </w:pPr>
            <w:r w:rsidRPr="00FE7622">
              <w:t>Baseline biomarker</w:t>
            </w:r>
          </w:p>
        </w:tc>
        <w:tc>
          <w:tcPr>
            <w:tcW w:w="0" w:type="auto"/>
            <w:shd w:val="clear" w:color="auto" w:fill="auto"/>
          </w:tcPr>
          <w:p w14:paraId="52167D9F" w14:textId="109450AC" w:rsidR="002930D1" w:rsidRPr="00FE7622" w:rsidRDefault="00E038BF" w:rsidP="00AF19CC">
            <w:pPr>
              <w:pStyle w:val="710TableheadTablesTableFigureBoxstyles"/>
            </w:pPr>
            <w:r w:rsidRPr="00FE7622">
              <w:t xml:space="preserve">Baseline </w:t>
            </w:r>
            <w:r w:rsidRPr="00842651">
              <w:t>SPPB</w:t>
            </w:r>
          </w:p>
        </w:tc>
        <w:tc>
          <w:tcPr>
            <w:tcW w:w="0" w:type="auto"/>
            <w:shd w:val="clear" w:color="auto" w:fill="auto"/>
          </w:tcPr>
          <w:p w14:paraId="43DE1567" w14:textId="24E79577" w:rsidR="002930D1" w:rsidRPr="00FE7622" w:rsidRDefault="00E038BF" w:rsidP="00AF19CC">
            <w:pPr>
              <w:pStyle w:val="710TableheadTablesTableFigureBoxstyles"/>
            </w:pPr>
            <w:r w:rsidRPr="00FE7622">
              <w:t>Baseline grip</w:t>
            </w:r>
          </w:p>
        </w:tc>
        <w:tc>
          <w:tcPr>
            <w:tcW w:w="0" w:type="auto"/>
            <w:shd w:val="clear" w:color="auto" w:fill="auto"/>
          </w:tcPr>
          <w:p w14:paraId="39E7E5B0" w14:textId="635DB030" w:rsidR="002930D1" w:rsidRPr="00FE7622" w:rsidRDefault="00E038BF" w:rsidP="00AF19CC">
            <w:pPr>
              <w:pStyle w:val="710TableheadTablesTableFigureBoxstyles"/>
            </w:pPr>
            <w:r w:rsidRPr="00FE7622">
              <w:t>Baseline leg strength</w:t>
            </w:r>
          </w:p>
        </w:tc>
        <w:tc>
          <w:tcPr>
            <w:tcW w:w="0" w:type="auto"/>
            <w:shd w:val="clear" w:color="auto" w:fill="auto"/>
          </w:tcPr>
          <w:p w14:paraId="10635F8A" w14:textId="1C3CFB3E" w:rsidR="002930D1" w:rsidRPr="00FE7622" w:rsidRDefault="00E038BF" w:rsidP="00AF19CC">
            <w:pPr>
              <w:pStyle w:val="710TableheadTablesTableFigureBoxstyles"/>
            </w:pPr>
            <w:r w:rsidRPr="00FE7622">
              <w:t>Baseline 6-minute walk</w:t>
            </w:r>
          </w:p>
        </w:tc>
        <w:tc>
          <w:tcPr>
            <w:tcW w:w="0" w:type="auto"/>
            <w:shd w:val="clear" w:color="auto" w:fill="auto"/>
          </w:tcPr>
          <w:p w14:paraId="09EF4286" w14:textId="6A7F3491" w:rsidR="002930D1" w:rsidRPr="00FE7622" w:rsidRDefault="00E038BF" w:rsidP="00AF19CC">
            <w:pPr>
              <w:pStyle w:val="710TableheadTablesTableFigureBoxstyles"/>
            </w:pPr>
            <w:r w:rsidRPr="00FE7622">
              <w:t>Baseline muscle mass</w:t>
            </w:r>
          </w:p>
        </w:tc>
      </w:tr>
      <w:tr w:rsidR="00C04FEE" w:rsidRPr="00FE7622" w14:paraId="2D3D11EE" w14:textId="77777777" w:rsidTr="00AF19CC">
        <w:trPr>
          <w:cantSplit/>
        </w:trPr>
        <w:tc>
          <w:tcPr>
            <w:tcW w:w="0" w:type="auto"/>
            <w:shd w:val="clear" w:color="auto" w:fill="auto"/>
          </w:tcPr>
          <w:p w14:paraId="03965AD1" w14:textId="77777777" w:rsidR="002930D1" w:rsidRPr="00FE7622" w:rsidRDefault="002930D1" w:rsidP="00AF19CC">
            <w:pPr>
              <w:pStyle w:val="72TabletextTablesTableFigureBoxstyles"/>
              <w:rPr>
                <w:color w:val="auto"/>
              </w:rPr>
            </w:pPr>
            <w:r w:rsidRPr="00FE7622">
              <w:rPr>
                <w:color w:val="auto"/>
              </w:rPr>
              <w:t>GDF-15</w:t>
            </w:r>
          </w:p>
        </w:tc>
        <w:tc>
          <w:tcPr>
            <w:tcW w:w="0" w:type="auto"/>
            <w:shd w:val="clear" w:color="auto" w:fill="FFFF00"/>
          </w:tcPr>
          <w:p w14:paraId="3A26BF45" w14:textId="77777777" w:rsidR="002930D1" w:rsidRPr="00FE7622" w:rsidRDefault="002930D1" w:rsidP="00AF19CC">
            <w:pPr>
              <w:pStyle w:val="72TabletextTablesTableFigureBoxstyles"/>
            </w:pPr>
            <w:r w:rsidRPr="00FE7622">
              <w:rPr>
                <w:color w:val="auto"/>
              </w:rPr>
              <w:t>–0.108</w:t>
            </w:r>
          </w:p>
        </w:tc>
        <w:tc>
          <w:tcPr>
            <w:tcW w:w="0" w:type="auto"/>
            <w:shd w:val="clear" w:color="auto" w:fill="FF0000"/>
          </w:tcPr>
          <w:p w14:paraId="7B848E82" w14:textId="77777777" w:rsidR="002930D1" w:rsidRPr="00FE7622" w:rsidRDefault="002930D1" w:rsidP="00AF19CC">
            <w:pPr>
              <w:pStyle w:val="72TabletextTablesTableFigureBoxstyles"/>
              <w:rPr>
                <w:color w:val="auto"/>
              </w:rPr>
            </w:pPr>
            <w:r w:rsidRPr="00FE7622">
              <w:rPr>
                <w:color w:val="auto"/>
              </w:rPr>
              <w:t>0.013</w:t>
            </w:r>
          </w:p>
        </w:tc>
        <w:tc>
          <w:tcPr>
            <w:tcW w:w="0" w:type="auto"/>
            <w:shd w:val="clear" w:color="auto" w:fill="FF0000"/>
          </w:tcPr>
          <w:p w14:paraId="275C0644" w14:textId="77777777" w:rsidR="002930D1" w:rsidRPr="00FE7622" w:rsidRDefault="002930D1" w:rsidP="00AF19CC">
            <w:pPr>
              <w:pStyle w:val="72TabletextTablesTableFigureBoxstyles"/>
              <w:rPr>
                <w:color w:val="auto"/>
              </w:rPr>
            </w:pPr>
            <w:r w:rsidRPr="00FE7622">
              <w:rPr>
                <w:color w:val="auto"/>
              </w:rPr>
              <w:t>–0.072</w:t>
            </w:r>
          </w:p>
        </w:tc>
        <w:tc>
          <w:tcPr>
            <w:tcW w:w="0" w:type="auto"/>
            <w:shd w:val="clear" w:color="auto" w:fill="FFFF00"/>
          </w:tcPr>
          <w:p w14:paraId="10692E0E" w14:textId="77777777" w:rsidR="002930D1" w:rsidRPr="00FE7622" w:rsidRDefault="002930D1" w:rsidP="00AF19CC">
            <w:pPr>
              <w:pStyle w:val="72TabletextTablesTableFigureBoxstyles"/>
            </w:pPr>
            <w:r w:rsidRPr="00FE7622">
              <w:rPr>
                <w:color w:val="auto"/>
              </w:rPr>
              <w:t>–0.159</w:t>
            </w:r>
          </w:p>
        </w:tc>
        <w:tc>
          <w:tcPr>
            <w:tcW w:w="0" w:type="auto"/>
            <w:shd w:val="clear" w:color="auto" w:fill="FF33CC"/>
          </w:tcPr>
          <w:p w14:paraId="7F63A850" w14:textId="77777777" w:rsidR="002930D1" w:rsidRPr="00FE7622" w:rsidRDefault="002930D1" w:rsidP="00AF19CC">
            <w:pPr>
              <w:pStyle w:val="72TabletextTablesTableFigureBoxstyles"/>
              <w:rPr>
                <w:color w:val="auto"/>
              </w:rPr>
            </w:pPr>
            <w:r w:rsidRPr="00FE7622">
              <w:rPr>
                <w:color w:val="auto"/>
              </w:rPr>
              <w:t>0.175</w:t>
            </w:r>
          </w:p>
        </w:tc>
      </w:tr>
      <w:tr w:rsidR="00C04FEE" w:rsidRPr="00FE7622" w14:paraId="0A74FF65" w14:textId="77777777" w:rsidTr="00AF19CC">
        <w:trPr>
          <w:cantSplit/>
        </w:trPr>
        <w:tc>
          <w:tcPr>
            <w:tcW w:w="0" w:type="auto"/>
            <w:shd w:val="clear" w:color="auto" w:fill="auto"/>
          </w:tcPr>
          <w:p w14:paraId="1AE59D85" w14:textId="676B2CCD" w:rsidR="002930D1" w:rsidRPr="00FE7622" w:rsidRDefault="002930D1" w:rsidP="00AF19CC">
            <w:pPr>
              <w:pStyle w:val="72TabletextTablesTableFigureBoxstyles"/>
              <w:rPr>
                <w:color w:val="auto"/>
              </w:rPr>
            </w:pPr>
            <w:r w:rsidRPr="00FE7622">
              <w:rPr>
                <w:color w:val="auto"/>
              </w:rPr>
              <w:t>Renin</w:t>
            </w:r>
          </w:p>
        </w:tc>
        <w:tc>
          <w:tcPr>
            <w:tcW w:w="0" w:type="auto"/>
            <w:shd w:val="clear" w:color="auto" w:fill="FF0000"/>
          </w:tcPr>
          <w:p w14:paraId="75D8CAC9" w14:textId="77777777" w:rsidR="002930D1" w:rsidRPr="00FE7622" w:rsidRDefault="002930D1" w:rsidP="00AF19CC">
            <w:pPr>
              <w:pStyle w:val="72TabletextTablesTableFigureBoxstyles"/>
            </w:pPr>
            <w:r w:rsidRPr="00FE7622">
              <w:rPr>
                <w:color w:val="auto"/>
              </w:rPr>
              <w:t>–0.014</w:t>
            </w:r>
          </w:p>
        </w:tc>
        <w:tc>
          <w:tcPr>
            <w:tcW w:w="0" w:type="auto"/>
            <w:shd w:val="clear" w:color="auto" w:fill="FFFF00"/>
          </w:tcPr>
          <w:p w14:paraId="18E86833" w14:textId="77777777" w:rsidR="002930D1" w:rsidRPr="00FE7622" w:rsidRDefault="002930D1" w:rsidP="00AF19CC">
            <w:pPr>
              <w:pStyle w:val="72TabletextTablesTableFigureBoxstyles"/>
            </w:pPr>
            <w:r w:rsidRPr="00FE7622">
              <w:rPr>
                <w:color w:val="auto"/>
              </w:rPr>
              <w:t>0.132</w:t>
            </w:r>
          </w:p>
        </w:tc>
        <w:tc>
          <w:tcPr>
            <w:tcW w:w="0" w:type="auto"/>
            <w:shd w:val="clear" w:color="auto" w:fill="FFFF00"/>
          </w:tcPr>
          <w:p w14:paraId="26F224A7" w14:textId="77777777" w:rsidR="002930D1" w:rsidRPr="00FE7622" w:rsidRDefault="002930D1" w:rsidP="00AF19CC">
            <w:pPr>
              <w:pStyle w:val="72TabletextTablesTableFigureBoxstyles"/>
              <w:rPr>
                <w:color w:val="auto"/>
              </w:rPr>
            </w:pPr>
            <w:r w:rsidRPr="00FE7622">
              <w:rPr>
                <w:color w:val="auto"/>
              </w:rPr>
              <w:t>0.143</w:t>
            </w:r>
          </w:p>
        </w:tc>
        <w:tc>
          <w:tcPr>
            <w:tcW w:w="0" w:type="auto"/>
            <w:shd w:val="clear" w:color="auto" w:fill="FF33CC"/>
          </w:tcPr>
          <w:p w14:paraId="3274D005" w14:textId="77777777" w:rsidR="002930D1" w:rsidRPr="00FE7622" w:rsidRDefault="002930D1" w:rsidP="00AF19CC">
            <w:pPr>
              <w:pStyle w:val="72TabletextTablesTableFigureBoxstyles"/>
            </w:pPr>
            <w:r w:rsidRPr="00FE7622">
              <w:rPr>
                <w:color w:val="auto"/>
              </w:rPr>
              <w:t>–0.116</w:t>
            </w:r>
          </w:p>
        </w:tc>
        <w:tc>
          <w:tcPr>
            <w:tcW w:w="0" w:type="auto"/>
            <w:shd w:val="clear" w:color="auto" w:fill="92D050"/>
          </w:tcPr>
          <w:p w14:paraId="7B371030" w14:textId="2D107D9D" w:rsidR="002930D1" w:rsidRPr="00FE7622" w:rsidRDefault="00E038BF" w:rsidP="00AF19CC">
            <w:pPr>
              <w:pStyle w:val="72TabletextTablesTableFigureBoxstyles"/>
              <w:rPr>
                <w:b/>
                <w:bCs/>
                <w:color w:val="auto"/>
              </w:rPr>
            </w:pPr>
            <w:r w:rsidRPr="00FE7622">
              <w:rPr>
                <w:b/>
                <w:bCs/>
                <w:color w:val="auto"/>
              </w:rPr>
              <w:t>0.340</w:t>
            </w:r>
          </w:p>
        </w:tc>
      </w:tr>
      <w:tr w:rsidR="00C04FEE" w:rsidRPr="00FE7622" w14:paraId="1FD4C2ED" w14:textId="77777777" w:rsidTr="00AF19CC">
        <w:trPr>
          <w:cantSplit/>
        </w:trPr>
        <w:tc>
          <w:tcPr>
            <w:tcW w:w="0" w:type="auto"/>
            <w:shd w:val="clear" w:color="auto" w:fill="auto"/>
          </w:tcPr>
          <w:p w14:paraId="45768634" w14:textId="15A2A05F" w:rsidR="002930D1" w:rsidRPr="00FE7622" w:rsidRDefault="002930D1" w:rsidP="00AF19CC">
            <w:pPr>
              <w:pStyle w:val="72TabletextTablesTableFigureBoxstyles"/>
            </w:pPr>
            <w:r w:rsidRPr="00842651">
              <w:rPr>
                <w:color w:val="auto"/>
              </w:rPr>
              <w:t>IGF-1</w:t>
            </w:r>
          </w:p>
        </w:tc>
        <w:tc>
          <w:tcPr>
            <w:tcW w:w="0" w:type="auto"/>
            <w:shd w:val="clear" w:color="auto" w:fill="92D050"/>
          </w:tcPr>
          <w:p w14:paraId="6F0761CA" w14:textId="6CAFA8D4" w:rsidR="002930D1" w:rsidRPr="00FE7622" w:rsidRDefault="00E038BF" w:rsidP="00AF19CC">
            <w:pPr>
              <w:pStyle w:val="72TabletextTablesTableFigureBoxstyles"/>
              <w:rPr>
                <w:b/>
                <w:bCs/>
                <w:color w:val="auto"/>
              </w:rPr>
            </w:pPr>
            <w:r w:rsidRPr="00FE7622">
              <w:rPr>
                <w:b/>
                <w:bCs/>
                <w:color w:val="auto"/>
              </w:rPr>
              <w:t>0.201</w:t>
            </w:r>
          </w:p>
        </w:tc>
        <w:tc>
          <w:tcPr>
            <w:tcW w:w="0" w:type="auto"/>
            <w:shd w:val="clear" w:color="auto" w:fill="FF0000"/>
          </w:tcPr>
          <w:p w14:paraId="093F679D" w14:textId="77777777" w:rsidR="002930D1" w:rsidRPr="00FE7622" w:rsidRDefault="002930D1" w:rsidP="00AF19CC">
            <w:pPr>
              <w:pStyle w:val="72TabletextTablesTableFigureBoxstyles"/>
              <w:rPr>
                <w:color w:val="auto"/>
              </w:rPr>
            </w:pPr>
            <w:r w:rsidRPr="00FE7622">
              <w:rPr>
                <w:color w:val="auto"/>
              </w:rPr>
              <w:t>–0.029</w:t>
            </w:r>
          </w:p>
        </w:tc>
        <w:tc>
          <w:tcPr>
            <w:tcW w:w="0" w:type="auto"/>
            <w:shd w:val="clear" w:color="auto" w:fill="FF0000"/>
          </w:tcPr>
          <w:p w14:paraId="6076B4CB" w14:textId="77777777" w:rsidR="002930D1" w:rsidRPr="00FE7622" w:rsidRDefault="002930D1" w:rsidP="00AF19CC">
            <w:pPr>
              <w:pStyle w:val="72TabletextTablesTableFigureBoxstyles"/>
            </w:pPr>
            <w:r w:rsidRPr="00FE7622">
              <w:rPr>
                <w:color w:val="auto"/>
              </w:rPr>
              <w:t>–0.043</w:t>
            </w:r>
          </w:p>
        </w:tc>
        <w:tc>
          <w:tcPr>
            <w:tcW w:w="0" w:type="auto"/>
            <w:shd w:val="clear" w:color="auto" w:fill="FF0000"/>
          </w:tcPr>
          <w:p w14:paraId="4502C9E1" w14:textId="77777777" w:rsidR="002930D1" w:rsidRPr="00FE7622" w:rsidRDefault="002930D1" w:rsidP="00AF19CC">
            <w:pPr>
              <w:pStyle w:val="72TabletextTablesTableFigureBoxstyles"/>
              <w:rPr>
                <w:color w:val="auto"/>
              </w:rPr>
            </w:pPr>
            <w:r w:rsidRPr="00FE7622">
              <w:rPr>
                <w:color w:val="auto"/>
              </w:rPr>
              <w:t>0.032</w:t>
            </w:r>
          </w:p>
        </w:tc>
        <w:tc>
          <w:tcPr>
            <w:tcW w:w="0" w:type="auto"/>
            <w:shd w:val="clear" w:color="auto" w:fill="FF0000"/>
          </w:tcPr>
          <w:p w14:paraId="1995B887" w14:textId="77777777" w:rsidR="002930D1" w:rsidRPr="00FE7622" w:rsidRDefault="002930D1" w:rsidP="00AF19CC">
            <w:pPr>
              <w:pStyle w:val="72TabletextTablesTableFigureBoxstyles"/>
              <w:rPr>
                <w:color w:val="auto"/>
              </w:rPr>
            </w:pPr>
            <w:r w:rsidRPr="00FE7622">
              <w:rPr>
                <w:color w:val="auto"/>
              </w:rPr>
              <w:t>–0.082</w:t>
            </w:r>
          </w:p>
        </w:tc>
      </w:tr>
      <w:tr w:rsidR="00C04FEE" w:rsidRPr="00FE7622" w14:paraId="0B7A0FFB" w14:textId="77777777" w:rsidTr="00AF19CC">
        <w:trPr>
          <w:cantSplit/>
        </w:trPr>
        <w:tc>
          <w:tcPr>
            <w:tcW w:w="0" w:type="auto"/>
            <w:shd w:val="clear" w:color="auto" w:fill="auto"/>
          </w:tcPr>
          <w:p w14:paraId="4046B432" w14:textId="1AEF2592" w:rsidR="002930D1" w:rsidRPr="00FE7622" w:rsidRDefault="002930D1" w:rsidP="00AF19CC">
            <w:pPr>
              <w:pStyle w:val="72TabletextTablesTableFigureBoxstyles"/>
            </w:pPr>
            <w:r w:rsidRPr="00FE7622">
              <w:rPr>
                <w:color w:val="auto"/>
              </w:rPr>
              <w:t>ACE</w:t>
            </w:r>
          </w:p>
        </w:tc>
        <w:tc>
          <w:tcPr>
            <w:tcW w:w="0" w:type="auto"/>
            <w:shd w:val="clear" w:color="auto" w:fill="FF33CC"/>
          </w:tcPr>
          <w:p w14:paraId="737BC18C" w14:textId="77777777" w:rsidR="002930D1" w:rsidRPr="00FE7622" w:rsidRDefault="002930D1" w:rsidP="00AF19CC">
            <w:pPr>
              <w:pStyle w:val="72TabletextTablesTableFigureBoxstyles"/>
              <w:rPr>
                <w:color w:val="auto"/>
              </w:rPr>
            </w:pPr>
            <w:r w:rsidRPr="00FE7622">
              <w:rPr>
                <w:color w:val="auto"/>
              </w:rPr>
              <w:t>0.112</w:t>
            </w:r>
          </w:p>
        </w:tc>
        <w:tc>
          <w:tcPr>
            <w:tcW w:w="0" w:type="auto"/>
            <w:shd w:val="clear" w:color="auto" w:fill="FF0000"/>
          </w:tcPr>
          <w:p w14:paraId="6DBCFA76" w14:textId="77777777" w:rsidR="002930D1" w:rsidRPr="00FE7622" w:rsidRDefault="002930D1" w:rsidP="00AF19CC">
            <w:pPr>
              <w:pStyle w:val="72TabletextTablesTableFigureBoxstyles"/>
              <w:rPr>
                <w:color w:val="auto"/>
              </w:rPr>
            </w:pPr>
            <w:r w:rsidRPr="00FE7622">
              <w:rPr>
                <w:color w:val="auto"/>
              </w:rPr>
              <w:t>–0.093</w:t>
            </w:r>
          </w:p>
        </w:tc>
        <w:tc>
          <w:tcPr>
            <w:tcW w:w="0" w:type="auto"/>
            <w:shd w:val="clear" w:color="auto" w:fill="FFFF00"/>
          </w:tcPr>
          <w:p w14:paraId="05E18292" w14:textId="77777777" w:rsidR="002930D1" w:rsidRPr="00FE7622" w:rsidRDefault="002930D1" w:rsidP="00AF19CC">
            <w:pPr>
              <w:pStyle w:val="72TabletextTablesTableFigureBoxstyles"/>
              <w:rPr>
                <w:color w:val="auto"/>
              </w:rPr>
            </w:pPr>
            <w:r w:rsidRPr="00FE7622">
              <w:rPr>
                <w:color w:val="auto"/>
              </w:rPr>
              <w:t>–0.119</w:t>
            </w:r>
          </w:p>
        </w:tc>
        <w:tc>
          <w:tcPr>
            <w:tcW w:w="0" w:type="auto"/>
            <w:shd w:val="clear" w:color="auto" w:fill="FF0000"/>
          </w:tcPr>
          <w:p w14:paraId="375ADEB3" w14:textId="77777777" w:rsidR="002930D1" w:rsidRPr="00FE7622" w:rsidRDefault="002930D1" w:rsidP="00AF19CC">
            <w:pPr>
              <w:pStyle w:val="72TabletextTablesTableFigureBoxstyles"/>
            </w:pPr>
            <w:r w:rsidRPr="00FE7622">
              <w:rPr>
                <w:color w:val="auto"/>
              </w:rPr>
              <w:t>–0.004</w:t>
            </w:r>
          </w:p>
        </w:tc>
        <w:tc>
          <w:tcPr>
            <w:tcW w:w="0" w:type="auto"/>
            <w:shd w:val="clear" w:color="auto" w:fill="FF0000"/>
          </w:tcPr>
          <w:p w14:paraId="0A7D7EE7" w14:textId="77777777" w:rsidR="002930D1" w:rsidRPr="00FE7622" w:rsidRDefault="002930D1" w:rsidP="00AF19CC">
            <w:pPr>
              <w:pStyle w:val="72TabletextTablesTableFigureBoxstyles"/>
              <w:rPr>
                <w:color w:val="auto"/>
              </w:rPr>
            </w:pPr>
            <w:r w:rsidRPr="00FE7622">
              <w:rPr>
                <w:color w:val="auto"/>
              </w:rPr>
              <w:t>0.039</w:t>
            </w:r>
          </w:p>
        </w:tc>
      </w:tr>
      <w:tr w:rsidR="00C04FEE" w:rsidRPr="00FE7622" w14:paraId="1AC0D4F6" w14:textId="77777777" w:rsidTr="00AF19CC">
        <w:trPr>
          <w:cantSplit/>
        </w:trPr>
        <w:tc>
          <w:tcPr>
            <w:tcW w:w="0" w:type="auto"/>
            <w:shd w:val="clear" w:color="auto" w:fill="auto"/>
          </w:tcPr>
          <w:p w14:paraId="64C3BC2A" w14:textId="73EB583E" w:rsidR="002930D1" w:rsidRPr="00FE7622" w:rsidRDefault="002930D1" w:rsidP="00AF19CC">
            <w:pPr>
              <w:pStyle w:val="72TabletextTablesTableFigureBoxstyles"/>
            </w:pPr>
            <w:r w:rsidRPr="00FE7622">
              <w:rPr>
                <w:color w:val="auto"/>
              </w:rPr>
              <w:t>TNF</w:t>
            </w:r>
            <w:r w:rsidR="00842004">
              <w:rPr>
                <w:color w:val="auto"/>
              </w:rPr>
              <w:t>-</w:t>
            </w:r>
            <w:r w:rsidRPr="00FE7622">
              <w:rPr>
                <w:color w:val="auto"/>
              </w:rPr>
              <w:t>a</w:t>
            </w:r>
          </w:p>
        </w:tc>
        <w:tc>
          <w:tcPr>
            <w:tcW w:w="0" w:type="auto"/>
            <w:shd w:val="clear" w:color="auto" w:fill="FF33CC"/>
          </w:tcPr>
          <w:p w14:paraId="44168900" w14:textId="77777777" w:rsidR="002930D1" w:rsidRPr="00FE7622" w:rsidRDefault="002930D1" w:rsidP="00AF19CC">
            <w:pPr>
              <w:pStyle w:val="72TabletextTablesTableFigureBoxstyles"/>
            </w:pPr>
            <w:r w:rsidRPr="00FE7622">
              <w:rPr>
                <w:color w:val="auto"/>
              </w:rPr>
              <w:t>0.145</w:t>
            </w:r>
          </w:p>
        </w:tc>
        <w:tc>
          <w:tcPr>
            <w:tcW w:w="0" w:type="auto"/>
            <w:shd w:val="clear" w:color="auto" w:fill="FF0000"/>
          </w:tcPr>
          <w:p w14:paraId="2F929480" w14:textId="77777777" w:rsidR="002930D1" w:rsidRPr="00FE7622" w:rsidRDefault="002930D1" w:rsidP="00AF19CC">
            <w:pPr>
              <w:pStyle w:val="72TabletextTablesTableFigureBoxstyles"/>
            </w:pPr>
            <w:r w:rsidRPr="00FE7622">
              <w:rPr>
                <w:color w:val="auto"/>
              </w:rPr>
              <w:t>0.033</w:t>
            </w:r>
          </w:p>
        </w:tc>
        <w:tc>
          <w:tcPr>
            <w:tcW w:w="0" w:type="auto"/>
            <w:shd w:val="clear" w:color="auto" w:fill="FF0000"/>
          </w:tcPr>
          <w:p w14:paraId="2557C1A0" w14:textId="77777777" w:rsidR="002930D1" w:rsidRPr="00FE7622" w:rsidRDefault="002930D1" w:rsidP="00AF19CC">
            <w:pPr>
              <w:pStyle w:val="72TabletextTablesTableFigureBoxstyles"/>
              <w:rPr>
                <w:color w:val="auto"/>
              </w:rPr>
            </w:pPr>
            <w:r w:rsidRPr="00FE7622">
              <w:rPr>
                <w:color w:val="auto"/>
              </w:rPr>
              <w:t>0.011</w:t>
            </w:r>
          </w:p>
        </w:tc>
        <w:tc>
          <w:tcPr>
            <w:tcW w:w="0" w:type="auto"/>
            <w:shd w:val="clear" w:color="auto" w:fill="FF0000"/>
          </w:tcPr>
          <w:p w14:paraId="32ABE9C6" w14:textId="77777777" w:rsidR="002930D1" w:rsidRPr="00FE7622" w:rsidRDefault="002930D1" w:rsidP="00AF19CC">
            <w:pPr>
              <w:pStyle w:val="72TabletextTablesTableFigureBoxstyles"/>
            </w:pPr>
            <w:r w:rsidRPr="00FE7622">
              <w:rPr>
                <w:color w:val="auto"/>
              </w:rPr>
              <w:t>–0.080</w:t>
            </w:r>
          </w:p>
        </w:tc>
        <w:tc>
          <w:tcPr>
            <w:tcW w:w="0" w:type="auto"/>
            <w:shd w:val="clear" w:color="auto" w:fill="FF0000"/>
          </w:tcPr>
          <w:p w14:paraId="509C644E" w14:textId="77777777" w:rsidR="002930D1" w:rsidRPr="00FE7622" w:rsidRDefault="002930D1" w:rsidP="00AF19CC">
            <w:pPr>
              <w:pStyle w:val="72TabletextTablesTableFigureBoxstyles"/>
              <w:rPr>
                <w:color w:val="auto"/>
              </w:rPr>
            </w:pPr>
            <w:r w:rsidRPr="00FE7622">
              <w:rPr>
                <w:color w:val="auto"/>
              </w:rPr>
              <w:t>0.016</w:t>
            </w:r>
          </w:p>
        </w:tc>
      </w:tr>
      <w:tr w:rsidR="00C04FEE" w:rsidRPr="00FE7622" w14:paraId="77E1FD4B" w14:textId="77777777" w:rsidTr="00AF19CC">
        <w:trPr>
          <w:cantSplit/>
        </w:trPr>
        <w:tc>
          <w:tcPr>
            <w:tcW w:w="0" w:type="auto"/>
            <w:shd w:val="clear" w:color="auto" w:fill="auto"/>
          </w:tcPr>
          <w:p w14:paraId="72B6A5EC" w14:textId="68500407" w:rsidR="002930D1" w:rsidRPr="00FE7622" w:rsidRDefault="002930D1" w:rsidP="00AF19CC">
            <w:pPr>
              <w:pStyle w:val="72TabletextTablesTableFigureBoxstyles"/>
            </w:pPr>
            <w:r w:rsidRPr="00842651">
              <w:rPr>
                <w:color w:val="auto"/>
              </w:rPr>
              <w:t>IL</w:t>
            </w:r>
            <w:r w:rsidRPr="00FE7622">
              <w:rPr>
                <w:color w:val="auto"/>
              </w:rPr>
              <w:t>-6</w:t>
            </w:r>
          </w:p>
        </w:tc>
        <w:tc>
          <w:tcPr>
            <w:tcW w:w="0" w:type="auto"/>
            <w:shd w:val="clear" w:color="auto" w:fill="FF33CC"/>
          </w:tcPr>
          <w:p w14:paraId="640856A7" w14:textId="77777777" w:rsidR="002930D1" w:rsidRPr="00FE7622" w:rsidRDefault="002930D1" w:rsidP="00AF19CC">
            <w:pPr>
              <w:pStyle w:val="72TabletextTablesTableFigureBoxstyles"/>
              <w:rPr>
                <w:color w:val="auto"/>
              </w:rPr>
            </w:pPr>
            <w:r w:rsidRPr="00FE7622">
              <w:rPr>
                <w:color w:val="auto"/>
              </w:rPr>
              <w:t>0.132</w:t>
            </w:r>
          </w:p>
        </w:tc>
        <w:tc>
          <w:tcPr>
            <w:tcW w:w="0" w:type="auto"/>
            <w:shd w:val="clear" w:color="auto" w:fill="FF0000"/>
          </w:tcPr>
          <w:p w14:paraId="2EF131B1" w14:textId="77777777" w:rsidR="002930D1" w:rsidRPr="00FE7622" w:rsidRDefault="002930D1" w:rsidP="00AF19CC">
            <w:pPr>
              <w:pStyle w:val="72TabletextTablesTableFigureBoxstyles"/>
            </w:pPr>
            <w:r w:rsidRPr="00FE7622">
              <w:rPr>
                <w:color w:val="auto"/>
              </w:rPr>
              <w:t>–0.022</w:t>
            </w:r>
          </w:p>
        </w:tc>
        <w:tc>
          <w:tcPr>
            <w:tcW w:w="0" w:type="auto"/>
            <w:shd w:val="clear" w:color="auto" w:fill="FF0000"/>
          </w:tcPr>
          <w:p w14:paraId="760C11CA" w14:textId="77777777" w:rsidR="002930D1" w:rsidRPr="00FE7622" w:rsidRDefault="002930D1" w:rsidP="00AF19CC">
            <w:pPr>
              <w:pStyle w:val="72TabletextTablesTableFigureBoxstyles"/>
            </w:pPr>
            <w:r w:rsidRPr="00FE7622">
              <w:rPr>
                <w:color w:val="auto"/>
              </w:rPr>
              <w:t>0.030</w:t>
            </w:r>
          </w:p>
        </w:tc>
        <w:tc>
          <w:tcPr>
            <w:tcW w:w="0" w:type="auto"/>
            <w:shd w:val="clear" w:color="auto" w:fill="FF0000"/>
          </w:tcPr>
          <w:p w14:paraId="48135EF4" w14:textId="77777777" w:rsidR="002930D1" w:rsidRPr="00FE7622" w:rsidRDefault="002930D1" w:rsidP="00AF19CC">
            <w:pPr>
              <w:pStyle w:val="72TabletextTablesTableFigureBoxstyles"/>
              <w:rPr>
                <w:color w:val="auto"/>
              </w:rPr>
            </w:pPr>
            <w:r w:rsidRPr="00FE7622">
              <w:rPr>
                <w:color w:val="auto"/>
              </w:rPr>
              <w:t>0.056</w:t>
            </w:r>
          </w:p>
        </w:tc>
        <w:tc>
          <w:tcPr>
            <w:tcW w:w="0" w:type="auto"/>
            <w:shd w:val="clear" w:color="auto" w:fill="FF0000"/>
          </w:tcPr>
          <w:p w14:paraId="588EC32A" w14:textId="77777777" w:rsidR="002930D1" w:rsidRPr="00FE7622" w:rsidRDefault="002930D1" w:rsidP="00AF19CC">
            <w:pPr>
              <w:pStyle w:val="72TabletextTablesTableFigureBoxstyles"/>
              <w:rPr>
                <w:color w:val="auto"/>
              </w:rPr>
            </w:pPr>
            <w:r w:rsidRPr="00FE7622">
              <w:rPr>
                <w:color w:val="auto"/>
              </w:rPr>
              <w:t>–0.019</w:t>
            </w:r>
          </w:p>
        </w:tc>
      </w:tr>
      <w:tr w:rsidR="00C04FEE" w:rsidRPr="00FE7622" w14:paraId="27884539" w14:textId="77777777" w:rsidTr="00AF19CC">
        <w:trPr>
          <w:cantSplit/>
        </w:trPr>
        <w:tc>
          <w:tcPr>
            <w:tcW w:w="0" w:type="auto"/>
            <w:shd w:val="clear" w:color="auto" w:fill="auto"/>
          </w:tcPr>
          <w:p w14:paraId="33BF1AB0" w14:textId="60B76DF0" w:rsidR="002930D1" w:rsidRPr="00FE7622" w:rsidRDefault="002930D1" w:rsidP="00AF19CC">
            <w:pPr>
              <w:pStyle w:val="72TabletextTablesTableFigureBoxstyles"/>
            </w:pPr>
            <w:r w:rsidRPr="00FE7622">
              <w:rPr>
                <w:color w:val="auto"/>
              </w:rPr>
              <w:t>Resistin</w:t>
            </w:r>
          </w:p>
        </w:tc>
        <w:tc>
          <w:tcPr>
            <w:tcW w:w="0" w:type="auto"/>
            <w:shd w:val="clear" w:color="auto" w:fill="FF33CC"/>
          </w:tcPr>
          <w:p w14:paraId="456F8FE7" w14:textId="77777777" w:rsidR="002930D1" w:rsidRPr="00FE7622" w:rsidRDefault="002930D1" w:rsidP="00AF19CC">
            <w:pPr>
              <w:pStyle w:val="72TabletextTablesTableFigureBoxstyles"/>
              <w:rPr>
                <w:color w:val="auto"/>
              </w:rPr>
            </w:pPr>
            <w:r w:rsidRPr="00FE7622">
              <w:rPr>
                <w:color w:val="auto"/>
              </w:rPr>
              <w:t>0.152</w:t>
            </w:r>
          </w:p>
        </w:tc>
        <w:tc>
          <w:tcPr>
            <w:tcW w:w="0" w:type="auto"/>
            <w:shd w:val="clear" w:color="auto" w:fill="FF0000"/>
          </w:tcPr>
          <w:p w14:paraId="63F07312" w14:textId="77777777" w:rsidR="002930D1" w:rsidRPr="00FE7622" w:rsidRDefault="002930D1" w:rsidP="00AF19CC">
            <w:pPr>
              <w:pStyle w:val="72TabletextTablesTableFigureBoxstyles"/>
              <w:rPr>
                <w:color w:val="auto"/>
              </w:rPr>
            </w:pPr>
            <w:r w:rsidRPr="00FE7622">
              <w:rPr>
                <w:color w:val="auto"/>
              </w:rPr>
              <w:t>–0.056</w:t>
            </w:r>
          </w:p>
        </w:tc>
        <w:tc>
          <w:tcPr>
            <w:tcW w:w="0" w:type="auto"/>
            <w:shd w:val="clear" w:color="auto" w:fill="FF0000"/>
          </w:tcPr>
          <w:p w14:paraId="1A7B77CC" w14:textId="77777777" w:rsidR="002930D1" w:rsidRPr="00FE7622" w:rsidRDefault="002930D1" w:rsidP="00AF19CC">
            <w:pPr>
              <w:pStyle w:val="72TabletextTablesTableFigureBoxstyles"/>
              <w:rPr>
                <w:color w:val="auto"/>
              </w:rPr>
            </w:pPr>
            <w:r w:rsidRPr="00FE7622">
              <w:rPr>
                <w:color w:val="auto"/>
              </w:rPr>
              <w:t>–0.057</w:t>
            </w:r>
          </w:p>
        </w:tc>
        <w:tc>
          <w:tcPr>
            <w:tcW w:w="0" w:type="auto"/>
            <w:shd w:val="clear" w:color="auto" w:fill="FF0000"/>
          </w:tcPr>
          <w:p w14:paraId="0DAF8310" w14:textId="77777777" w:rsidR="002930D1" w:rsidRPr="00FE7622" w:rsidRDefault="002930D1" w:rsidP="00AF19CC">
            <w:pPr>
              <w:pStyle w:val="72TabletextTablesTableFigureBoxstyles"/>
              <w:rPr>
                <w:color w:val="auto"/>
              </w:rPr>
            </w:pPr>
            <w:r w:rsidRPr="00FE7622">
              <w:rPr>
                <w:color w:val="auto"/>
              </w:rPr>
              <w:t>–0.066</w:t>
            </w:r>
          </w:p>
        </w:tc>
        <w:tc>
          <w:tcPr>
            <w:tcW w:w="0" w:type="auto"/>
            <w:shd w:val="clear" w:color="auto" w:fill="FF0000"/>
          </w:tcPr>
          <w:p w14:paraId="3B8CE70A" w14:textId="77777777" w:rsidR="002930D1" w:rsidRPr="00FE7622" w:rsidRDefault="002930D1" w:rsidP="00AF19CC">
            <w:pPr>
              <w:pStyle w:val="72TabletextTablesTableFigureBoxstyles"/>
              <w:rPr>
                <w:color w:val="auto"/>
              </w:rPr>
            </w:pPr>
            <w:r w:rsidRPr="00FE7622">
              <w:rPr>
                <w:color w:val="auto"/>
              </w:rPr>
              <w:t>–0.064</w:t>
            </w:r>
          </w:p>
        </w:tc>
      </w:tr>
      <w:tr w:rsidR="00C04FEE" w:rsidRPr="00FE7622" w14:paraId="2D35E680" w14:textId="77777777" w:rsidTr="00AF19CC">
        <w:trPr>
          <w:cantSplit/>
        </w:trPr>
        <w:tc>
          <w:tcPr>
            <w:tcW w:w="0" w:type="auto"/>
            <w:shd w:val="clear" w:color="auto" w:fill="auto"/>
          </w:tcPr>
          <w:p w14:paraId="31D46656" w14:textId="78017184" w:rsidR="002930D1" w:rsidRPr="00FE7622" w:rsidRDefault="002930D1" w:rsidP="00AF19CC">
            <w:pPr>
              <w:pStyle w:val="72TabletextTablesTableFigureBoxstyles"/>
            </w:pPr>
            <w:r w:rsidRPr="00FE7622">
              <w:rPr>
                <w:color w:val="auto"/>
              </w:rPr>
              <w:t>Insulin</w:t>
            </w:r>
          </w:p>
        </w:tc>
        <w:tc>
          <w:tcPr>
            <w:tcW w:w="0" w:type="auto"/>
            <w:shd w:val="clear" w:color="auto" w:fill="FF0000"/>
          </w:tcPr>
          <w:p w14:paraId="3C66C7C9" w14:textId="77777777" w:rsidR="002930D1" w:rsidRPr="00FE7622" w:rsidRDefault="002930D1" w:rsidP="00AF19CC">
            <w:pPr>
              <w:pStyle w:val="72TabletextTablesTableFigureBoxstyles"/>
            </w:pPr>
            <w:r w:rsidRPr="00FE7622">
              <w:rPr>
                <w:color w:val="auto"/>
              </w:rPr>
              <w:t>0.041</w:t>
            </w:r>
          </w:p>
        </w:tc>
        <w:tc>
          <w:tcPr>
            <w:tcW w:w="0" w:type="auto"/>
            <w:shd w:val="clear" w:color="auto" w:fill="FFFF00"/>
          </w:tcPr>
          <w:p w14:paraId="4E0B3BFE" w14:textId="77777777" w:rsidR="002930D1" w:rsidRPr="00FE7622" w:rsidRDefault="002930D1" w:rsidP="00AF19CC">
            <w:pPr>
              <w:pStyle w:val="72TabletextTablesTableFigureBoxstyles"/>
            </w:pPr>
            <w:r w:rsidRPr="00FE7622">
              <w:rPr>
                <w:color w:val="auto"/>
              </w:rPr>
              <w:t>0.132</w:t>
            </w:r>
          </w:p>
        </w:tc>
        <w:tc>
          <w:tcPr>
            <w:tcW w:w="0" w:type="auto"/>
            <w:shd w:val="clear" w:color="auto" w:fill="FFFF00"/>
          </w:tcPr>
          <w:p w14:paraId="20094E2D" w14:textId="29ECC115" w:rsidR="002930D1" w:rsidRPr="00FE7622" w:rsidRDefault="00E038BF" w:rsidP="00AF19CC">
            <w:pPr>
              <w:pStyle w:val="72TabletextTablesTableFigureBoxstyles"/>
              <w:rPr>
                <w:b/>
                <w:bCs/>
              </w:rPr>
            </w:pPr>
            <w:r w:rsidRPr="00FE7622">
              <w:rPr>
                <w:b/>
                <w:bCs/>
                <w:color w:val="auto"/>
              </w:rPr>
              <w:t>0.178</w:t>
            </w:r>
          </w:p>
        </w:tc>
        <w:tc>
          <w:tcPr>
            <w:tcW w:w="0" w:type="auto"/>
            <w:shd w:val="clear" w:color="auto" w:fill="FF0000"/>
          </w:tcPr>
          <w:p w14:paraId="2008D217" w14:textId="77777777" w:rsidR="002930D1" w:rsidRPr="00FE7622" w:rsidRDefault="002930D1" w:rsidP="00AF19CC">
            <w:pPr>
              <w:pStyle w:val="72TabletextTablesTableFigureBoxstyles"/>
            </w:pPr>
            <w:r w:rsidRPr="00FE7622">
              <w:rPr>
                <w:color w:val="auto"/>
              </w:rPr>
              <w:t>0.064</w:t>
            </w:r>
          </w:p>
        </w:tc>
        <w:tc>
          <w:tcPr>
            <w:tcW w:w="0" w:type="auto"/>
            <w:shd w:val="clear" w:color="auto" w:fill="FFFF00"/>
          </w:tcPr>
          <w:p w14:paraId="315BE390" w14:textId="77777777" w:rsidR="002930D1" w:rsidRPr="00FE7622" w:rsidRDefault="002930D1" w:rsidP="00AF19CC">
            <w:pPr>
              <w:pStyle w:val="72TabletextTablesTableFigureBoxstyles"/>
              <w:rPr>
                <w:color w:val="auto"/>
              </w:rPr>
            </w:pPr>
            <w:r w:rsidRPr="00FE7622">
              <w:rPr>
                <w:color w:val="auto"/>
              </w:rPr>
              <w:t>0.107</w:t>
            </w:r>
          </w:p>
        </w:tc>
      </w:tr>
      <w:tr w:rsidR="00C04FEE" w:rsidRPr="00FE7622" w14:paraId="705FF24F" w14:textId="77777777" w:rsidTr="00AF19CC">
        <w:trPr>
          <w:cantSplit/>
        </w:trPr>
        <w:tc>
          <w:tcPr>
            <w:tcW w:w="0" w:type="auto"/>
            <w:shd w:val="clear" w:color="auto" w:fill="auto"/>
          </w:tcPr>
          <w:p w14:paraId="07D89884" w14:textId="6A6CD348" w:rsidR="002930D1" w:rsidRPr="00FE7622" w:rsidRDefault="002930D1" w:rsidP="00AF19CC">
            <w:pPr>
              <w:pStyle w:val="72TabletextTablesTableFigureBoxstyles"/>
              <w:rPr>
                <w:color w:val="auto"/>
              </w:rPr>
            </w:pPr>
            <w:r w:rsidRPr="00842651">
              <w:rPr>
                <w:color w:val="auto"/>
              </w:rPr>
              <w:t>LCN2</w:t>
            </w:r>
          </w:p>
        </w:tc>
        <w:tc>
          <w:tcPr>
            <w:tcW w:w="0" w:type="auto"/>
            <w:shd w:val="clear" w:color="auto" w:fill="FF0000"/>
          </w:tcPr>
          <w:p w14:paraId="1B5FB588" w14:textId="77777777" w:rsidR="002930D1" w:rsidRPr="00FE7622" w:rsidRDefault="002930D1" w:rsidP="00AF19CC">
            <w:pPr>
              <w:pStyle w:val="72TabletextTablesTableFigureBoxstyles"/>
            </w:pPr>
            <w:r w:rsidRPr="00FE7622">
              <w:rPr>
                <w:color w:val="auto"/>
              </w:rPr>
              <w:t>–0.053</w:t>
            </w:r>
          </w:p>
        </w:tc>
        <w:tc>
          <w:tcPr>
            <w:tcW w:w="0" w:type="auto"/>
            <w:shd w:val="clear" w:color="auto" w:fill="FF0000"/>
          </w:tcPr>
          <w:p w14:paraId="41C3D103" w14:textId="77777777" w:rsidR="002930D1" w:rsidRPr="00FE7622" w:rsidRDefault="002930D1" w:rsidP="00AF19CC">
            <w:pPr>
              <w:pStyle w:val="72TabletextTablesTableFigureBoxstyles"/>
              <w:rPr>
                <w:color w:val="auto"/>
              </w:rPr>
            </w:pPr>
            <w:r w:rsidRPr="00FE7622">
              <w:rPr>
                <w:color w:val="auto"/>
              </w:rPr>
              <w:t>0.036</w:t>
            </w:r>
          </w:p>
        </w:tc>
        <w:tc>
          <w:tcPr>
            <w:tcW w:w="0" w:type="auto"/>
            <w:shd w:val="clear" w:color="auto" w:fill="FF0000"/>
          </w:tcPr>
          <w:p w14:paraId="1036392F" w14:textId="77777777" w:rsidR="002930D1" w:rsidRPr="00FE7622" w:rsidRDefault="002930D1" w:rsidP="00AF19CC">
            <w:pPr>
              <w:pStyle w:val="72TabletextTablesTableFigureBoxstyles"/>
              <w:rPr>
                <w:color w:val="auto"/>
              </w:rPr>
            </w:pPr>
            <w:r w:rsidRPr="00FE7622">
              <w:rPr>
                <w:color w:val="auto"/>
              </w:rPr>
              <w:t>–0.053</w:t>
            </w:r>
          </w:p>
        </w:tc>
        <w:tc>
          <w:tcPr>
            <w:tcW w:w="0" w:type="auto"/>
            <w:shd w:val="clear" w:color="auto" w:fill="FFFF00"/>
          </w:tcPr>
          <w:p w14:paraId="0B3C726E" w14:textId="77777777" w:rsidR="002930D1" w:rsidRPr="00FE7622" w:rsidRDefault="002930D1" w:rsidP="00AF19CC">
            <w:pPr>
              <w:pStyle w:val="72TabletextTablesTableFigureBoxstyles"/>
            </w:pPr>
            <w:r w:rsidRPr="00FE7622">
              <w:rPr>
                <w:color w:val="auto"/>
              </w:rPr>
              <w:t>–0.145</w:t>
            </w:r>
          </w:p>
        </w:tc>
        <w:tc>
          <w:tcPr>
            <w:tcW w:w="0" w:type="auto"/>
            <w:shd w:val="clear" w:color="auto" w:fill="FF0000"/>
          </w:tcPr>
          <w:p w14:paraId="4AAD2B38" w14:textId="77777777" w:rsidR="002930D1" w:rsidRPr="00FE7622" w:rsidRDefault="002930D1" w:rsidP="00AF19CC">
            <w:pPr>
              <w:pStyle w:val="72TabletextTablesTableFigureBoxstyles"/>
              <w:rPr>
                <w:color w:val="auto"/>
              </w:rPr>
            </w:pPr>
            <w:r w:rsidRPr="00FE7622">
              <w:rPr>
                <w:color w:val="auto"/>
              </w:rPr>
              <w:t>0.060</w:t>
            </w:r>
          </w:p>
        </w:tc>
      </w:tr>
      <w:tr w:rsidR="00C04FEE" w:rsidRPr="00FE7622" w14:paraId="69A0AA1E" w14:textId="77777777" w:rsidTr="00AF19CC">
        <w:trPr>
          <w:cantSplit/>
        </w:trPr>
        <w:tc>
          <w:tcPr>
            <w:tcW w:w="0" w:type="auto"/>
            <w:shd w:val="clear" w:color="auto" w:fill="auto"/>
          </w:tcPr>
          <w:p w14:paraId="2BDFC147" w14:textId="6BF25495" w:rsidR="002930D1" w:rsidRPr="00FE7622" w:rsidRDefault="002930D1" w:rsidP="00AF19CC">
            <w:pPr>
              <w:pStyle w:val="72TabletextTablesTableFigureBoxstyles"/>
            </w:pPr>
            <w:r w:rsidRPr="00842651">
              <w:rPr>
                <w:color w:val="auto"/>
              </w:rPr>
              <w:t>IL</w:t>
            </w:r>
            <w:r w:rsidR="00CB0916" w:rsidRPr="00FE7622">
              <w:rPr>
                <w:color w:val="auto"/>
              </w:rPr>
              <w:t>-</w:t>
            </w:r>
            <w:r w:rsidRPr="00FE7622">
              <w:rPr>
                <w:color w:val="auto"/>
              </w:rPr>
              <w:t>18BP</w:t>
            </w:r>
          </w:p>
        </w:tc>
        <w:tc>
          <w:tcPr>
            <w:tcW w:w="0" w:type="auto"/>
            <w:shd w:val="clear" w:color="auto" w:fill="FF33CC"/>
          </w:tcPr>
          <w:p w14:paraId="42068EF2" w14:textId="77777777" w:rsidR="002930D1" w:rsidRPr="00FE7622" w:rsidRDefault="002930D1" w:rsidP="00AF19CC">
            <w:pPr>
              <w:pStyle w:val="72TabletextTablesTableFigureBoxstyles"/>
              <w:rPr>
                <w:color w:val="auto"/>
              </w:rPr>
            </w:pPr>
            <w:r w:rsidRPr="00FE7622">
              <w:rPr>
                <w:color w:val="auto"/>
              </w:rPr>
              <w:t>0.125</w:t>
            </w:r>
          </w:p>
        </w:tc>
        <w:tc>
          <w:tcPr>
            <w:tcW w:w="0" w:type="auto"/>
            <w:shd w:val="clear" w:color="auto" w:fill="FFFF00"/>
          </w:tcPr>
          <w:p w14:paraId="10A69EB4" w14:textId="77777777" w:rsidR="002930D1" w:rsidRPr="00FE7622" w:rsidRDefault="002930D1" w:rsidP="00AF19CC">
            <w:pPr>
              <w:pStyle w:val="72TabletextTablesTableFigureBoxstyles"/>
              <w:rPr>
                <w:color w:val="auto"/>
              </w:rPr>
            </w:pPr>
            <w:r w:rsidRPr="00FE7622">
              <w:rPr>
                <w:color w:val="auto"/>
              </w:rPr>
              <w:t>–0.166</w:t>
            </w:r>
          </w:p>
        </w:tc>
        <w:tc>
          <w:tcPr>
            <w:tcW w:w="0" w:type="auto"/>
            <w:shd w:val="clear" w:color="auto" w:fill="FF0000"/>
          </w:tcPr>
          <w:p w14:paraId="63230920" w14:textId="77777777" w:rsidR="002930D1" w:rsidRPr="00FE7622" w:rsidRDefault="002930D1" w:rsidP="00AF19CC">
            <w:pPr>
              <w:pStyle w:val="72TabletextTablesTableFigureBoxstyles"/>
              <w:rPr>
                <w:color w:val="auto"/>
              </w:rPr>
            </w:pPr>
            <w:r w:rsidRPr="00FE7622">
              <w:rPr>
                <w:color w:val="auto"/>
              </w:rPr>
              <w:t>–0.151</w:t>
            </w:r>
          </w:p>
        </w:tc>
        <w:tc>
          <w:tcPr>
            <w:tcW w:w="0" w:type="auto"/>
            <w:shd w:val="clear" w:color="auto" w:fill="FF0000"/>
          </w:tcPr>
          <w:p w14:paraId="5221F122" w14:textId="77777777" w:rsidR="002930D1" w:rsidRPr="00FE7622" w:rsidRDefault="002930D1" w:rsidP="00AF19CC">
            <w:pPr>
              <w:pStyle w:val="72TabletextTablesTableFigureBoxstyles"/>
              <w:rPr>
                <w:color w:val="auto"/>
              </w:rPr>
            </w:pPr>
            <w:r w:rsidRPr="00FE7622">
              <w:rPr>
                <w:color w:val="auto"/>
              </w:rPr>
              <w:t>–0.083</w:t>
            </w:r>
          </w:p>
        </w:tc>
        <w:tc>
          <w:tcPr>
            <w:tcW w:w="0" w:type="auto"/>
            <w:shd w:val="clear" w:color="auto" w:fill="FF0000"/>
          </w:tcPr>
          <w:p w14:paraId="74D34F93" w14:textId="77777777" w:rsidR="002930D1" w:rsidRPr="00FE7622" w:rsidRDefault="002930D1" w:rsidP="00AF19CC">
            <w:pPr>
              <w:pStyle w:val="72TabletextTablesTableFigureBoxstyles"/>
              <w:rPr>
                <w:color w:val="auto"/>
              </w:rPr>
            </w:pPr>
            <w:r w:rsidRPr="00FE7622">
              <w:rPr>
                <w:color w:val="auto"/>
              </w:rPr>
              <w:t>–0.050</w:t>
            </w:r>
          </w:p>
        </w:tc>
      </w:tr>
      <w:tr w:rsidR="00C04FEE" w:rsidRPr="00FE7622" w14:paraId="020A2CDD" w14:textId="77777777" w:rsidTr="00AF19CC">
        <w:trPr>
          <w:cantSplit/>
        </w:trPr>
        <w:tc>
          <w:tcPr>
            <w:tcW w:w="0" w:type="auto"/>
            <w:shd w:val="clear" w:color="auto" w:fill="auto"/>
          </w:tcPr>
          <w:p w14:paraId="53AB3A82" w14:textId="77777777" w:rsidR="002930D1" w:rsidRPr="00FE7622" w:rsidRDefault="002930D1" w:rsidP="00AF19CC">
            <w:pPr>
              <w:pStyle w:val="72TabletextTablesTableFigureBoxstyles"/>
            </w:pPr>
            <w:r w:rsidRPr="00FE7622">
              <w:rPr>
                <w:color w:val="auto"/>
              </w:rPr>
              <w:t>miR-422</w:t>
            </w:r>
          </w:p>
        </w:tc>
        <w:tc>
          <w:tcPr>
            <w:tcW w:w="0" w:type="auto"/>
            <w:shd w:val="clear" w:color="auto" w:fill="FFFF00"/>
          </w:tcPr>
          <w:p w14:paraId="6AF05F7F" w14:textId="77777777" w:rsidR="002930D1" w:rsidRPr="00FE7622" w:rsidRDefault="002930D1" w:rsidP="00AF19CC">
            <w:pPr>
              <w:pStyle w:val="72TabletextTablesTableFigureBoxstyles"/>
              <w:rPr>
                <w:color w:val="auto"/>
              </w:rPr>
            </w:pPr>
            <w:r w:rsidRPr="00FE7622">
              <w:rPr>
                <w:color w:val="auto"/>
              </w:rPr>
              <w:t>0.141</w:t>
            </w:r>
          </w:p>
        </w:tc>
        <w:tc>
          <w:tcPr>
            <w:tcW w:w="0" w:type="auto"/>
            <w:shd w:val="clear" w:color="auto" w:fill="FF0000"/>
          </w:tcPr>
          <w:p w14:paraId="228C75E9" w14:textId="77777777" w:rsidR="002930D1" w:rsidRPr="00FE7622" w:rsidRDefault="002930D1" w:rsidP="00AF19CC">
            <w:pPr>
              <w:pStyle w:val="72TabletextTablesTableFigureBoxstyles"/>
            </w:pPr>
            <w:r w:rsidRPr="00FE7622">
              <w:rPr>
                <w:color w:val="auto"/>
              </w:rPr>
              <w:t>–0.025</w:t>
            </w:r>
          </w:p>
        </w:tc>
        <w:tc>
          <w:tcPr>
            <w:tcW w:w="0" w:type="auto"/>
            <w:shd w:val="clear" w:color="auto" w:fill="FF0000"/>
          </w:tcPr>
          <w:p w14:paraId="01943F58" w14:textId="77777777" w:rsidR="002930D1" w:rsidRPr="00FE7622" w:rsidRDefault="002930D1" w:rsidP="00AF19CC">
            <w:pPr>
              <w:pStyle w:val="72TabletextTablesTableFigureBoxstyles"/>
              <w:rPr>
                <w:color w:val="auto"/>
              </w:rPr>
            </w:pPr>
            <w:r w:rsidRPr="00FE7622">
              <w:rPr>
                <w:color w:val="auto"/>
              </w:rPr>
              <w:t>0.058</w:t>
            </w:r>
          </w:p>
        </w:tc>
        <w:tc>
          <w:tcPr>
            <w:tcW w:w="0" w:type="auto"/>
            <w:shd w:val="clear" w:color="auto" w:fill="FF0000"/>
          </w:tcPr>
          <w:p w14:paraId="2F4EC253" w14:textId="77777777" w:rsidR="002930D1" w:rsidRPr="00FE7622" w:rsidRDefault="002930D1" w:rsidP="00AF19CC">
            <w:pPr>
              <w:pStyle w:val="72TabletextTablesTableFigureBoxstyles"/>
            </w:pPr>
            <w:r w:rsidRPr="00FE7622">
              <w:rPr>
                <w:color w:val="auto"/>
              </w:rPr>
              <w:t>–0.085</w:t>
            </w:r>
          </w:p>
        </w:tc>
        <w:tc>
          <w:tcPr>
            <w:tcW w:w="0" w:type="auto"/>
            <w:shd w:val="clear" w:color="auto" w:fill="FF0000"/>
          </w:tcPr>
          <w:p w14:paraId="3B1DD1E6" w14:textId="77777777" w:rsidR="002930D1" w:rsidRPr="00FE7622" w:rsidRDefault="002930D1" w:rsidP="00AF19CC">
            <w:pPr>
              <w:pStyle w:val="72TabletextTablesTableFigureBoxstyles"/>
              <w:rPr>
                <w:color w:val="auto"/>
              </w:rPr>
            </w:pPr>
            <w:r w:rsidRPr="00FE7622">
              <w:rPr>
                <w:color w:val="auto"/>
              </w:rPr>
              <w:t>0.068</w:t>
            </w:r>
          </w:p>
        </w:tc>
      </w:tr>
      <w:tr w:rsidR="00C04FEE" w:rsidRPr="00FE7622" w14:paraId="54F66987" w14:textId="77777777" w:rsidTr="00AF19CC">
        <w:trPr>
          <w:cantSplit/>
        </w:trPr>
        <w:tc>
          <w:tcPr>
            <w:tcW w:w="0" w:type="auto"/>
            <w:shd w:val="clear" w:color="auto" w:fill="auto"/>
          </w:tcPr>
          <w:p w14:paraId="5B67D8A0" w14:textId="59FCB7C7" w:rsidR="002930D1" w:rsidRPr="00FE7622" w:rsidRDefault="002930D1" w:rsidP="00AF19CC">
            <w:pPr>
              <w:pStyle w:val="72TabletextTablesTableFigureBoxstyles"/>
            </w:pPr>
            <w:r w:rsidRPr="00FE7622">
              <w:rPr>
                <w:color w:val="auto"/>
              </w:rPr>
              <w:t>miR-483</w:t>
            </w:r>
            <w:r w:rsidR="005864CE" w:rsidRPr="00FE7622">
              <w:rPr>
                <w:color w:val="auto"/>
              </w:rPr>
              <w:t>-</w:t>
            </w:r>
            <w:r w:rsidRPr="00FE7622">
              <w:rPr>
                <w:color w:val="auto"/>
              </w:rPr>
              <w:t>5p</w:t>
            </w:r>
          </w:p>
        </w:tc>
        <w:tc>
          <w:tcPr>
            <w:tcW w:w="0" w:type="auto"/>
            <w:shd w:val="clear" w:color="auto" w:fill="FFFF00"/>
          </w:tcPr>
          <w:p w14:paraId="39EE50C3" w14:textId="77777777" w:rsidR="002930D1" w:rsidRPr="00FE7622" w:rsidRDefault="002930D1" w:rsidP="00AF19CC">
            <w:pPr>
              <w:pStyle w:val="72TabletextTablesTableFigureBoxstyles"/>
            </w:pPr>
            <w:r w:rsidRPr="00FE7622">
              <w:rPr>
                <w:color w:val="auto"/>
              </w:rPr>
              <w:t>0.140</w:t>
            </w:r>
          </w:p>
        </w:tc>
        <w:tc>
          <w:tcPr>
            <w:tcW w:w="0" w:type="auto"/>
            <w:shd w:val="clear" w:color="auto" w:fill="FF0000"/>
          </w:tcPr>
          <w:p w14:paraId="069D2322" w14:textId="77777777" w:rsidR="002930D1" w:rsidRPr="00FE7622" w:rsidRDefault="002930D1" w:rsidP="00AF19CC">
            <w:pPr>
              <w:pStyle w:val="72TabletextTablesTableFigureBoxstyles"/>
            </w:pPr>
            <w:r w:rsidRPr="00FE7622">
              <w:rPr>
                <w:color w:val="auto"/>
              </w:rPr>
              <w:t>0.000</w:t>
            </w:r>
          </w:p>
        </w:tc>
        <w:tc>
          <w:tcPr>
            <w:tcW w:w="0" w:type="auto"/>
            <w:shd w:val="clear" w:color="auto" w:fill="FF0000"/>
          </w:tcPr>
          <w:p w14:paraId="55597E1B" w14:textId="77777777" w:rsidR="002930D1" w:rsidRPr="00FE7622" w:rsidRDefault="002930D1" w:rsidP="00AF19CC">
            <w:pPr>
              <w:pStyle w:val="72TabletextTablesTableFigureBoxstyles"/>
              <w:rPr>
                <w:color w:val="auto"/>
              </w:rPr>
            </w:pPr>
            <w:r w:rsidRPr="00FE7622">
              <w:rPr>
                <w:color w:val="auto"/>
              </w:rPr>
              <w:t>0.062</w:t>
            </w:r>
          </w:p>
        </w:tc>
        <w:tc>
          <w:tcPr>
            <w:tcW w:w="0" w:type="auto"/>
            <w:shd w:val="clear" w:color="auto" w:fill="FF0000"/>
          </w:tcPr>
          <w:p w14:paraId="6547B8D5" w14:textId="77777777" w:rsidR="002930D1" w:rsidRPr="00FE7622" w:rsidRDefault="002930D1" w:rsidP="00AF19CC">
            <w:pPr>
              <w:pStyle w:val="72TabletextTablesTableFigureBoxstyles"/>
              <w:rPr>
                <w:color w:val="auto"/>
              </w:rPr>
            </w:pPr>
            <w:r w:rsidRPr="00FE7622">
              <w:rPr>
                <w:color w:val="auto"/>
              </w:rPr>
              <w:t>–0.085</w:t>
            </w:r>
          </w:p>
        </w:tc>
        <w:tc>
          <w:tcPr>
            <w:tcW w:w="0" w:type="auto"/>
            <w:shd w:val="clear" w:color="auto" w:fill="FF0000"/>
          </w:tcPr>
          <w:p w14:paraId="6416ACF7" w14:textId="77777777" w:rsidR="002930D1" w:rsidRPr="00FE7622" w:rsidRDefault="002930D1" w:rsidP="00AF19CC">
            <w:pPr>
              <w:pStyle w:val="72TabletextTablesTableFigureBoxstyles"/>
              <w:rPr>
                <w:color w:val="auto"/>
              </w:rPr>
            </w:pPr>
            <w:r w:rsidRPr="00FE7622">
              <w:rPr>
                <w:color w:val="auto"/>
              </w:rPr>
              <w:t>–0.023</w:t>
            </w:r>
          </w:p>
        </w:tc>
      </w:tr>
      <w:tr w:rsidR="00C04FEE" w:rsidRPr="00FE7622" w14:paraId="4F997C2E" w14:textId="77777777" w:rsidTr="00AF19CC">
        <w:trPr>
          <w:cantSplit/>
        </w:trPr>
        <w:tc>
          <w:tcPr>
            <w:tcW w:w="0" w:type="auto"/>
            <w:shd w:val="clear" w:color="auto" w:fill="auto"/>
          </w:tcPr>
          <w:p w14:paraId="0C3B4C2B" w14:textId="154A5660" w:rsidR="002930D1" w:rsidRPr="00FE7622" w:rsidRDefault="002930D1" w:rsidP="00AF19CC">
            <w:pPr>
              <w:pStyle w:val="72TabletextTablesTableFigureBoxstyles"/>
            </w:pPr>
            <w:r w:rsidRPr="00FE7622">
              <w:rPr>
                <w:color w:val="auto"/>
              </w:rPr>
              <w:t>miR-485</w:t>
            </w:r>
            <w:r w:rsidR="005864CE" w:rsidRPr="00FE7622">
              <w:rPr>
                <w:color w:val="auto"/>
              </w:rPr>
              <w:t>-</w:t>
            </w:r>
            <w:r w:rsidRPr="00FE7622">
              <w:rPr>
                <w:color w:val="auto"/>
              </w:rPr>
              <w:t>3p</w:t>
            </w:r>
          </w:p>
        </w:tc>
        <w:tc>
          <w:tcPr>
            <w:tcW w:w="0" w:type="auto"/>
            <w:shd w:val="clear" w:color="auto" w:fill="FF0000"/>
          </w:tcPr>
          <w:p w14:paraId="59E5C537" w14:textId="77777777" w:rsidR="002930D1" w:rsidRPr="00FE7622" w:rsidRDefault="002930D1" w:rsidP="00AF19CC">
            <w:pPr>
              <w:pStyle w:val="72TabletextTablesTableFigureBoxstyles"/>
              <w:rPr>
                <w:color w:val="auto"/>
              </w:rPr>
            </w:pPr>
            <w:r w:rsidRPr="00FE7622">
              <w:rPr>
                <w:color w:val="auto"/>
              </w:rPr>
              <w:t>0.021</w:t>
            </w:r>
          </w:p>
        </w:tc>
        <w:tc>
          <w:tcPr>
            <w:tcW w:w="0" w:type="auto"/>
            <w:shd w:val="clear" w:color="auto" w:fill="FF0000"/>
          </w:tcPr>
          <w:p w14:paraId="5ECBC6A4" w14:textId="77777777" w:rsidR="002930D1" w:rsidRPr="00FE7622" w:rsidRDefault="002930D1" w:rsidP="00AF19CC">
            <w:pPr>
              <w:pStyle w:val="72TabletextTablesTableFigureBoxstyles"/>
            </w:pPr>
            <w:r w:rsidRPr="00FE7622">
              <w:rPr>
                <w:color w:val="auto"/>
              </w:rPr>
              <w:t>–0.029</w:t>
            </w:r>
          </w:p>
        </w:tc>
        <w:tc>
          <w:tcPr>
            <w:tcW w:w="0" w:type="auto"/>
            <w:shd w:val="clear" w:color="auto" w:fill="FF0000"/>
          </w:tcPr>
          <w:p w14:paraId="4A905E7D" w14:textId="77777777" w:rsidR="002930D1" w:rsidRPr="00FE7622" w:rsidRDefault="002930D1" w:rsidP="00AF19CC">
            <w:pPr>
              <w:pStyle w:val="72TabletextTablesTableFigureBoxstyles"/>
              <w:rPr>
                <w:color w:val="auto"/>
              </w:rPr>
            </w:pPr>
            <w:r w:rsidRPr="00FE7622">
              <w:rPr>
                <w:color w:val="auto"/>
              </w:rPr>
              <w:t>0.026</w:t>
            </w:r>
          </w:p>
        </w:tc>
        <w:tc>
          <w:tcPr>
            <w:tcW w:w="0" w:type="auto"/>
            <w:shd w:val="clear" w:color="auto" w:fill="FF0000"/>
          </w:tcPr>
          <w:p w14:paraId="1F85C43E" w14:textId="77777777" w:rsidR="002930D1" w:rsidRPr="00FE7622" w:rsidRDefault="002930D1" w:rsidP="00AF19CC">
            <w:pPr>
              <w:pStyle w:val="72TabletextTablesTableFigureBoxstyles"/>
            </w:pPr>
            <w:r w:rsidRPr="00FE7622">
              <w:rPr>
                <w:color w:val="auto"/>
              </w:rPr>
              <w:t>–0.018</w:t>
            </w:r>
          </w:p>
        </w:tc>
        <w:tc>
          <w:tcPr>
            <w:tcW w:w="0" w:type="auto"/>
            <w:shd w:val="clear" w:color="auto" w:fill="FF0000"/>
          </w:tcPr>
          <w:p w14:paraId="76D47500" w14:textId="77777777" w:rsidR="002930D1" w:rsidRPr="00FE7622" w:rsidRDefault="002930D1" w:rsidP="00AF19CC">
            <w:pPr>
              <w:pStyle w:val="72TabletextTablesTableFigureBoxstyles"/>
              <w:rPr>
                <w:color w:val="auto"/>
              </w:rPr>
            </w:pPr>
            <w:r w:rsidRPr="00FE7622">
              <w:rPr>
                <w:color w:val="auto"/>
              </w:rPr>
              <w:t>0.066</w:t>
            </w:r>
          </w:p>
        </w:tc>
      </w:tr>
      <w:tr w:rsidR="00964214" w:rsidRPr="00FE7622" w14:paraId="23091AA1" w14:textId="77777777" w:rsidTr="00AF19CC">
        <w:trPr>
          <w:cantSplit/>
        </w:trPr>
        <w:tc>
          <w:tcPr>
            <w:tcW w:w="0" w:type="auto"/>
            <w:gridSpan w:val="6"/>
            <w:shd w:val="clear" w:color="auto" w:fill="auto"/>
          </w:tcPr>
          <w:p w14:paraId="7A4518BB" w14:textId="0E13E10A" w:rsidR="00AF54E0" w:rsidRPr="00FE7622" w:rsidRDefault="00AF54E0" w:rsidP="00AF19CC">
            <w:pPr>
              <w:pStyle w:val="75TablenotesTablesTableFigureBoxstyles"/>
              <w:rPr>
                <w:lang w:val="en-GB"/>
              </w:rPr>
            </w:pPr>
            <w:bookmarkStart w:id="131" w:name="_Hlk68884854"/>
            <w:r w:rsidRPr="00FE7622">
              <w:rPr>
                <w:lang w:val="en-GB"/>
              </w:rPr>
              <w:t>ACE</w:t>
            </w:r>
            <w:r w:rsidR="00C04FEE" w:rsidRPr="00FE7622">
              <w:rPr>
                <w:lang w:val="en-GB"/>
              </w:rPr>
              <w:t>,</w:t>
            </w:r>
            <w:r w:rsidRPr="00FE7622">
              <w:rPr>
                <w:lang w:val="en-GB"/>
              </w:rPr>
              <w:t xml:space="preserve"> serum </w:t>
            </w:r>
            <w:r w:rsidR="000D7FCA" w:rsidRPr="00FE7622">
              <w:rPr>
                <w:lang w:val="en-GB"/>
              </w:rPr>
              <w:t>a</w:t>
            </w:r>
            <w:r w:rsidRPr="00FE7622">
              <w:rPr>
                <w:lang w:val="en-GB"/>
              </w:rPr>
              <w:t>ngiotensin-converting enzyme</w:t>
            </w:r>
            <w:r w:rsidR="00C04FEE" w:rsidRPr="00FE7622">
              <w:rPr>
                <w:lang w:val="en-GB"/>
              </w:rPr>
              <w:t>; BP, binding protein; GDF, growth differentiation factor;</w:t>
            </w:r>
            <w:r w:rsidRPr="00FE7622">
              <w:rPr>
                <w:lang w:val="en-GB"/>
              </w:rPr>
              <w:t xml:space="preserve"> </w:t>
            </w:r>
            <w:r w:rsidRPr="00842651">
              <w:rPr>
                <w:lang w:val="en-GB"/>
              </w:rPr>
              <w:t>IL</w:t>
            </w:r>
            <w:r w:rsidR="00C04FEE" w:rsidRPr="00FE7622">
              <w:rPr>
                <w:lang w:val="en-GB"/>
              </w:rPr>
              <w:t>,</w:t>
            </w:r>
            <w:r w:rsidRPr="00FE7622">
              <w:rPr>
                <w:lang w:val="en-GB"/>
              </w:rPr>
              <w:t xml:space="preserve"> </w:t>
            </w:r>
            <w:r w:rsidR="00C04FEE" w:rsidRPr="00FE7622">
              <w:rPr>
                <w:lang w:val="en-GB"/>
              </w:rPr>
              <w:t>i</w:t>
            </w:r>
            <w:r w:rsidRPr="00FE7622">
              <w:rPr>
                <w:lang w:val="en-GB"/>
              </w:rPr>
              <w:t>nterleukin</w:t>
            </w:r>
            <w:r w:rsidR="00C04FEE" w:rsidRPr="00FE7622">
              <w:rPr>
                <w:lang w:val="en-GB"/>
              </w:rPr>
              <w:t>;</w:t>
            </w:r>
            <w:r w:rsidRPr="00FE7622">
              <w:rPr>
                <w:lang w:val="en-GB"/>
              </w:rPr>
              <w:t xml:space="preserve"> miR, microRNA</w:t>
            </w:r>
            <w:r w:rsidR="00C04FEE" w:rsidRPr="00FE7622">
              <w:rPr>
                <w:lang w:val="en-GB"/>
              </w:rPr>
              <w:t>.</w:t>
            </w:r>
          </w:p>
          <w:p w14:paraId="5DCFE1EB" w14:textId="77777777" w:rsidR="00AF54E0" w:rsidRPr="00FE7622" w:rsidRDefault="00964214" w:rsidP="00AF19CC">
            <w:pPr>
              <w:pStyle w:val="75TablenotesTablesTableFigureBoxstyles"/>
              <w:rPr>
                <w:lang w:val="en-GB"/>
              </w:rPr>
            </w:pPr>
            <w:r w:rsidRPr="00FE7622">
              <w:rPr>
                <w:lang w:val="en-GB"/>
              </w:rPr>
              <w:t>All numbers are correlation coefficients.</w:t>
            </w:r>
          </w:p>
          <w:p w14:paraId="664615A3" w14:textId="7301A4B9" w:rsidR="00964214" w:rsidRPr="00FE7622" w:rsidRDefault="00964214" w:rsidP="00AF19CC">
            <w:pPr>
              <w:pStyle w:val="75TablenotesTablesTableFigureBoxstyles"/>
              <w:rPr>
                <w:lang w:val="en-GB"/>
              </w:rPr>
            </w:pPr>
            <w:r w:rsidRPr="00FE7622">
              <w:rPr>
                <w:lang w:val="en-GB"/>
              </w:rPr>
              <w:t>Red</w:t>
            </w:r>
            <w:r w:rsidR="00AF54E0" w:rsidRPr="00FE7622">
              <w:rPr>
                <w:lang w:val="en-GB"/>
              </w:rPr>
              <w:t>,</w:t>
            </w:r>
            <w:r w:rsidRPr="00FE7622">
              <w:rPr>
                <w:lang w:val="en-GB"/>
              </w:rPr>
              <w:t xml:space="preserve"> </w:t>
            </w:r>
            <w:r w:rsidR="00E038BF" w:rsidRPr="00FE7622">
              <w:rPr>
                <w:i/>
                <w:iCs/>
                <w:lang w:val="en-GB"/>
              </w:rPr>
              <w:t>r </w:t>
            </w:r>
            <w:r w:rsidRPr="00FE7622">
              <w:rPr>
                <w:lang w:val="en-GB"/>
              </w:rPr>
              <w:t xml:space="preserve">&lt; 0.100; </w:t>
            </w:r>
            <w:r w:rsidR="00442F6D" w:rsidRPr="00FE7622">
              <w:rPr>
                <w:lang w:val="en-GB"/>
              </w:rPr>
              <w:t>y</w:t>
            </w:r>
            <w:r w:rsidRPr="00FE7622">
              <w:rPr>
                <w:lang w:val="en-GB"/>
              </w:rPr>
              <w:t>ellow</w:t>
            </w:r>
            <w:r w:rsidR="00AF54E0" w:rsidRPr="00FE7622">
              <w:rPr>
                <w:lang w:val="en-GB"/>
              </w:rPr>
              <w:t>,</w:t>
            </w:r>
            <w:r w:rsidRPr="00FE7622">
              <w:rPr>
                <w:lang w:val="en-GB"/>
              </w:rPr>
              <w:t xml:space="preserve"> </w:t>
            </w:r>
            <w:r w:rsidR="00E038BF" w:rsidRPr="00FE7622">
              <w:rPr>
                <w:i/>
                <w:iCs/>
                <w:lang w:val="en-GB"/>
              </w:rPr>
              <w:t>r</w:t>
            </w:r>
            <w:r w:rsidRPr="00FE7622">
              <w:rPr>
                <w:lang w:val="en-GB"/>
              </w:rPr>
              <w:t> = 0.100</w:t>
            </w:r>
            <w:r w:rsidR="006839FD" w:rsidRPr="00FE7622">
              <w:rPr>
                <w:lang w:val="en-GB"/>
              </w:rPr>
              <w:t>–</w:t>
            </w:r>
            <w:r w:rsidRPr="00FE7622">
              <w:rPr>
                <w:lang w:val="en-GB"/>
              </w:rPr>
              <w:t xml:space="preserve">0.199; </w:t>
            </w:r>
            <w:r w:rsidR="00442F6D" w:rsidRPr="00FE7622">
              <w:rPr>
                <w:lang w:val="en-GB"/>
              </w:rPr>
              <w:t>g</w:t>
            </w:r>
            <w:r w:rsidRPr="00FE7622">
              <w:rPr>
                <w:lang w:val="en-GB"/>
              </w:rPr>
              <w:t>reen</w:t>
            </w:r>
            <w:r w:rsidR="00AF54E0" w:rsidRPr="00FE7622">
              <w:rPr>
                <w:lang w:val="en-GB"/>
              </w:rPr>
              <w:t>,</w:t>
            </w:r>
            <w:r w:rsidRPr="00FE7622">
              <w:rPr>
                <w:lang w:val="en-GB"/>
              </w:rPr>
              <w:t xml:space="preserve"> </w:t>
            </w:r>
            <w:r w:rsidR="00E038BF" w:rsidRPr="00FE7622">
              <w:rPr>
                <w:i/>
                <w:iCs/>
                <w:lang w:val="en-GB"/>
              </w:rPr>
              <w:t>r</w:t>
            </w:r>
            <w:r w:rsidR="006839FD" w:rsidRPr="00FE7622">
              <w:rPr>
                <w:lang w:val="en-GB"/>
              </w:rPr>
              <w:t> </w:t>
            </w:r>
            <w:r w:rsidRPr="00FE7622">
              <w:rPr>
                <w:lang w:val="en-GB"/>
              </w:rPr>
              <w:t>&gt; 0.200</w:t>
            </w:r>
            <w:r w:rsidR="00AF54E0" w:rsidRPr="00FE7622">
              <w:rPr>
                <w:lang w:val="en-GB"/>
              </w:rPr>
              <w:t>; p</w:t>
            </w:r>
            <w:r w:rsidRPr="00FE7622">
              <w:rPr>
                <w:lang w:val="en-GB"/>
              </w:rPr>
              <w:t>urple</w:t>
            </w:r>
            <w:r w:rsidR="00442F6D" w:rsidRPr="00FE7622">
              <w:rPr>
                <w:lang w:val="en-GB"/>
              </w:rPr>
              <w:t>,</w:t>
            </w:r>
            <w:r w:rsidRPr="00FE7622">
              <w:rPr>
                <w:lang w:val="en-GB"/>
              </w:rPr>
              <w:t xml:space="preserve"> </w:t>
            </w:r>
            <w:r w:rsidR="00442F6D" w:rsidRPr="00FE7622">
              <w:rPr>
                <w:lang w:val="en-GB"/>
              </w:rPr>
              <w:t>d</w:t>
            </w:r>
            <w:r w:rsidRPr="00FE7622">
              <w:rPr>
                <w:lang w:val="en-GB"/>
              </w:rPr>
              <w:t xml:space="preserve">irection of association opposite </w:t>
            </w:r>
            <w:r w:rsidR="007D388B" w:rsidRPr="00FE7622">
              <w:rPr>
                <w:lang w:val="en-GB"/>
              </w:rPr>
              <w:t>of that</w:t>
            </w:r>
            <w:r w:rsidRPr="00FE7622">
              <w:rPr>
                <w:lang w:val="en-GB"/>
              </w:rPr>
              <w:t xml:space="preserve"> expected (</w:t>
            </w:r>
            <w:r w:rsidR="00E038BF" w:rsidRPr="00FE7622">
              <w:rPr>
                <w:i/>
                <w:iCs/>
                <w:lang w:val="en-GB"/>
              </w:rPr>
              <w:t>r</w:t>
            </w:r>
            <w:r w:rsidR="006839FD" w:rsidRPr="00FE7622">
              <w:rPr>
                <w:lang w:val="en-GB"/>
              </w:rPr>
              <w:t> </w:t>
            </w:r>
            <w:r w:rsidR="00116377" w:rsidRPr="00FE7622">
              <w:rPr>
                <w:lang w:val="en-GB"/>
              </w:rPr>
              <w:t>≥ </w:t>
            </w:r>
            <w:r w:rsidRPr="00FE7622">
              <w:rPr>
                <w:lang w:val="en-GB"/>
              </w:rPr>
              <w:t>0.100).</w:t>
            </w:r>
          </w:p>
          <w:p w14:paraId="78B5A7F8" w14:textId="39CF7209" w:rsidR="00E425FC" w:rsidRPr="00FE7622" w:rsidRDefault="00E425FC" w:rsidP="00AF19CC">
            <w:pPr>
              <w:pStyle w:val="75TablenotesTablesTableFigureBoxstyles"/>
              <w:rPr>
                <w:lang w:val="en-GB"/>
              </w:rPr>
            </w:pPr>
            <w:r w:rsidRPr="00FE7622">
              <w:rPr>
                <w:lang w:val="en-GB"/>
              </w:rPr>
              <w:t>All numbers are correlation coefficients.</w:t>
            </w:r>
          </w:p>
          <w:p w14:paraId="1E7C5657" w14:textId="7AB8040A" w:rsidR="00964214" w:rsidRPr="00FE7622" w:rsidRDefault="00964214" w:rsidP="00AF19CC">
            <w:pPr>
              <w:pStyle w:val="75TablenotesTablesTableFigureBoxstyles"/>
            </w:pPr>
            <w:r w:rsidRPr="00FE7622">
              <w:rPr>
                <w:lang w:val="en-GB"/>
              </w:rPr>
              <w:t>Bold</w:t>
            </w:r>
            <w:r w:rsidR="00AC3CB1" w:rsidRPr="00FE7622">
              <w:rPr>
                <w:lang w:val="en-GB"/>
              </w:rPr>
              <w:t xml:space="preserve"> indicates a</w:t>
            </w:r>
            <w:r w:rsidR="00E038BF" w:rsidRPr="00FE7622">
              <w:rPr>
                <w:b/>
                <w:bCs/>
                <w:lang w:val="en-GB"/>
              </w:rPr>
              <w:t xml:space="preserve"> </w:t>
            </w:r>
            <w:r w:rsidR="00E038BF" w:rsidRPr="00FE7622">
              <w:rPr>
                <w:i/>
                <w:lang w:val="en-GB"/>
              </w:rPr>
              <w:t>p</w:t>
            </w:r>
            <w:r w:rsidR="00AC3CB1" w:rsidRPr="00FE7622">
              <w:rPr>
                <w:iCs/>
                <w:lang w:val="en-GB"/>
              </w:rPr>
              <w:t xml:space="preserve">-value of </w:t>
            </w:r>
            <w:r w:rsidRPr="00FE7622">
              <w:rPr>
                <w:lang w:val="en-GB"/>
              </w:rPr>
              <w:t>&lt; 0.05.</w:t>
            </w:r>
            <w:bookmarkEnd w:id="131"/>
          </w:p>
        </w:tc>
      </w:tr>
    </w:tbl>
    <w:p w14:paraId="04609BFB" w14:textId="54F5A6B3" w:rsidR="00F026E8" w:rsidRPr="00FE7622" w:rsidRDefault="00E038BF" w:rsidP="00964214">
      <w:pPr>
        <w:pStyle w:val="81FigurelegendTableFigureBoxstyles"/>
        <w:rPr>
          <w:sz w:val="18"/>
          <w:szCs w:val="18"/>
          <w:lang w:val="en-GB"/>
        </w:rPr>
      </w:pPr>
      <w:bookmarkStart w:id="132" w:name="_Hlk68945089"/>
      <w:r w:rsidRPr="00FE7622">
        <w:rPr>
          <w:b/>
        </w:rPr>
        <w:t>FIGURE 20</w:t>
      </w:r>
      <w:r w:rsidRPr="00FE7622">
        <w:rPr>
          <w:b/>
        </w:rPr>
        <w:t> </w:t>
      </w:r>
      <w:r w:rsidRPr="00E038BF">
        <w:rPr>
          <w:b/>
          <w:color w:val="FF00FF"/>
          <w:sz w:val="24"/>
        </w:rPr>
        <w:t>[24]</w:t>
      </w:r>
      <w:commentRangeStart w:id="133"/>
      <w:r w:rsidR="00F026E8" w:rsidRPr="00FE7622">
        <w:rPr>
          <w:lang w:val="en-GB"/>
        </w:rPr>
        <w:t>Association between genotype and baseline physical performance and appendicular muscle mass</w:t>
      </w:r>
      <w:bookmarkEnd w:id="132"/>
      <w:r w:rsidR="00F026E8" w:rsidRPr="00FE7622">
        <w:rPr>
          <w:lang w:val="en-GB"/>
        </w:rPr>
        <w:t xml:space="preserve">. </w:t>
      </w:r>
      <w:r w:rsidR="00F026E8" w:rsidRPr="00FE7622">
        <w:rPr>
          <w:sz w:val="18"/>
          <w:szCs w:val="18"/>
          <w:lang w:val="en-GB"/>
        </w:rPr>
        <w:t>Box</w:t>
      </w:r>
      <w:r w:rsidR="00E55E0C" w:rsidRPr="00FE7622">
        <w:rPr>
          <w:sz w:val="18"/>
          <w:szCs w:val="18"/>
          <w:lang w:val="en-GB"/>
        </w:rPr>
        <w:t xml:space="preserve"> </w:t>
      </w:r>
      <w:r w:rsidR="00F026E8" w:rsidRPr="00FE7622">
        <w:rPr>
          <w:sz w:val="18"/>
          <w:szCs w:val="18"/>
          <w:lang w:val="en-GB"/>
        </w:rPr>
        <w:t>plots show medians and interquartile ranges</w:t>
      </w:r>
      <w:r w:rsidR="005864CE" w:rsidRPr="00FE7622">
        <w:rPr>
          <w:sz w:val="18"/>
          <w:szCs w:val="18"/>
          <w:lang w:val="en-GB"/>
        </w:rPr>
        <w:t>.</w:t>
      </w:r>
      <w:commentRangeEnd w:id="133"/>
      <w:r w:rsidR="00F60E45" w:rsidRPr="00FE7622">
        <w:rPr>
          <w:rStyle w:val="CommentReference"/>
          <w:rFonts w:ascii="Times New Roman" w:hAnsi="Times New Roman" w:cs="Times New Roman"/>
          <w:color w:val="auto"/>
        </w:rPr>
        <w:commentReference w:id="133"/>
      </w:r>
    </w:p>
    <w:p w14:paraId="1F207013" w14:textId="439061F0" w:rsidR="00E038BF" w:rsidRPr="00FE7622" w:rsidRDefault="00E038BF" w:rsidP="00964214">
      <w:pPr>
        <w:pStyle w:val="52AheadHeadingsHeadingstyles"/>
      </w:pPr>
      <w:bookmarkStart w:id="134" w:name="_Toc79684549"/>
      <w:bookmarkStart w:id="135" w:name="_Hlk68849025"/>
      <w:r w:rsidRPr="00FE7622">
        <w:t>Association between baseline biomarkers and change in muscle measures over time</w:t>
      </w:r>
      <w:bookmarkEnd w:id="134"/>
    </w:p>
    <w:bookmarkEnd w:id="135"/>
    <w:p w14:paraId="595CC1AC" w14:textId="6F08F8FE" w:rsidR="00F026E8" w:rsidRPr="00FE7622" w:rsidRDefault="00F026E8" w:rsidP="00964214">
      <w:pPr>
        <w:pStyle w:val="602TextfoTextstylesTextstyles"/>
        <w:rPr>
          <w:color w:val="auto"/>
        </w:rPr>
      </w:pPr>
      <w:r w:rsidRPr="00FE7622">
        <w:rPr>
          <w:color w:val="auto"/>
        </w:rPr>
        <w:t xml:space="preserve">GDF-15, </w:t>
      </w:r>
      <w:r w:rsidRPr="00842651">
        <w:rPr>
          <w:color w:val="auto"/>
        </w:rPr>
        <w:t>IGF-1</w:t>
      </w:r>
      <w:r w:rsidRPr="00FE7622">
        <w:rPr>
          <w:color w:val="auto"/>
        </w:rPr>
        <w:t xml:space="preserve"> and serum ACE showed the most consistent associations with change in physical performance over time (</w:t>
      </w:r>
      <w:r w:rsidR="00E038BF" w:rsidRPr="00FE7622">
        <w:rPr>
          <w:i/>
          <w:color w:val="FF0000"/>
        </w:rPr>
        <w:t>Table 18</w:t>
      </w:r>
      <w:r w:rsidRPr="00FE7622">
        <w:rPr>
          <w:color w:val="auto"/>
        </w:rPr>
        <w:t xml:space="preserve">). The miRNA markers measured showed significant associations at some time points, but these associations were not consistent either across time points or across different measures of physical performance. Similarly, associations between genotype and changes in </w:t>
      </w:r>
      <w:r w:rsidRPr="00842651">
        <w:rPr>
          <w:color w:val="auto"/>
        </w:rPr>
        <w:t>SPPB</w:t>
      </w:r>
      <w:r w:rsidRPr="00FE7622">
        <w:rPr>
          <w:color w:val="auto"/>
        </w:rPr>
        <w:t xml:space="preserve"> and muscle mass (</w:t>
      </w:r>
      <w:r w:rsidR="00E038BF" w:rsidRPr="00FE7622">
        <w:rPr>
          <w:i/>
          <w:color w:val="FF0000"/>
        </w:rPr>
        <w:t>Figures 21</w:t>
      </w:r>
      <w:r w:rsidRPr="00FE7622">
        <w:rPr>
          <w:color w:val="auto"/>
        </w:rPr>
        <w:t xml:space="preserve"> and </w:t>
      </w:r>
      <w:r w:rsidR="00E038BF" w:rsidRPr="00FE7622">
        <w:rPr>
          <w:i/>
          <w:color w:val="FF0000"/>
        </w:rPr>
        <w:t>22</w:t>
      </w:r>
      <w:r w:rsidRPr="00FE7622">
        <w:rPr>
          <w:color w:val="auto"/>
        </w:rPr>
        <w:t xml:space="preserve">; analyses </w:t>
      </w:r>
      <w:r w:rsidR="003A1B89" w:rsidRPr="00FE7622">
        <w:rPr>
          <w:color w:val="auto"/>
        </w:rPr>
        <w:t xml:space="preserve">are </w:t>
      </w:r>
      <w:r w:rsidRPr="00FE7622">
        <w:rPr>
          <w:color w:val="auto"/>
        </w:rPr>
        <w:t xml:space="preserve">detailed in </w:t>
      </w:r>
      <w:r w:rsidR="00E038BF" w:rsidRPr="00FE7622">
        <w:rPr>
          <w:i/>
          <w:iCs/>
          <w:color w:val="auto"/>
        </w:rPr>
        <w:t>Appendix 5</w:t>
      </w:r>
      <w:r w:rsidRPr="00FE7622">
        <w:rPr>
          <w:color w:val="auto"/>
        </w:rPr>
        <w:t xml:space="preserve">, </w:t>
      </w:r>
      <w:r w:rsidR="00E038BF" w:rsidRPr="00FE7622">
        <w:rPr>
          <w:i/>
          <w:color w:val="auto"/>
        </w:rPr>
        <w:t>Tables 23</w:t>
      </w:r>
      <w:r w:rsidRPr="00FE7622">
        <w:rPr>
          <w:iCs/>
          <w:color w:val="auto"/>
        </w:rPr>
        <w:t>–</w:t>
      </w:r>
      <w:r w:rsidR="00E038BF" w:rsidRPr="00FE7622">
        <w:rPr>
          <w:i/>
          <w:color w:val="auto"/>
        </w:rPr>
        <w:t>26</w:t>
      </w:r>
      <w:r w:rsidRPr="00FE7622">
        <w:rPr>
          <w:color w:val="auto"/>
        </w:rPr>
        <w:t xml:space="preserve">) were weak and inconsistent across time points, with only the presence of the ACE insertion allele reaching significance for men and women for </w:t>
      </w:r>
      <w:r w:rsidRPr="00842651">
        <w:rPr>
          <w:color w:val="auto"/>
        </w:rPr>
        <w:t>SPPB</w:t>
      </w:r>
      <w:r w:rsidRPr="00FE7622">
        <w:rPr>
          <w:color w:val="auto"/>
        </w:rPr>
        <w:t xml:space="preserve"> change at 12 months.</w:t>
      </w:r>
    </w:p>
    <w:p w14:paraId="567EC736" w14:textId="46450B8E" w:rsidR="00F026E8" w:rsidRPr="00FE7622" w:rsidRDefault="00E038BF" w:rsidP="00F026E8">
      <w:pPr>
        <w:pStyle w:val="70TablelegendTablesTableFigureBoxstyles"/>
        <w:rPr>
          <w:lang w:val="en-GB"/>
        </w:rPr>
      </w:pPr>
      <w:r w:rsidRPr="00FE7622">
        <w:rPr>
          <w:b/>
        </w:rPr>
        <w:t>TABLE 18</w:t>
      </w:r>
      <w:r w:rsidRPr="00FE7622">
        <w:rPr>
          <w:b/>
        </w:rPr>
        <w:t> </w:t>
      </w:r>
      <w:r w:rsidR="00F026E8" w:rsidRPr="00FE7622">
        <w:rPr>
          <w:lang w:val="en-GB"/>
        </w:rPr>
        <w:t>Association between baseline biomarkers and changes over time in physical performance and muscle mass</w:t>
      </w:r>
    </w:p>
    <w:p w14:paraId="58AD59C1" w14:textId="7DC47C03" w:rsidR="00F026E8" w:rsidRPr="00FE7622" w:rsidRDefault="00E038BF" w:rsidP="00964214">
      <w:pPr>
        <w:pStyle w:val="602TextfoTextstylesTextstyles"/>
        <w:rPr>
          <w:i/>
          <w:color w:val="FF0000"/>
        </w:rPr>
      </w:pPr>
      <w:r w:rsidRPr="00FE7622">
        <w:rPr>
          <w:i/>
          <w:color w:val="FF0000"/>
        </w:rPr>
        <w:t>&lt;&lt;Typesetter please retain shading using journal style colours&gt;&gt;</w:t>
      </w:r>
    </w:p>
    <w:tbl>
      <w:tblPr>
        <w:tblW w:w="0" w:type="auto"/>
        <w:tblCellMar>
          <w:top w:w="40" w:type="dxa"/>
          <w:left w:w="60" w:type="dxa"/>
          <w:bottom w:w="40" w:type="dxa"/>
          <w:right w:w="60" w:type="dxa"/>
        </w:tblCellMar>
        <w:tblLook w:val="04A0" w:firstRow="1" w:lastRow="0" w:firstColumn="1" w:lastColumn="0" w:noHBand="0" w:noVBand="1"/>
      </w:tblPr>
      <w:tblGrid>
        <w:gridCol w:w="971"/>
        <w:gridCol w:w="858"/>
        <w:gridCol w:w="867"/>
        <w:gridCol w:w="847"/>
        <w:gridCol w:w="856"/>
        <w:gridCol w:w="989"/>
        <w:gridCol w:w="997"/>
        <w:gridCol w:w="860"/>
        <w:gridCol w:w="868"/>
        <w:gridCol w:w="913"/>
      </w:tblGrid>
      <w:tr w:rsidR="00BA79A5" w:rsidRPr="00FE7622" w14:paraId="67511242" w14:textId="77777777" w:rsidTr="00AF19CC">
        <w:trPr>
          <w:cantSplit/>
          <w:trHeight w:val="338"/>
        </w:trPr>
        <w:tc>
          <w:tcPr>
            <w:tcW w:w="0" w:type="auto"/>
            <w:shd w:val="clear" w:color="auto" w:fill="auto"/>
          </w:tcPr>
          <w:p w14:paraId="0D59139D" w14:textId="61D913FC" w:rsidR="00964214" w:rsidRPr="00FE7622" w:rsidRDefault="00E038BF" w:rsidP="00AF19CC">
            <w:pPr>
              <w:pStyle w:val="710TableheadTablesTableFigureBoxstyles"/>
              <w:rPr>
                <w:rFonts w:eastAsia="Calibri"/>
              </w:rPr>
            </w:pPr>
            <w:r w:rsidRPr="00FE7622">
              <w:rPr>
                <w:rFonts w:eastAsia="Calibri"/>
              </w:rPr>
              <w:t>Baseline biomarker</w:t>
            </w:r>
          </w:p>
        </w:tc>
        <w:tc>
          <w:tcPr>
            <w:tcW w:w="0" w:type="auto"/>
            <w:shd w:val="clear" w:color="auto" w:fill="auto"/>
          </w:tcPr>
          <w:p w14:paraId="42C8512B" w14:textId="5FE09CBC" w:rsidR="00964214" w:rsidRPr="00FE7622" w:rsidRDefault="00E038BF" w:rsidP="00AF19CC">
            <w:pPr>
              <w:pStyle w:val="710TableheadTablesTableFigureBoxstyles"/>
              <w:rPr>
                <w:rFonts w:eastAsia="Calibri"/>
              </w:rPr>
            </w:pPr>
            <w:r w:rsidRPr="00FE7622">
              <w:rPr>
                <w:rFonts w:eastAsia="Calibri"/>
              </w:rPr>
              <w:t xml:space="preserve">Change in </w:t>
            </w:r>
            <w:r w:rsidRPr="00842651">
              <w:rPr>
                <w:rFonts w:eastAsia="Calibri"/>
              </w:rPr>
              <w:t>SPPB</w:t>
            </w:r>
            <w:r w:rsidRPr="00FE7622">
              <w:rPr>
                <w:rFonts w:eastAsia="Calibri"/>
              </w:rPr>
              <w:t>: 0 vs. 6 months</w:t>
            </w:r>
          </w:p>
        </w:tc>
        <w:tc>
          <w:tcPr>
            <w:tcW w:w="0" w:type="auto"/>
            <w:shd w:val="clear" w:color="auto" w:fill="auto"/>
          </w:tcPr>
          <w:p w14:paraId="0ED909BE" w14:textId="46E9D19B" w:rsidR="00964214" w:rsidRPr="00FE7622" w:rsidRDefault="00E038BF" w:rsidP="00AF19CC">
            <w:pPr>
              <w:pStyle w:val="710TableheadTablesTableFigureBoxstyles"/>
              <w:rPr>
                <w:rFonts w:eastAsia="Calibri"/>
              </w:rPr>
            </w:pPr>
            <w:r w:rsidRPr="00FE7622">
              <w:rPr>
                <w:rFonts w:eastAsia="Calibri"/>
              </w:rPr>
              <w:t xml:space="preserve">Change in </w:t>
            </w:r>
            <w:r w:rsidRPr="00842651">
              <w:rPr>
                <w:rFonts w:eastAsia="Calibri"/>
              </w:rPr>
              <w:t>SPPB</w:t>
            </w:r>
            <w:r w:rsidRPr="00FE7622">
              <w:rPr>
                <w:rFonts w:eastAsia="Calibri"/>
              </w:rPr>
              <w:t>: 0 vs. 12 months</w:t>
            </w:r>
          </w:p>
        </w:tc>
        <w:tc>
          <w:tcPr>
            <w:tcW w:w="0" w:type="auto"/>
            <w:shd w:val="clear" w:color="auto" w:fill="auto"/>
          </w:tcPr>
          <w:p w14:paraId="323F5AF0" w14:textId="131B0413" w:rsidR="00964214" w:rsidRPr="00FE7622" w:rsidRDefault="00E038BF" w:rsidP="00AF19CC">
            <w:pPr>
              <w:pStyle w:val="710TableheadTablesTableFigureBoxstyles"/>
              <w:rPr>
                <w:rFonts w:eastAsia="Calibri"/>
              </w:rPr>
            </w:pPr>
            <w:r w:rsidRPr="00FE7622">
              <w:rPr>
                <w:rFonts w:eastAsia="Calibri"/>
              </w:rPr>
              <w:t>Change in grip: 0 vs. 6 months</w:t>
            </w:r>
          </w:p>
        </w:tc>
        <w:tc>
          <w:tcPr>
            <w:tcW w:w="0" w:type="auto"/>
            <w:shd w:val="clear" w:color="auto" w:fill="auto"/>
          </w:tcPr>
          <w:p w14:paraId="19169FB1" w14:textId="0E77FB70" w:rsidR="00964214" w:rsidRPr="00FE7622" w:rsidRDefault="00E038BF" w:rsidP="00AF19CC">
            <w:pPr>
              <w:pStyle w:val="710TableheadTablesTableFigureBoxstyles"/>
              <w:rPr>
                <w:rFonts w:eastAsia="Calibri"/>
              </w:rPr>
            </w:pPr>
            <w:r w:rsidRPr="00FE7622">
              <w:rPr>
                <w:rFonts w:eastAsia="Calibri"/>
              </w:rPr>
              <w:t>Change in grip: 0 vs. 12 months</w:t>
            </w:r>
          </w:p>
        </w:tc>
        <w:tc>
          <w:tcPr>
            <w:tcW w:w="0" w:type="auto"/>
            <w:shd w:val="clear" w:color="auto" w:fill="auto"/>
          </w:tcPr>
          <w:p w14:paraId="55FCE250" w14:textId="2BF5A372" w:rsidR="00964214" w:rsidRPr="00FE7622" w:rsidRDefault="00E038BF" w:rsidP="00AF19CC">
            <w:pPr>
              <w:pStyle w:val="710TableheadTablesTableFigureBoxstyles"/>
              <w:rPr>
                <w:rFonts w:eastAsia="Calibri"/>
              </w:rPr>
            </w:pPr>
            <w:r w:rsidRPr="00FE7622">
              <w:rPr>
                <w:rFonts w:eastAsia="Calibri"/>
              </w:rPr>
              <w:t>Change leg strength: 0 vs. 6 months</w:t>
            </w:r>
          </w:p>
        </w:tc>
        <w:tc>
          <w:tcPr>
            <w:tcW w:w="0" w:type="auto"/>
            <w:shd w:val="clear" w:color="auto" w:fill="auto"/>
          </w:tcPr>
          <w:p w14:paraId="77C53B0F" w14:textId="098C2941" w:rsidR="00964214" w:rsidRPr="00FE7622" w:rsidRDefault="00E038BF" w:rsidP="00AF19CC">
            <w:pPr>
              <w:pStyle w:val="710TableheadTablesTableFigureBoxstyles"/>
              <w:rPr>
                <w:rFonts w:eastAsia="Calibri"/>
              </w:rPr>
            </w:pPr>
            <w:r w:rsidRPr="00FE7622">
              <w:rPr>
                <w:rFonts w:eastAsia="Calibri"/>
              </w:rPr>
              <w:t>Change leg strength: 0 vs. 12 months</w:t>
            </w:r>
          </w:p>
        </w:tc>
        <w:tc>
          <w:tcPr>
            <w:tcW w:w="0" w:type="auto"/>
            <w:shd w:val="clear" w:color="auto" w:fill="auto"/>
          </w:tcPr>
          <w:p w14:paraId="5FC45F35" w14:textId="6117581C" w:rsidR="00964214" w:rsidRPr="00FE7622" w:rsidRDefault="00E038BF" w:rsidP="00AF19CC">
            <w:pPr>
              <w:pStyle w:val="710TableheadTablesTableFigureBoxstyles"/>
              <w:rPr>
                <w:rFonts w:eastAsia="Calibri"/>
              </w:rPr>
            </w:pPr>
            <w:r w:rsidRPr="00FE7622">
              <w:rPr>
                <w:rFonts w:eastAsia="Calibri"/>
              </w:rPr>
              <w:t>Change in 6MW: 0 vs. 6 months</w:t>
            </w:r>
          </w:p>
        </w:tc>
        <w:tc>
          <w:tcPr>
            <w:tcW w:w="0" w:type="auto"/>
            <w:shd w:val="clear" w:color="auto" w:fill="auto"/>
          </w:tcPr>
          <w:p w14:paraId="167BC497" w14:textId="579C1E89" w:rsidR="00964214" w:rsidRPr="00FE7622" w:rsidRDefault="00E038BF" w:rsidP="00AF19CC">
            <w:pPr>
              <w:pStyle w:val="710TableheadTablesTableFigureBoxstyles"/>
              <w:rPr>
                <w:rFonts w:eastAsia="Calibri"/>
              </w:rPr>
            </w:pPr>
            <w:r w:rsidRPr="00FE7622">
              <w:rPr>
                <w:rFonts w:eastAsia="Calibri"/>
              </w:rPr>
              <w:t>Change in 6MW: 0 vs. 12 months</w:t>
            </w:r>
          </w:p>
        </w:tc>
        <w:tc>
          <w:tcPr>
            <w:tcW w:w="0" w:type="auto"/>
            <w:shd w:val="clear" w:color="auto" w:fill="auto"/>
          </w:tcPr>
          <w:p w14:paraId="4AA998A0" w14:textId="1B4C4AFC" w:rsidR="00964214" w:rsidRPr="00FE7622" w:rsidRDefault="00E038BF" w:rsidP="00AF19CC">
            <w:pPr>
              <w:pStyle w:val="710TableheadTablesTableFigureBoxstyles"/>
              <w:rPr>
                <w:rFonts w:eastAsia="Calibri"/>
              </w:rPr>
            </w:pPr>
            <w:r w:rsidRPr="00FE7622">
              <w:rPr>
                <w:rFonts w:eastAsia="Calibri"/>
              </w:rPr>
              <w:t>Change in muscle mass: 0 vs. 12 months</w:t>
            </w:r>
          </w:p>
        </w:tc>
      </w:tr>
      <w:tr w:rsidR="00BA79A5" w:rsidRPr="00FE7622" w14:paraId="51D5B24A" w14:textId="77777777" w:rsidTr="00AF19CC">
        <w:trPr>
          <w:cantSplit/>
        </w:trPr>
        <w:tc>
          <w:tcPr>
            <w:tcW w:w="0" w:type="auto"/>
            <w:shd w:val="clear" w:color="auto" w:fill="auto"/>
          </w:tcPr>
          <w:p w14:paraId="2C36498A" w14:textId="77777777" w:rsidR="00964214" w:rsidRPr="00FE7622" w:rsidRDefault="00964214" w:rsidP="00AF19CC">
            <w:pPr>
              <w:pStyle w:val="72TabletextTablesTableFigureBoxstyles"/>
              <w:rPr>
                <w:rFonts w:eastAsia="Calibri"/>
              </w:rPr>
            </w:pPr>
            <w:r w:rsidRPr="00FE7622">
              <w:rPr>
                <w:rFonts w:eastAsia="Calibri"/>
                <w:color w:val="auto"/>
              </w:rPr>
              <w:t>GDF-15</w:t>
            </w:r>
          </w:p>
        </w:tc>
        <w:tc>
          <w:tcPr>
            <w:tcW w:w="0" w:type="auto"/>
            <w:shd w:val="clear" w:color="auto" w:fill="FF33CC"/>
          </w:tcPr>
          <w:p w14:paraId="39B00BA0" w14:textId="77777777" w:rsidR="00964214" w:rsidRPr="00FE7622" w:rsidRDefault="00964214" w:rsidP="00AF19CC">
            <w:pPr>
              <w:pStyle w:val="72TabletextTablesTableFigureBoxstyles"/>
              <w:rPr>
                <w:rFonts w:eastAsia="Calibri"/>
              </w:rPr>
            </w:pPr>
            <w:r w:rsidRPr="00FE7622">
              <w:rPr>
                <w:rFonts w:eastAsia="Calibri"/>
                <w:color w:val="auto"/>
              </w:rPr>
              <w:t>0.121</w:t>
            </w:r>
          </w:p>
        </w:tc>
        <w:tc>
          <w:tcPr>
            <w:tcW w:w="0" w:type="auto"/>
            <w:shd w:val="clear" w:color="auto" w:fill="FF33CC"/>
          </w:tcPr>
          <w:p w14:paraId="31BAC075" w14:textId="77777777" w:rsidR="00964214" w:rsidRPr="00FE7622" w:rsidRDefault="00964214" w:rsidP="00AF19CC">
            <w:pPr>
              <w:pStyle w:val="72TabletextTablesTableFigureBoxstyles"/>
              <w:rPr>
                <w:rFonts w:eastAsia="Calibri"/>
                <w:color w:val="auto"/>
              </w:rPr>
            </w:pPr>
            <w:r w:rsidRPr="00FE7622">
              <w:rPr>
                <w:rFonts w:eastAsia="Calibri"/>
                <w:color w:val="auto"/>
              </w:rPr>
              <w:t>0.155</w:t>
            </w:r>
          </w:p>
        </w:tc>
        <w:tc>
          <w:tcPr>
            <w:tcW w:w="0" w:type="auto"/>
            <w:shd w:val="clear" w:color="auto" w:fill="FFFF00"/>
          </w:tcPr>
          <w:p w14:paraId="64761F58" w14:textId="77777777" w:rsidR="00964214" w:rsidRPr="00FE7622" w:rsidRDefault="00964214" w:rsidP="00AF19CC">
            <w:pPr>
              <w:pStyle w:val="72TabletextTablesTableFigureBoxstyles"/>
              <w:rPr>
                <w:rFonts w:eastAsia="Calibri"/>
              </w:rPr>
            </w:pPr>
            <w:r w:rsidRPr="00FE7622">
              <w:rPr>
                <w:rFonts w:eastAsia="Calibri"/>
                <w:color w:val="auto"/>
              </w:rPr>
              <w:t>–0.111</w:t>
            </w:r>
          </w:p>
        </w:tc>
        <w:tc>
          <w:tcPr>
            <w:tcW w:w="0" w:type="auto"/>
            <w:shd w:val="clear" w:color="auto" w:fill="FF0000"/>
          </w:tcPr>
          <w:p w14:paraId="229D60D1" w14:textId="77777777" w:rsidR="00964214" w:rsidRPr="00FE7622" w:rsidRDefault="00964214" w:rsidP="00AF19CC">
            <w:pPr>
              <w:pStyle w:val="72TabletextTablesTableFigureBoxstyles"/>
              <w:rPr>
                <w:rFonts w:eastAsia="Calibri"/>
              </w:rPr>
            </w:pPr>
            <w:r w:rsidRPr="00FE7622">
              <w:rPr>
                <w:rFonts w:eastAsia="Calibri"/>
                <w:color w:val="auto"/>
              </w:rPr>
              <w:t>0.077</w:t>
            </w:r>
          </w:p>
        </w:tc>
        <w:tc>
          <w:tcPr>
            <w:tcW w:w="0" w:type="auto"/>
            <w:shd w:val="clear" w:color="auto" w:fill="FF33CC"/>
          </w:tcPr>
          <w:p w14:paraId="0A97F058" w14:textId="58E55786" w:rsidR="00964214" w:rsidRPr="00FE7622" w:rsidRDefault="00E038BF" w:rsidP="00AF19CC">
            <w:pPr>
              <w:pStyle w:val="72TabletextTablesTableFigureBoxstyles"/>
              <w:rPr>
                <w:rFonts w:eastAsia="Calibri"/>
                <w:b/>
                <w:bCs/>
              </w:rPr>
            </w:pPr>
            <w:r w:rsidRPr="00FE7622">
              <w:rPr>
                <w:rFonts w:eastAsia="Calibri"/>
                <w:b/>
                <w:bCs/>
                <w:color w:val="auto"/>
              </w:rPr>
              <w:t>0.261</w:t>
            </w:r>
          </w:p>
        </w:tc>
        <w:tc>
          <w:tcPr>
            <w:tcW w:w="0" w:type="auto"/>
            <w:shd w:val="clear" w:color="auto" w:fill="FF0000"/>
          </w:tcPr>
          <w:p w14:paraId="01EC1F36" w14:textId="77777777" w:rsidR="00964214" w:rsidRPr="00FE7622" w:rsidRDefault="00964214" w:rsidP="00AF19CC">
            <w:pPr>
              <w:pStyle w:val="72TabletextTablesTableFigureBoxstyles"/>
              <w:rPr>
                <w:rFonts w:eastAsia="Calibri"/>
                <w:b/>
                <w:bCs/>
              </w:rPr>
            </w:pPr>
            <w:r w:rsidRPr="00FE7622">
              <w:rPr>
                <w:rFonts w:eastAsia="Calibri"/>
                <w:color w:val="auto"/>
              </w:rPr>
              <w:t>0.013</w:t>
            </w:r>
          </w:p>
        </w:tc>
        <w:tc>
          <w:tcPr>
            <w:tcW w:w="0" w:type="auto"/>
            <w:shd w:val="clear" w:color="auto" w:fill="FF0000"/>
          </w:tcPr>
          <w:p w14:paraId="5A7619C8" w14:textId="77777777" w:rsidR="00964214" w:rsidRPr="00FE7622" w:rsidRDefault="00964214" w:rsidP="00AF19CC">
            <w:pPr>
              <w:pStyle w:val="72TabletextTablesTableFigureBoxstyles"/>
              <w:rPr>
                <w:rFonts w:eastAsia="Calibri"/>
              </w:rPr>
            </w:pPr>
            <w:r w:rsidRPr="00FE7622">
              <w:rPr>
                <w:rFonts w:eastAsia="Calibri"/>
                <w:color w:val="auto"/>
              </w:rPr>
              <w:t>0.031</w:t>
            </w:r>
          </w:p>
        </w:tc>
        <w:tc>
          <w:tcPr>
            <w:tcW w:w="0" w:type="auto"/>
            <w:shd w:val="clear" w:color="auto" w:fill="FF0000"/>
          </w:tcPr>
          <w:p w14:paraId="7FC7EC37" w14:textId="77777777" w:rsidR="00964214" w:rsidRPr="00FE7622" w:rsidRDefault="00964214" w:rsidP="00AF19CC">
            <w:pPr>
              <w:pStyle w:val="72TabletextTablesTableFigureBoxstyles"/>
              <w:rPr>
                <w:rFonts w:eastAsia="Calibri"/>
                <w:color w:val="auto"/>
              </w:rPr>
            </w:pPr>
            <w:r w:rsidRPr="00FE7622">
              <w:rPr>
                <w:rFonts w:eastAsia="Calibri"/>
                <w:color w:val="auto"/>
              </w:rPr>
              <w:t>0.034</w:t>
            </w:r>
          </w:p>
        </w:tc>
        <w:tc>
          <w:tcPr>
            <w:tcW w:w="0" w:type="auto"/>
            <w:shd w:val="clear" w:color="auto" w:fill="FFFF00"/>
          </w:tcPr>
          <w:p w14:paraId="19399A00" w14:textId="77777777" w:rsidR="00964214" w:rsidRPr="00FE7622" w:rsidRDefault="00964214" w:rsidP="00AF19CC">
            <w:pPr>
              <w:pStyle w:val="72TabletextTablesTableFigureBoxstyles"/>
              <w:rPr>
                <w:rFonts w:eastAsia="Calibri"/>
                <w:color w:val="auto"/>
              </w:rPr>
            </w:pPr>
            <w:r w:rsidRPr="00FE7622">
              <w:rPr>
                <w:rFonts w:eastAsia="Calibri"/>
                <w:color w:val="auto"/>
              </w:rPr>
              <w:t>–0.119</w:t>
            </w:r>
          </w:p>
        </w:tc>
      </w:tr>
      <w:tr w:rsidR="00BA79A5" w:rsidRPr="00FE7622" w14:paraId="7ADA1457" w14:textId="77777777" w:rsidTr="00AF19CC">
        <w:trPr>
          <w:cantSplit/>
        </w:trPr>
        <w:tc>
          <w:tcPr>
            <w:tcW w:w="0" w:type="auto"/>
            <w:shd w:val="clear" w:color="auto" w:fill="auto"/>
          </w:tcPr>
          <w:p w14:paraId="0E2594E1" w14:textId="77777777" w:rsidR="00964214" w:rsidRPr="00FE7622" w:rsidRDefault="00964214" w:rsidP="00AF19CC">
            <w:pPr>
              <w:pStyle w:val="72TabletextTablesTableFigureBoxstyles"/>
              <w:rPr>
                <w:rFonts w:eastAsia="Calibri"/>
              </w:rPr>
            </w:pPr>
            <w:r w:rsidRPr="00FE7622">
              <w:rPr>
                <w:rFonts w:eastAsia="Calibri"/>
                <w:color w:val="auto"/>
              </w:rPr>
              <w:t>Renin</w:t>
            </w:r>
          </w:p>
        </w:tc>
        <w:tc>
          <w:tcPr>
            <w:tcW w:w="0" w:type="auto"/>
            <w:shd w:val="clear" w:color="auto" w:fill="FF0000"/>
          </w:tcPr>
          <w:p w14:paraId="52CD46F7" w14:textId="77777777" w:rsidR="00964214" w:rsidRPr="00FE7622" w:rsidRDefault="00964214" w:rsidP="00AF19CC">
            <w:pPr>
              <w:pStyle w:val="72TabletextTablesTableFigureBoxstyles"/>
              <w:rPr>
                <w:rFonts w:eastAsia="Calibri"/>
              </w:rPr>
            </w:pPr>
            <w:r w:rsidRPr="00FE7622">
              <w:rPr>
                <w:rFonts w:eastAsia="Calibri"/>
                <w:color w:val="auto"/>
              </w:rPr>
              <w:t>0.006</w:t>
            </w:r>
          </w:p>
        </w:tc>
        <w:tc>
          <w:tcPr>
            <w:tcW w:w="0" w:type="auto"/>
            <w:shd w:val="clear" w:color="auto" w:fill="FF0000"/>
          </w:tcPr>
          <w:p w14:paraId="282859A8" w14:textId="77777777" w:rsidR="00964214" w:rsidRPr="00FE7622" w:rsidRDefault="00964214" w:rsidP="00AF19CC">
            <w:pPr>
              <w:pStyle w:val="72TabletextTablesTableFigureBoxstyles"/>
              <w:rPr>
                <w:rFonts w:eastAsia="Calibri"/>
              </w:rPr>
            </w:pPr>
            <w:r w:rsidRPr="00FE7622">
              <w:rPr>
                <w:rFonts w:eastAsia="Calibri"/>
                <w:color w:val="auto"/>
              </w:rPr>
              <w:t>0.016</w:t>
            </w:r>
          </w:p>
        </w:tc>
        <w:tc>
          <w:tcPr>
            <w:tcW w:w="0" w:type="auto"/>
            <w:shd w:val="clear" w:color="auto" w:fill="FF0000"/>
          </w:tcPr>
          <w:p w14:paraId="2F045966" w14:textId="77777777" w:rsidR="00964214" w:rsidRPr="00FE7622" w:rsidRDefault="00964214" w:rsidP="00AF19CC">
            <w:pPr>
              <w:pStyle w:val="72TabletextTablesTableFigureBoxstyles"/>
              <w:rPr>
                <w:rFonts w:eastAsia="Calibri"/>
              </w:rPr>
            </w:pPr>
            <w:r w:rsidRPr="00FE7622">
              <w:rPr>
                <w:rFonts w:eastAsia="Calibri"/>
                <w:color w:val="auto"/>
              </w:rPr>
              <w:t>0.048</w:t>
            </w:r>
          </w:p>
        </w:tc>
        <w:tc>
          <w:tcPr>
            <w:tcW w:w="0" w:type="auto"/>
            <w:shd w:val="clear" w:color="auto" w:fill="FF0000"/>
          </w:tcPr>
          <w:p w14:paraId="54E66FF3" w14:textId="77777777" w:rsidR="00964214" w:rsidRPr="00FE7622" w:rsidRDefault="00964214" w:rsidP="00AF19CC">
            <w:pPr>
              <w:pStyle w:val="72TabletextTablesTableFigureBoxstyles"/>
              <w:rPr>
                <w:rFonts w:eastAsia="Calibri"/>
              </w:rPr>
            </w:pPr>
            <w:r w:rsidRPr="00FE7622">
              <w:rPr>
                <w:rFonts w:eastAsia="Calibri"/>
                <w:color w:val="auto"/>
              </w:rPr>
              <w:t>0.039</w:t>
            </w:r>
          </w:p>
        </w:tc>
        <w:tc>
          <w:tcPr>
            <w:tcW w:w="0" w:type="auto"/>
            <w:shd w:val="clear" w:color="auto" w:fill="FF0000"/>
          </w:tcPr>
          <w:p w14:paraId="2761AB93" w14:textId="77777777" w:rsidR="00964214" w:rsidRPr="00FE7622" w:rsidRDefault="00964214" w:rsidP="00AF19CC">
            <w:pPr>
              <w:pStyle w:val="72TabletextTablesTableFigureBoxstyles"/>
              <w:rPr>
                <w:rFonts w:eastAsia="Calibri"/>
                <w:color w:val="auto"/>
              </w:rPr>
            </w:pPr>
            <w:r w:rsidRPr="00FE7622">
              <w:rPr>
                <w:rFonts w:eastAsia="Calibri"/>
                <w:color w:val="auto"/>
              </w:rPr>
              <w:t>0.011</w:t>
            </w:r>
          </w:p>
        </w:tc>
        <w:tc>
          <w:tcPr>
            <w:tcW w:w="0" w:type="auto"/>
            <w:shd w:val="clear" w:color="auto" w:fill="FF0000"/>
          </w:tcPr>
          <w:p w14:paraId="68FFE843" w14:textId="77777777" w:rsidR="00964214" w:rsidRPr="00FE7622" w:rsidRDefault="00964214" w:rsidP="00AF19CC">
            <w:pPr>
              <w:pStyle w:val="72TabletextTablesTableFigureBoxstyles"/>
              <w:rPr>
                <w:rFonts w:eastAsia="Calibri"/>
              </w:rPr>
            </w:pPr>
            <w:r w:rsidRPr="00FE7622">
              <w:rPr>
                <w:rFonts w:eastAsia="Calibri"/>
                <w:color w:val="auto"/>
              </w:rPr>
              <w:t>–0.076</w:t>
            </w:r>
          </w:p>
        </w:tc>
        <w:tc>
          <w:tcPr>
            <w:tcW w:w="0" w:type="auto"/>
            <w:shd w:val="clear" w:color="auto" w:fill="FF0000"/>
          </w:tcPr>
          <w:p w14:paraId="3C7E4595" w14:textId="77777777" w:rsidR="00964214" w:rsidRPr="00FE7622" w:rsidRDefault="00964214" w:rsidP="00AF19CC">
            <w:pPr>
              <w:pStyle w:val="72TabletextTablesTableFigureBoxstyles"/>
              <w:rPr>
                <w:rFonts w:eastAsia="Calibri"/>
              </w:rPr>
            </w:pPr>
            <w:r w:rsidRPr="00FE7622">
              <w:rPr>
                <w:rFonts w:eastAsia="Calibri"/>
                <w:color w:val="auto"/>
              </w:rPr>
              <w:t>0.054</w:t>
            </w:r>
          </w:p>
        </w:tc>
        <w:tc>
          <w:tcPr>
            <w:tcW w:w="0" w:type="auto"/>
            <w:shd w:val="clear" w:color="auto" w:fill="FF0000"/>
          </w:tcPr>
          <w:p w14:paraId="5340268A" w14:textId="77777777" w:rsidR="00964214" w:rsidRPr="00FE7622" w:rsidRDefault="00964214" w:rsidP="00AF19CC">
            <w:pPr>
              <w:pStyle w:val="72TabletextTablesTableFigureBoxstyles"/>
              <w:rPr>
                <w:rFonts w:eastAsia="Calibri"/>
                <w:color w:val="auto"/>
              </w:rPr>
            </w:pPr>
            <w:r w:rsidRPr="00FE7622">
              <w:rPr>
                <w:rFonts w:eastAsia="Calibri"/>
                <w:color w:val="auto"/>
              </w:rPr>
              <w:t>0.088</w:t>
            </w:r>
          </w:p>
        </w:tc>
        <w:tc>
          <w:tcPr>
            <w:tcW w:w="0" w:type="auto"/>
            <w:shd w:val="clear" w:color="auto" w:fill="FF0000"/>
          </w:tcPr>
          <w:p w14:paraId="07203D3D" w14:textId="77777777" w:rsidR="00964214" w:rsidRPr="00FE7622" w:rsidRDefault="00964214" w:rsidP="00AF19CC">
            <w:pPr>
              <w:pStyle w:val="72TabletextTablesTableFigureBoxstyles"/>
              <w:rPr>
                <w:rFonts w:eastAsia="Calibri"/>
                <w:color w:val="auto"/>
              </w:rPr>
            </w:pPr>
            <w:r w:rsidRPr="00FE7622">
              <w:rPr>
                <w:rFonts w:eastAsia="Calibri"/>
                <w:color w:val="auto"/>
              </w:rPr>
              <w:t>–0.077</w:t>
            </w:r>
          </w:p>
        </w:tc>
      </w:tr>
      <w:tr w:rsidR="00BA79A5" w:rsidRPr="00FE7622" w14:paraId="12CD8E93" w14:textId="77777777" w:rsidTr="00AF19CC">
        <w:trPr>
          <w:cantSplit/>
        </w:trPr>
        <w:tc>
          <w:tcPr>
            <w:tcW w:w="0" w:type="auto"/>
            <w:shd w:val="clear" w:color="auto" w:fill="auto"/>
          </w:tcPr>
          <w:p w14:paraId="1B4B3CE0" w14:textId="77777777" w:rsidR="00964214" w:rsidRPr="00FE7622" w:rsidRDefault="00964214" w:rsidP="00AF19CC">
            <w:pPr>
              <w:pStyle w:val="72TabletextTablesTableFigureBoxstyles"/>
              <w:rPr>
                <w:rFonts w:eastAsia="Calibri"/>
              </w:rPr>
            </w:pPr>
            <w:r w:rsidRPr="00842651">
              <w:rPr>
                <w:rFonts w:eastAsia="Calibri"/>
                <w:color w:val="auto"/>
              </w:rPr>
              <w:t>IGF-1</w:t>
            </w:r>
          </w:p>
        </w:tc>
        <w:tc>
          <w:tcPr>
            <w:tcW w:w="0" w:type="auto"/>
            <w:shd w:val="clear" w:color="auto" w:fill="FFFF00"/>
          </w:tcPr>
          <w:p w14:paraId="306B2D2D" w14:textId="77777777" w:rsidR="00964214" w:rsidRPr="00FE7622" w:rsidRDefault="00964214" w:rsidP="00AF19CC">
            <w:pPr>
              <w:pStyle w:val="72TabletextTablesTableFigureBoxstyles"/>
              <w:rPr>
                <w:rFonts w:eastAsia="Calibri"/>
              </w:rPr>
            </w:pPr>
            <w:r w:rsidRPr="00FE7622">
              <w:rPr>
                <w:rFonts w:eastAsia="Calibri"/>
                <w:color w:val="auto"/>
              </w:rPr>
              <w:t>0.101</w:t>
            </w:r>
          </w:p>
        </w:tc>
        <w:tc>
          <w:tcPr>
            <w:tcW w:w="0" w:type="auto"/>
            <w:shd w:val="clear" w:color="auto" w:fill="FF0000"/>
          </w:tcPr>
          <w:p w14:paraId="1AB0DBFC" w14:textId="77777777" w:rsidR="00964214" w:rsidRPr="00FE7622" w:rsidRDefault="00964214" w:rsidP="00AF19CC">
            <w:pPr>
              <w:pStyle w:val="72TabletextTablesTableFigureBoxstyles"/>
              <w:rPr>
                <w:rFonts w:eastAsia="Calibri"/>
              </w:rPr>
            </w:pPr>
            <w:r w:rsidRPr="00FE7622">
              <w:rPr>
                <w:rFonts w:eastAsia="Calibri"/>
                <w:color w:val="auto"/>
              </w:rPr>
              <w:t>0.015</w:t>
            </w:r>
          </w:p>
        </w:tc>
        <w:tc>
          <w:tcPr>
            <w:tcW w:w="0" w:type="auto"/>
            <w:shd w:val="clear" w:color="auto" w:fill="FFFF00"/>
          </w:tcPr>
          <w:p w14:paraId="0DF414B6" w14:textId="77777777" w:rsidR="00964214" w:rsidRPr="00FE7622" w:rsidRDefault="00964214" w:rsidP="00AF19CC">
            <w:pPr>
              <w:pStyle w:val="72TabletextTablesTableFigureBoxstyles"/>
              <w:rPr>
                <w:rFonts w:eastAsia="Calibri"/>
                <w:color w:val="auto"/>
              </w:rPr>
            </w:pPr>
            <w:r w:rsidRPr="00FE7622">
              <w:rPr>
                <w:rFonts w:eastAsia="Calibri"/>
                <w:color w:val="auto"/>
              </w:rPr>
              <w:t>0.123</w:t>
            </w:r>
          </w:p>
        </w:tc>
        <w:tc>
          <w:tcPr>
            <w:tcW w:w="0" w:type="auto"/>
            <w:shd w:val="clear" w:color="auto" w:fill="FF33CC"/>
          </w:tcPr>
          <w:p w14:paraId="67CB4C80" w14:textId="77777777" w:rsidR="00964214" w:rsidRPr="00FE7622" w:rsidRDefault="00964214" w:rsidP="00AF19CC">
            <w:pPr>
              <w:pStyle w:val="72TabletextTablesTableFigureBoxstyles"/>
              <w:rPr>
                <w:rFonts w:eastAsia="Calibri"/>
                <w:color w:val="auto"/>
              </w:rPr>
            </w:pPr>
            <w:r w:rsidRPr="00FE7622">
              <w:rPr>
                <w:rFonts w:eastAsia="Calibri"/>
                <w:color w:val="auto"/>
              </w:rPr>
              <w:t>–0.126</w:t>
            </w:r>
          </w:p>
        </w:tc>
        <w:tc>
          <w:tcPr>
            <w:tcW w:w="0" w:type="auto"/>
            <w:shd w:val="clear" w:color="auto" w:fill="FF0000"/>
          </w:tcPr>
          <w:p w14:paraId="7D42C827" w14:textId="77777777" w:rsidR="00964214" w:rsidRPr="00FE7622" w:rsidRDefault="00964214" w:rsidP="00AF19CC">
            <w:pPr>
              <w:pStyle w:val="72TabletextTablesTableFigureBoxstyles"/>
              <w:rPr>
                <w:rFonts w:eastAsia="Calibri"/>
              </w:rPr>
            </w:pPr>
            <w:r w:rsidRPr="00FE7622">
              <w:rPr>
                <w:rFonts w:eastAsia="Calibri"/>
                <w:color w:val="auto"/>
              </w:rPr>
              <w:t>–0.051</w:t>
            </w:r>
          </w:p>
        </w:tc>
        <w:tc>
          <w:tcPr>
            <w:tcW w:w="0" w:type="auto"/>
            <w:shd w:val="clear" w:color="auto" w:fill="FFFF00"/>
          </w:tcPr>
          <w:p w14:paraId="06057177" w14:textId="77777777" w:rsidR="00964214" w:rsidRPr="00FE7622" w:rsidRDefault="00964214" w:rsidP="00AF19CC">
            <w:pPr>
              <w:pStyle w:val="72TabletextTablesTableFigureBoxstyles"/>
              <w:rPr>
                <w:rFonts w:eastAsia="Calibri"/>
              </w:rPr>
            </w:pPr>
            <w:r w:rsidRPr="00FE7622">
              <w:rPr>
                <w:rFonts w:eastAsia="Calibri"/>
                <w:color w:val="auto"/>
              </w:rPr>
              <w:t>0.131</w:t>
            </w:r>
          </w:p>
        </w:tc>
        <w:tc>
          <w:tcPr>
            <w:tcW w:w="0" w:type="auto"/>
            <w:shd w:val="clear" w:color="auto" w:fill="FF0000"/>
          </w:tcPr>
          <w:p w14:paraId="19DE87EC" w14:textId="77777777" w:rsidR="00964214" w:rsidRPr="00FE7622" w:rsidRDefault="00964214" w:rsidP="00AF19CC">
            <w:pPr>
              <w:pStyle w:val="72TabletextTablesTableFigureBoxstyles"/>
              <w:rPr>
                <w:rFonts w:eastAsia="Calibri"/>
              </w:rPr>
            </w:pPr>
            <w:r w:rsidRPr="00FE7622">
              <w:rPr>
                <w:rFonts w:eastAsia="Calibri"/>
                <w:color w:val="auto"/>
              </w:rPr>
              <w:t>0.012</w:t>
            </w:r>
          </w:p>
        </w:tc>
        <w:tc>
          <w:tcPr>
            <w:tcW w:w="0" w:type="auto"/>
            <w:shd w:val="clear" w:color="auto" w:fill="92D050"/>
          </w:tcPr>
          <w:p w14:paraId="09112A3A" w14:textId="715B8F6F" w:rsidR="00964214" w:rsidRPr="00FE7622" w:rsidRDefault="00E038BF" w:rsidP="00AF19CC">
            <w:pPr>
              <w:pStyle w:val="72TabletextTablesTableFigureBoxstyles"/>
              <w:rPr>
                <w:rFonts w:eastAsia="Calibri"/>
                <w:color w:val="auto"/>
              </w:rPr>
            </w:pPr>
            <w:r w:rsidRPr="00FE7622">
              <w:rPr>
                <w:rFonts w:eastAsia="Calibri"/>
                <w:b/>
                <w:bCs/>
                <w:color w:val="auto"/>
              </w:rPr>
              <w:t>0.259</w:t>
            </w:r>
          </w:p>
        </w:tc>
        <w:tc>
          <w:tcPr>
            <w:tcW w:w="0" w:type="auto"/>
            <w:shd w:val="clear" w:color="auto" w:fill="FF0000"/>
          </w:tcPr>
          <w:p w14:paraId="3DD0EAD4" w14:textId="77777777" w:rsidR="00964214" w:rsidRPr="00FE7622" w:rsidRDefault="00964214" w:rsidP="00AF19CC">
            <w:pPr>
              <w:pStyle w:val="72TabletextTablesTableFigureBoxstyles"/>
              <w:rPr>
                <w:rFonts w:eastAsia="Calibri"/>
                <w:color w:val="auto"/>
              </w:rPr>
            </w:pPr>
            <w:r w:rsidRPr="00FE7622">
              <w:rPr>
                <w:rFonts w:eastAsia="Calibri"/>
                <w:color w:val="auto"/>
              </w:rPr>
              <w:t>–0.017</w:t>
            </w:r>
          </w:p>
        </w:tc>
      </w:tr>
      <w:tr w:rsidR="00BA79A5" w:rsidRPr="00FE7622" w14:paraId="78855E53" w14:textId="77777777" w:rsidTr="00AF19CC">
        <w:trPr>
          <w:cantSplit/>
        </w:trPr>
        <w:tc>
          <w:tcPr>
            <w:tcW w:w="0" w:type="auto"/>
            <w:shd w:val="clear" w:color="auto" w:fill="auto"/>
          </w:tcPr>
          <w:p w14:paraId="72E362C8" w14:textId="77777777" w:rsidR="00964214" w:rsidRPr="00FE7622" w:rsidRDefault="00964214" w:rsidP="00AF19CC">
            <w:pPr>
              <w:pStyle w:val="72TabletextTablesTableFigureBoxstyles"/>
              <w:rPr>
                <w:rFonts w:eastAsia="Calibri"/>
              </w:rPr>
            </w:pPr>
            <w:r w:rsidRPr="00FE7622">
              <w:rPr>
                <w:rFonts w:eastAsia="Calibri"/>
                <w:color w:val="auto"/>
              </w:rPr>
              <w:t>ACE</w:t>
            </w:r>
          </w:p>
        </w:tc>
        <w:tc>
          <w:tcPr>
            <w:tcW w:w="0" w:type="auto"/>
            <w:shd w:val="clear" w:color="auto" w:fill="FF0000"/>
          </w:tcPr>
          <w:p w14:paraId="18519A81" w14:textId="77777777" w:rsidR="00964214" w:rsidRPr="00FE7622" w:rsidRDefault="00964214" w:rsidP="00AF19CC">
            <w:pPr>
              <w:pStyle w:val="72TabletextTablesTableFigureBoxstyles"/>
              <w:rPr>
                <w:rFonts w:eastAsia="Calibri"/>
              </w:rPr>
            </w:pPr>
            <w:r w:rsidRPr="00FE7622">
              <w:rPr>
                <w:rFonts w:eastAsia="Calibri"/>
                <w:color w:val="auto"/>
              </w:rPr>
              <w:t>0.007</w:t>
            </w:r>
          </w:p>
        </w:tc>
        <w:tc>
          <w:tcPr>
            <w:tcW w:w="0" w:type="auto"/>
            <w:shd w:val="clear" w:color="auto" w:fill="FFFF00"/>
          </w:tcPr>
          <w:p w14:paraId="0DA1067B" w14:textId="77777777" w:rsidR="00964214" w:rsidRPr="00FE7622" w:rsidRDefault="00964214" w:rsidP="00AF19CC">
            <w:pPr>
              <w:pStyle w:val="72TabletextTablesTableFigureBoxstyles"/>
              <w:rPr>
                <w:rFonts w:eastAsia="Calibri"/>
              </w:rPr>
            </w:pPr>
            <w:r w:rsidRPr="00FE7622">
              <w:rPr>
                <w:rFonts w:eastAsia="Calibri"/>
                <w:color w:val="auto"/>
              </w:rPr>
              <w:t>0.172</w:t>
            </w:r>
          </w:p>
        </w:tc>
        <w:tc>
          <w:tcPr>
            <w:tcW w:w="0" w:type="auto"/>
            <w:shd w:val="clear" w:color="auto" w:fill="FF0000"/>
          </w:tcPr>
          <w:p w14:paraId="75825853" w14:textId="77777777" w:rsidR="00964214" w:rsidRPr="00FE7622" w:rsidRDefault="00964214" w:rsidP="00AF19CC">
            <w:pPr>
              <w:pStyle w:val="72TabletextTablesTableFigureBoxstyles"/>
              <w:rPr>
                <w:rFonts w:eastAsia="Calibri"/>
              </w:rPr>
            </w:pPr>
            <w:r w:rsidRPr="00FE7622">
              <w:rPr>
                <w:rFonts w:eastAsia="Calibri"/>
                <w:color w:val="auto"/>
              </w:rPr>
              <w:t>0.062</w:t>
            </w:r>
          </w:p>
        </w:tc>
        <w:tc>
          <w:tcPr>
            <w:tcW w:w="0" w:type="auto"/>
            <w:shd w:val="clear" w:color="auto" w:fill="FFFF00"/>
          </w:tcPr>
          <w:p w14:paraId="24835879" w14:textId="77777777" w:rsidR="00964214" w:rsidRPr="00FE7622" w:rsidRDefault="00964214" w:rsidP="00AF19CC">
            <w:pPr>
              <w:pStyle w:val="72TabletextTablesTableFigureBoxstyles"/>
              <w:rPr>
                <w:rFonts w:eastAsia="Calibri"/>
              </w:rPr>
            </w:pPr>
            <w:r w:rsidRPr="00FE7622">
              <w:rPr>
                <w:rFonts w:eastAsia="Calibri"/>
                <w:color w:val="auto"/>
              </w:rPr>
              <w:t>0.163</w:t>
            </w:r>
          </w:p>
        </w:tc>
        <w:tc>
          <w:tcPr>
            <w:tcW w:w="0" w:type="auto"/>
            <w:shd w:val="clear" w:color="auto" w:fill="FFFF00"/>
          </w:tcPr>
          <w:p w14:paraId="5DE5D839" w14:textId="77777777" w:rsidR="00964214" w:rsidRPr="00FE7622" w:rsidRDefault="00964214" w:rsidP="00AF19CC">
            <w:pPr>
              <w:pStyle w:val="72TabletextTablesTableFigureBoxstyles"/>
              <w:rPr>
                <w:rFonts w:eastAsia="Calibri"/>
              </w:rPr>
            </w:pPr>
            <w:r w:rsidRPr="00FE7622">
              <w:rPr>
                <w:rFonts w:eastAsia="Calibri"/>
                <w:color w:val="auto"/>
              </w:rPr>
              <w:t>0.132</w:t>
            </w:r>
          </w:p>
        </w:tc>
        <w:tc>
          <w:tcPr>
            <w:tcW w:w="0" w:type="auto"/>
            <w:shd w:val="clear" w:color="auto" w:fill="92D050"/>
          </w:tcPr>
          <w:p w14:paraId="55A4DA5F" w14:textId="609A9AC5" w:rsidR="00964214" w:rsidRPr="00FE7622" w:rsidRDefault="00E038BF" w:rsidP="00AF19CC">
            <w:pPr>
              <w:pStyle w:val="72TabletextTablesTableFigureBoxstyles"/>
              <w:rPr>
                <w:rFonts w:eastAsia="Calibri"/>
                <w:color w:val="auto"/>
              </w:rPr>
            </w:pPr>
            <w:r w:rsidRPr="00FE7622">
              <w:rPr>
                <w:rFonts w:eastAsia="Calibri"/>
                <w:b/>
                <w:bCs/>
                <w:color w:val="auto"/>
              </w:rPr>
              <w:t>0.366</w:t>
            </w:r>
          </w:p>
        </w:tc>
        <w:tc>
          <w:tcPr>
            <w:tcW w:w="0" w:type="auto"/>
            <w:shd w:val="clear" w:color="auto" w:fill="FF0000"/>
          </w:tcPr>
          <w:p w14:paraId="305A5C48" w14:textId="77777777" w:rsidR="00964214" w:rsidRPr="00FE7622" w:rsidRDefault="00964214" w:rsidP="00AF19CC">
            <w:pPr>
              <w:pStyle w:val="72TabletextTablesTableFigureBoxstyles"/>
              <w:rPr>
                <w:rFonts w:eastAsia="Calibri"/>
              </w:rPr>
            </w:pPr>
            <w:r w:rsidRPr="00FE7622">
              <w:rPr>
                <w:rFonts w:eastAsia="Calibri"/>
                <w:color w:val="auto"/>
              </w:rPr>
              <w:t>–0.085</w:t>
            </w:r>
          </w:p>
        </w:tc>
        <w:tc>
          <w:tcPr>
            <w:tcW w:w="0" w:type="auto"/>
            <w:shd w:val="clear" w:color="auto" w:fill="FF0000"/>
          </w:tcPr>
          <w:p w14:paraId="159313F8" w14:textId="77777777" w:rsidR="00964214" w:rsidRPr="00FE7622" w:rsidRDefault="00964214" w:rsidP="00AF19CC">
            <w:pPr>
              <w:pStyle w:val="72TabletextTablesTableFigureBoxstyles"/>
              <w:rPr>
                <w:rFonts w:eastAsia="Calibri"/>
                <w:color w:val="auto"/>
              </w:rPr>
            </w:pPr>
            <w:r w:rsidRPr="00FE7622">
              <w:rPr>
                <w:rFonts w:eastAsia="Calibri"/>
                <w:color w:val="auto"/>
              </w:rPr>
              <w:t>0.023</w:t>
            </w:r>
          </w:p>
        </w:tc>
        <w:tc>
          <w:tcPr>
            <w:tcW w:w="0" w:type="auto"/>
            <w:shd w:val="clear" w:color="auto" w:fill="FF33CC"/>
          </w:tcPr>
          <w:p w14:paraId="17F04B4C" w14:textId="77777777" w:rsidR="00964214" w:rsidRPr="00FE7622" w:rsidRDefault="00964214" w:rsidP="00AF19CC">
            <w:pPr>
              <w:pStyle w:val="72TabletextTablesTableFigureBoxstyles"/>
              <w:rPr>
                <w:rFonts w:eastAsia="Calibri"/>
                <w:color w:val="auto"/>
              </w:rPr>
            </w:pPr>
            <w:r w:rsidRPr="00FE7622">
              <w:rPr>
                <w:rFonts w:eastAsia="Calibri"/>
                <w:color w:val="auto"/>
              </w:rPr>
              <w:t>–0.165</w:t>
            </w:r>
          </w:p>
        </w:tc>
      </w:tr>
      <w:tr w:rsidR="00BA79A5" w:rsidRPr="00FE7622" w14:paraId="31D4DE59" w14:textId="77777777" w:rsidTr="00AF19CC">
        <w:trPr>
          <w:cantSplit/>
        </w:trPr>
        <w:tc>
          <w:tcPr>
            <w:tcW w:w="0" w:type="auto"/>
            <w:shd w:val="clear" w:color="auto" w:fill="auto"/>
          </w:tcPr>
          <w:p w14:paraId="2F808D71" w14:textId="43EDA063" w:rsidR="00964214" w:rsidRPr="00FE7622" w:rsidRDefault="00964214" w:rsidP="00AF19CC">
            <w:pPr>
              <w:pStyle w:val="72TabletextTablesTableFigureBoxstyles"/>
              <w:rPr>
                <w:rFonts w:eastAsia="Calibri"/>
              </w:rPr>
            </w:pPr>
            <w:r w:rsidRPr="00FE7622">
              <w:rPr>
                <w:rFonts w:eastAsia="Calibri"/>
                <w:color w:val="auto"/>
              </w:rPr>
              <w:t>TNF</w:t>
            </w:r>
            <w:r w:rsidR="005864CE" w:rsidRPr="00FE7622">
              <w:rPr>
                <w:rFonts w:eastAsia="Calibri"/>
                <w:color w:val="auto"/>
              </w:rPr>
              <w:t>-</w:t>
            </w:r>
            <w:r w:rsidRPr="00FE7622">
              <w:rPr>
                <w:rFonts w:eastAsia="Calibri"/>
                <w:color w:val="auto"/>
              </w:rPr>
              <w:t>a</w:t>
            </w:r>
          </w:p>
        </w:tc>
        <w:tc>
          <w:tcPr>
            <w:tcW w:w="0" w:type="auto"/>
            <w:shd w:val="clear" w:color="auto" w:fill="FF0000"/>
          </w:tcPr>
          <w:p w14:paraId="71BEE21E" w14:textId="77777777" w:rsidR="00964214" w:rsidRPr="00FE7622" w:rsidRDefault="00964214" w:rsidP="00AF19CC">
            <w:pPr>
              <w:pStyle w:val="72TabletextTablesTableFigureBoxstyles"/>
              <w:rPr>
                <w:rFonts w:eastAsia="Calibri"/>
                <w:color w:val="auto"/>
              </w:rPr>
            </w:pPr>
            <w:r w:rsidRPr="00FE7622">
              <w:rPr>
                <w:rFonts w:eastAsia="Calibri"/>
                <w:color w:val="auto"/>
              </w:rPr>
              <w:t>0.008</w:t>
            </w:r>
          </w:p>
        </w:tc>
        <w:tc>
          <w:tcPr>
            <w:tcW w:w="0" w:type="auto"/>
            <w:shd w:val="clear" w:color="auto" w:fill="FFFF00"/>
          </w:tcPr>
          <w:p w14:paraId="42F59056" w14:textId="77777777" w:rsidR="00964214" w:rsidRPr="00FE7622" w:rsidRDefault="00964214" w:rsidP="00AF19CC">
            <w:pPr>
              <w:pStyle w:val="72TabletextTablesTableFigureBoxstyles"/>
              <w:rPr>
                <w:rFonts w:eastAsia="Calibri"/>
              </w:rPr>
            </w:pPr>
            <w:r w:rsidRPr="00FE7622">
              <w:rPr>
                <w:rFonts w:eastAsia="Calibri"/>
                <w:color w:val="auto"/>
              </w:rPr>
              <w:t>–0.114</w:t>
            </w:r>
          </w:p>
        </w:tc>
        <w:tc>
          <w:tcPr>
            <w:tcW w:w="0" w:type="auto"/>
            <w:shd w:val="clear" w:color="auto" w:fill="FF33CC"/>
          </w:tcPr>
          <w:p w14:paraId="61AEFB65" w14:textId="77777777" w:rsidR="00964214" w:rsidRPr="00FE7622" w:rsidRDefault="00964214" w:rsidP="00AF19CC">
            <w:pPr>
              <w:pStyle w:val="72TabletextTablesTableFigureBoxstyles"/>
              <w:rPr>
                <w:rFonts w:eastAsia="Calibri"/>
              </w:rPr>
            </w:pPr>
            <w:r w:rsidRPr="00FE7622">
              <w:rPr>
                <w:rFonts w:eastAsia="Calibri"/>
                <w:color w:val="auto"/>
              </w:rPr>
              <w:t>0.133</w:t>
            </w:r>
          </w:p>
        </w:tc>
        <w:tc>
          <w:tcPr>
            <w:tcW w:w="0" w:type="auto"/>
            <w:shd w:val="clear" w:color="auto" w:fill="FF0000"/>
          </w:tcPr>
          <w:p w14:paraId="10EF4ED3" w14:textId="77777777" w:rsidR="00964214" w:rsidRPr="00FE7622" w:rsidRDefault="00964214" w:rsidP="00AF19CC">
            <w:pPr>
              <w:pStyle w:val="72TabletextTablesTableFigureBoxstyles"/>
              <w:rPr>
                <w:rFonts w:eastAsia="Calibri"/>
                <w:color w:val="auto"/>
              </w:rPr>
            </w:pPr>
            <w:r w:rsidRPr="00FE7622">
              <w:rPr>
                <w:rFonts w:eastAsia="Calibri"/>
                <w:color w:val="auto"/>
              </w:rPr>
              <w:t>0.052</w:t>
            </w:r>
          </w:p>
        </w:tc>
        <w:tc>
          <w:tcPr>
            <w:tcW w:w="0" w:type="auto"/>
            <w:shd w:val="clear" w:color="auto" w:fill="FFFF00"/>
          </w:tcPr>
          <w:p w14:paraId="47AFB52A" w14:textId="77777777" w:rsidR="00964214" w:rsidRPr="00FE7622" w:rsidRDefault="00964214" w:rsidP="00AF19CC">
            <w:pPr>
              <w:pStyle w:val="72TabletextTablesTableFigureBoxstyles"/>
              <w:rPr>
                <w:rFonts w:eastAsia="Calibri"/>
              </w:rPr>
            </w:pPr>
            <w:r w:rsidRPr="00FE7622">
              <w:rPr>
                <w:rFonts w:eastAsia="Calibri"/>
                <w:color w:val="auto"/>
              </w:rPr>
              <w:t>–0.157</w:t>
            </w:r>
          </w:p>
        </w:tc>
        <w:tc>
          <w:tcPr>
            <w:tcW w:w="0" w:type="auto"/>
            <w:shd w:val="clear" w:color="auto" w:fill="FF0000"/>
          </w:tcPr>
          <w:p w14:paraId="3AC5F528" w14:textId="77777777" w:rsidR="00964214" w:rsidRPr="00FE7622" w:rsidRDefault="00964214" w:rsidP="00AF19CC">
            <w:pPr>
              <w:pStyle w:val="72TabletextTablesTableFigureBoxstyles"/>
              <w:rPr>
                <w:rFonts w:eastAsia="Calibri"/>
                <w:color w:val="auto"/>
              </w:rPr>
            </w:pPr>
            <w:r w:rsidRPr="00FE7622">
              <w:rPr>
                <w:rFonts w:eastAsia="Calibri"/>
                <w:color w:val="auto"/>
              </w:rPr>
              <w:t>0.072</w:t>
            </w:r>
          </w:p>
        </w:tc>
        <w:tc>
          <w:tcPr>
            <w:tcW w:w="0" w:type="auto"/>
            <w:shd w:val="clear" w:color="auto" w:fill="FF0000"/>
          </w:tcPr>
          <w:p w14:paraId="575AE4C2" w14:textId="77777777" w:rsidR="00964214" w:rsidRPr="00FE7622" w:rsidRDefault="00964214" w:rsidP="00AF19CC">
            <w:pPr>
              <w:pStyle w:val="72TabletextTablesTableFigureBoxstyles"/>
              <w:rPr>
                <w:rFonts w:eastAsia="Calibri"/>
                <w:color w:val="auto"/>
              </w:rPr>
            </w:pPr>
            <w:r w:rsidRPr="00FE7622">
              <w:rPr>
                <w:rFonts w:eastAsia="Calibri"/>
                <w:color w:val="auto"/>
              </w:rPr>
              <w:t>–0.006</w:t>
            </w:r>
          </w:p>
        </w:tc>
        <w:tc>
          <w:tcPr>
            <w:tcW w:w="0" w:type="auto"/>
            <w:shd w:val="clear" w:color="auto" w:fill="FF0000"/>
          </w:tcPr>
          <w:p w14:paraId="5506CF86" w14:textId="77777777" w:rsidR="00964214" w:rsidRPr="00FE7622" w:rsidRDefault="00964214" w:rsidP="00AF19CC">
            <w:pPr>
              <w:pStyle w:val="72TabletextTablesTableFigureBoxstyles"/>
              <w:rPr>
                <w:rFonts w:eastAsia="Calibri"/>
                <w:color w:val="auto"/>
              </w:rPr>
            </w:pPr>
            <w:r w:rsidRPr="00FE7622">
              <w:rPr>
                <w:rFonts w:eastAsia="Calibri"/>
                <w:color w:val="auto"/>
              </w:rPr>
              <w:t>–0.061</w:t>
            </w:r>
          </w:p>
        </w:tc>
        <w:tc>
          <w:tcPr>
            <w:tcW w:w="0" w:type="auto"/>
            <w:shd w:val="clear" w:color="auto" w:fill="FF0000"/>
          </w:tcPr>
          <w:p w14:paraId="17625147" w14:textId="77777777" w:rsidR="00964214" w:rsidRPr="00FE7622" w:rsidRDefault="00964214" w:rsidP="00AF19CC">
            <w:pPr>
              <w:pStyle w:val="72TabletextTablesTableFigureBoxstyles"/>
              <w:rPr>
                <w:rFonts w:eastAsia="Calibri"/>
                <w:color w:val="auto"/>
              </w:rPr>
            </w:pPr>
            <w:r w:rsidRPr="00FE7622">
              <w:rPr>
                <w:rFonts w:eastAsia="Calibri"/>
                <w:color w:val="auto"/>
              </w:rPr>
              <w:t>–0.064</w:t>
            </w:r>
          </w:p>
        </w:tc>
      </w:tr>
      <w:tr w:rsidR="00BA79A5" w:rsidRPr="00FE7622" w14:paraId="17A98043" w14:textId="77777777" w:rsidTr="00AF19CC">
        <w:trPr>
          <w:cantSplit/>
        </w:trPr>
        <w:tc>
          <w:tcPr>
            <w:tcW w:w="0" w:type="auto"/>
            <w:shd w:val="clear" w:color="auto" w:fill="auto"/>
          </w:tcPr>
          <w:p w14:paraId="4E62BB3C" w14:textId="77777777" w:rsidR="00964214" w:rsidRPr="00FE7622" w:rsidRDefault="00964214" w:rsidP="00AF19CC">
            <w:pPr>
              <w:pStyle w:val="72TabletextTablesTableFigureBoxstyles"/>
              <w:rPr>
                <w:rFonts w:eastAsia="Calibri"/>
                <w:color w:val="auto"/>
              </w:rPr>
            </w:pPr>
            <w:r w:rsidRPr="00842651">
              <w:rPr>
                <w:rFonts w:eastAsia="Calibri"/>
                <w:color w:val="auto"/>
              </w:rPr>
              <w:t>IL</w:t>
            </w:r>
            <w:r w:rsidRPr="00FE7622">
              <w:rPr>
                <w:rFonts w:eastAsia="Calibri"/>
                <w:color w:val="auto"/>
              </w:rPr>
              <w:t>-6</w:t>
            </w:r>
          </w:p>
        </w:tc>
        <w:tc>
          <w:tcPr>
            <w:tcW w:w="0" w:type="auto"/>
            <w:shd w:val="clear" w:color="auto" w:fill="FF0000"/>
          </w:tcPr>
          <w:p w14:paraId="3CB5C626" w14:textId="77777777" w:rsidR="00964214" w:rsidRPr="00FE7622" w:rsidRDefault="00964214" w:rsidP="00AF19CC">
            <w:pPr>
              <w:pStyle w:val="72TabletextTablesTableFigureBoxstyles"/>
              <w:rPr>
                <w:rFonts w:eastAsia="Calibri"/>
                <w:color w:val="auto"/>
              </w:rPr>
            </w:pPr>
            <w:r w:rsidRPr="00FE7622">
              <w:rPr>
                <w:rFonts w:eastAsia="Calibri"/>
                <w:color w:val="auto"/>
              </w:rPr>
              <w:t>–0.008</w:t>
            </w:r>
          </w:p>
        </w:tc>
        <w:tc>
          <w:tcPr>
            <w:tcW w:w="0" w:type="auto"/>
            <w:shd w:val="clear" w:color="auto" w:fill="FFFF00"/>
          </w:tcPr>
          <w:p w14:paraId="247F7DC4" w14:textId="77777777" w:rsidR="00964214" w:rsidRPr="00FE7622" w:rsidRDefault="00964214" w:rsidP="00AF19CC">
            <w:pPr>
              <w:pStyle w:val="72TabletextTablesTableFigureBoxstyles"/>
              <w:rPr>
                <w:rFonts w:eastAsia="Calibri"/>
              </w:rPr>
            </w:pPr>
            <w:r w:rsidRPr="00FE7622">
              <w:rPr>
                <w:rFonts w:eastAsia="Calibri"/>
                <w:color w:val="auto"/>
              </w:rPr>
              <w:t>–0.177</w:t>
            </w:r>
          </w:p>
        </w:tc>
        <w:tc>
          <w:tcPr>
            <w:tcW w:w="0" w:type="auto"/>
            <w:shd w:val="clear" w:color="auto" w:fill="FF33CC"/>
          </w:tcPr>
          <w:p w14:paraId="4A089980" w14:textId="77777777" w:rsidR="00964214" w:rsidRPr="00FE7622" w:rsidRDefault="00964214" w:rsidP="00AF19CC">
            <w:pPr>
              <w:pStyle w:val="72TabletextTablesTableFigureBoxstyles"/>
              <w:rPr>
                <w:rFonts w:eastAsia="Calibri"/>
              </w:rPr>
            </w:pPr>
            <w:r w:rsidRPr="00FE7622">
              <w:rPr>
                <w:rFonts w:eastAsia="Calibri"/>
                <w:color w:val="auto"/>
              </w:rPr>
              <w:t>0.139</w:t>
            </w:r>
          </w:p>
        </w:tc>
        <w:tc>
          <w:tcPr>
            <w:tcW w:w="0" w:type="auto"/>
            <w:shd w:val="clear" w:color="auto" w:fill="FF0000"/>
          </w:tcPr>
          <w:p w14:paraId="46F5A069" w14:textId="77777777" w:rsidR="00964214" w:rsidRPr="00FE7622" w:rsidRDefault="00964214" w:rsidP="00AF19CC">
            <w:pPr>
              <w:pStyle w:val="72TabletextTablesTableFigureBoxstyles"/>
              <w:rPr>
                <w:rFonts w:eastAsia="Calibri"/>
                <w:color w:val="auto"/>
              </w:rPr>
            </w:pPr>
            <w:r w:rsidRPr="00FE7622">
              <w:rPr>
                <w:rFonts w:eastAsia="Calibri"/>
                <w:color w:val="auto"/>
              </w:rPr>
              <w:t>0.057</w:t>
            </w:r>
          </w:p>
        </w:tc>
        <w:tc>
          <w:tcPr>
            <w:tcW w:w="0" w:type="auto"/>
            <w:shd w:val="clear" w:color="auto" w:fill="FFFF00"/>
          </w:tcPr>
          <w:p w14:paraId="5817BEF9" w14:textId="77777777" w:rsidR="00964214" w:rsidRPr="00FE7622" w:rsidRDefault="00964214" w:rsidP="00AF19CC">
            <w:pPr>
              <w:pStyle w:val="72TabletextTablesTableFigureBoxstyles"/>
              <w:rPr>
                <w:rFonts w:eastAsia="Calibri"/>
              </w:rPr>
            </w:pPr>
            <w:r w:rsidRPr="00FE7622">
              <w:rPr>
                <w:rFonts w:eastAsia="Calibri"/>
                <w:color w:val="auto"/>
              </w:rPr>
              <w:t>–0.116</w:t>
            </w:r>
          </w:p>
        </w:tc>
        <w:tc>
          <w:tcPr>
            <w:tcW w:w="0" w:type="auto"/>
            <w:shd w:val="clear" w:color="auto" w:fill="FF0000"/>
          </w:tcPr>
          <w:p w14:paraId="220646B4" w14:textId="77777777" w:rsidR="00964214" w:rsidRPr="00FE7622" w:rsidRDefault="00964214" w:rsidP="00AF19CC">
            <w:pPr>
              <w:pStyle w:val="72TabletextTablesTableFigureBoxstyles"/>
              <w:rPr>
                <w:rFonts w:eastAsia="Calibri"/>
              </w:rPr>
            </w:pPr>
            <w:r w:rsidRPr="00FE7622">
              <w:rPr>
                <w:rFonts w:eastAsia="Calibri"/>
                <w:color w:val="auto"/>
              </w:rPr>
              <w:t>0.003</w:t>
            </w:r>
          </w:p>
        </w:tc>
        <w:tc>
          <w:tcPr>
            <w:tcW w:w="0" w:type="auto"/>
            <w:shd w:val="clear" w:color="auto" w:fill="FF0000"/>
          </w:tcPr>
          <w:p w14:paraId="65D31E9C" w14:textId="77777777" w:rsidR="00964214" w:rsidRPr="00FE7622" w:rsidRDefault="00964214" w:rsidP="00AF19CC">
            <w:pPr>
              <w:pStyle w:val="72TabletextTablesTableFigureBoxstyles"/>
              <w:rPr>
                <w:rFonts w:eastAsia="Calibri"/>
              </w:rPr>
            </w:pPr>
            <w:r w:rsidRPr="00FE7622">
              <w:rPr>
                <w:rFonts w:eastAsia="Calibri"/>
                <w:color w:val="auto"/>
              </w:rPr>
              <w:t>0.047</w:t>
            </w:r>
          </w:p>
        </w:tc>
        <w:tc>
          <w:tcPr>
            <w:tcW w:w="0" w:type="auto"/>
            <w:shd w:val="clear" w:color="auto" w:fill="FF0000"/>
          </w:tcPr>
          <w:p w14:paraId="6F4A41DA" w14:textId="77777777" w:rsidR="00964214" w:rsidRPr="00FE7622" w:rsidRDefault="00964214" w:rsidP="00AF19CC">
            <w:pPr>
              <w:pStyle w:val="72TabletextTablesTableFigureBoxstyles"/>
              <w:rPr>
                <w:rFonts w:eastAsia="Calibri"/>
                <w:color w:val="auto"/>
              </w:rPr>
            </w:pPr>
            <w:r w:rsidRPr="00FE7622">
              <w:rPr>
                <w:rFonts w:eastAsia="Calibri"/>
                <w:color w:val="auto"/>
              </w:rPr>
              <w:t>0.038</w:t>
            </w:r>
          </w:p>
        </w:tc>
        <w:tc>
          <w:tcPr>
            <w:tcW w:w="0" w:type="auto"/>
            <w:shd w:val="clear" w:color="auto" w:fill="FF0000"/>
          </w:tcPr>
          <w:p w14:paraId="722BDC26" w14:textId="77777777" w:rsidR="00964214" w:rsidRPr="00FE7622" w:rsidRDefault="00964214" w:rsidP="00AF19CC">
            <w:pPr>
              <w:pStyle w:val="72TabletextTablesTableFigureBoxstyles"/>
              <w:rPr>
                <w:rFonts w:eastAsia="Calibri"/>
                <w:color w:val="auto"/>
              </w:rPr>
            </w:pPr>
            <w:r w:rsidRPr="00FE7622">
              <w:rPr>
                <w:rFonts w:eastAsia="Calibri"/>
                <w:color w:val="auto"/>
              </w:rPr>
              <w:t>–0.067</w:t>
            </w:r>
          </w:p>
        </w:tc>
      </w:tr>
      <w:tr w:rsidR="00BA79A5" w:rsidRPr="00FE7622" w14:paraId="6152BFF7" w14:textId="77777777" w:rsidTr="00AF19CC">
        <w:trPr>
          <w:cantSplit/>
        </w:trPr>
        <w:tc>
          <w:tcPr>
            <w:tcW w:w="0" w:type="auto"/>
            <w:shd w:val="clear" w:color="auto" w:fill="auto"/>
          </w:tcPr>
          <w:p w14:paraId="5CAA57E4" w14:textId="77777777" w:rsidR="00964214" w:rsidRPr="00FE7622" w:rsidRDefault="00964214" w:rsidP="00AF19CC">
            <w:pPr>
              <w:pStyle w:val="72TabletextTablesTableFigureBoxstyles"/>
              <w:rPr>
                <w:rFonts w:eastAsia="Calibri"/>
              </w:rPr>
            </w:pPr>
            <w:r w:rsidRPr="00FE7622">
              <w:rPr>
                <w:rFonts w:eastAsia="Calibri"/>
                <w:color w:val="auto"/>
              </w:rPr>
              <w:t>Resistin</w:t>
            </w:r>
          </w:p>
        </w:tc>
        <w:tc>
          <w:tcPr>
            <w:tcW w:w="0" w:type="auto"/>
            <w:shd w:val="clear" w:color="auto" w:fill="FF0000"/>
          </w:tcPr>
          <w:p w14:paraId="0DFA9F98" w14:textId="77777777" w:rsidR="00964214" w:rsidRPr="00FE7622" w:rsidRDefault="00964214" w:rsidP="00AF19CC">
            <w:pPr>
              <w:pStyle w:val="72TabletextTablesTableFigureBoxstyles"/>
              <w:rPr>
                <w:rFonts w:eastAsia="Calibri"/>
              </w:rPr>
            </w:pPr>
            <w:r w:rsidRPr="00FE7622">
              <w:rPr>
                <w:rFonts w:eastAsia="Calibri"/>
                <w:color w:val="auto"/>
              </w:rPr>
              <w:t>0.046</w:t>
            </w:r>
          </w:p>
        </w:tc>
        <w:tc>
          <w:tcPr>
            <w:tcW w:w="0" w:type="auto"/>
            <w:shd w:val="clear" w:color="auto" w:fill="FF0000"/>
          </w:tcPr>
          <w:p w14:paraId="62C954EC" w14:textId="77777777" w:rsidR="00964214" w:rsidRPr="00FE7622" w:rsidRDefault="00964214" w:rsidP="00AF19CC">
            <w:pPr>
              <w:pStyle w:val="72TabletextTablesTableFigureBoxstyles"/>
              <w:rPr>
                <w:rFonts w:eastAsia="Calibri"/>
                <w:color w:val="auto"/>
              </w:rPr>
            </w:pPr>
            <w:r w:rsidRPr="00FE7622">
              <w:rPr>
                <w:rFonts w:eastAsia="Calibri"/>
                <w:color w:val="auto"/>
              </w:rPr>
              <w:t>0.086</w:t>
            </w:r>
          </w:p>
        </w:tc>
        <w:tc>
          <w:tcPr>
            <w:tcW w:w="0" w:type="auto"/>
            <w:shd w:val="clear" w:color="auto" w:fill="FFFF00"/>
          </w:tcPr>
          <w:p w14:paraId="60CBBF3E" w14:textId="77777777" w:rsidR="00964214" w:rsidRPr="00FE7622" w:rsidRDefault="00964214" w:rsidP="00AF19CC">
            <w:pPr>
              <w:pStyle w:val="72TabletextTablesTableFigureBoxstyles"/>
              <w:rPr>
                <w:rFonts w:eastAsia="Calibri"/>
              </w:rPr>
            </w:pPr>
            <w:r w:rsidRPr="00FE7622">
              <w:rPr>
                <w:rFonts w:eastAsia="Calibri"/>
                <w:color w:val="auto"/>
              </w:rPr>
              <w:t>–0.117</w:t>
            </w:r>
          </w:p>
        </w:tc>
        <w:tc>
          <w:tcPr>
            <w:tcW w:w="0" w:type="auto"/>
            <w:shd w:val="clear" w:color="auto" w:fill="FF0000"/>
          </w:tcPr>
          <w:p w14:paraId="0374A1BE" w14:textId="77777777" w:rsidR="00964214" w:rsidRPr="00FE7622" w:rsidRDefault="00964214" w:rsidP="00AF19CC">
            <w:pPr>
              <w:pStyle w:val="72TabletextTablesTableFigureBoxstyles"/>
              <w:rPr>
                <w:rFonts w:eastAsia="Calibri"/>
              </w:rPr>
            </w:pPr>
            <w:r w:rsidRPr="00FE7622">
              <w:rPr>
                <w:rFonts w:eastAsia="Calibri"/>
                <w:color w:val="auto"/>
              </w:rPr>
              <w:t>0.036</w:t>
            </w:r>
          </w:p>
        </w:tc>
        <w:tc>
          <w:tcPr>
            <w:tcW w:w="0" w:type="auto"/>
            <w:shd w:val="clear" w:color="auto" w:fill="FF33CC"/>
          </w:tcPr>
          <w:p w14:paraId="2C6D9EF0" w14:textId="77777777" w:rsidR="00964214" w:rsidRPr="00FE7622" w:rsidRDefault="00964214" w:rsidP="00AF19CC">
            <w:pPr>
              <w:pStyle w:val="72TabletextTablesTableFigureBoxstyles"/>
              <w:rPr>
                <w:rFonts w:eastAsia="Calibri"/>
                <w:color w:val="auto"/>
              </w:rPr>
            </w:pPr>
            <w:r w:rsidRPr="00FE7622">
              <w:rPr>
                <w:rFonts w:eastAsia="Calibri"/>
                <w:color w:val="auto"/>
              </w:rPr>
              <w:t>0.203</w:t>
            </w:r>
          </w:p>
        </w:tc>
        <w:tc>
          <w:tcPr>
            <w:tcW w:w="0" w:type="auto"/>
            <w:shd w:val="clear" w:color="auto" w:fill="FF0000"/>
          </w:tcPr>
          <w:p w14:paraId="04771769" w14:textId="77777777" w:rsidR="00964214" w:rsidRPr="00FE7622" w:rsidRDefault="00964214" w:rsidP="00AF19CC">
            <w:pPr>
              <w:pStyle w:val="72TabletextTablesTableFigureBoxstyles"/>
              <w:rPr>
                <w:rFonts w:eastAsia="Calibri"/>
              </w:rPr>
            </w:pPr>
            <w:r w:rsidRPr="00FE7622">
              <w:rPr>
                <w:rFonts w:eastAsia="Calibri"/>
                <w:color w:val="auto"/>
              </w:rPr>
              <w:t>–0.086</w:t>
            </w:r>
          </w:p>
        </w:tc>
        <w:tc>
          <w:tcPr>
            <w:tcW w:w="0" w:type="auto"/>
            <w:shd w:val="clear" w:color="auto" w:fill="FF33CC"/>
          </w:tcPr>
          <w:p w14:paraId="67C9CFCA" w14:textId="77777777" w:rsidR="00964214" w:rsidRPr="00FE7622" w:rsidRDefault="00964214" w:rsidP="00AF19CC">
            <w:pPr>
              <w:pStyle w:val="72TabletextTablesTableFigureBoxstyles"/>
              <w:rPr>
                <w:rFonts w:eastAsia="Calibri"/>
              </w:rPr>
            </w:pPr>
            <w:r w:rsidRPr="00FE7622">
              <w:rPr>
                <w:rFonts w:eastAsia="Calibri"/>
                <w:color w:val="auto"/>
              </w:rPr>
              <w:t>0.115</w:t>
            </w:r>
          </w:p>
        </w:tc>
        <w:tc>
          <w:tcPr>
            <w:tcW w:w="0" w:type="auto"/>
            <w:shd w:val="clear" w:color="auto" w:fill="FF33CC"/>
          </w:tcPr>
          <w:p w14:paraId="44355E83" w14:textId="77777777" w:rsidR="00964214" w:rsidRPr="00FE7622" w:rsidRDefault="00964214" w:rsidP="00AF19CC">
            <w:pPr>
              <w:pStyle w:val="72TabletextTablesTableFigureBoxstyles"/>
              <w:rPr>
                <w:rFonts w:eastAsia="Calibri"/>
              </w:rPr>
            </w:pPr>
            <w:r w:rsidRPr="00FE7622">
              <w:rPr>
                <w:rFonts w:eastAsia="Calibri"/>
                <w:color w:val="auto"/>
              </w:rPr>
              <w:t>0.165</w:t>
            </w:r>
          </w:p>
        </w:tc>
        <w:tc>
          <w:tcPr>
            <w:tcW w:w="0" w:type="auto"/>
            <w:shd w:val="clear" w:color="auto" w:fill="FF0000"/>
          </w:tcPr>
          <w:p w14:paraId="5C0906B2" w14:textId="77777777" w:rsidR="00964214" w:rsidRPr="00FE7622" w:rsidRDefault="00964214" w:rsidP="00AF19CC">
            <w:pPr>
              <w:pStyle w:val="72TabletextTablesTableFigureBoxstyles"/>
              <w:rPr>
                <w:rFonts w:eastAsia="Calibri"/>
                <w:color w:val="auto"/>
              </w:rPr>
            </w:pPr>
            <w:r w:rsidRPr="00FE7622">
              <w:rPr>
                <w:rFonts w:eastAsia="Calibri"/>
                <w:color w:val="auto"/>
              </w:rPr>
              <w:t>0.060</w:t>
            </w:r>
          </w:p>
        </w:tc>
      </w:tr>
      <w:tr w:rsidR="00BA79A5" w:rsidRPr="00FE7622" w14:paraId="43E5129D" w14:textId="77777777" w:rsidTr="00AF19CC">
        <w:trPr>
          <w:cantSplit/>
        </w:trPr>
        <w:tc>
          <w:tcPr>
            <w:tcW w:w="0" w:type="auto"/>
            <w:shd w:val="clear" w:color="auto" w:fill="auto"/>
          </w:tcPr>
          <w:p w14:paraId="3E9B56C0" w14:textId="77777777" w:rsidR="00964214" w:rsidRPr="00FE7622" w:rsidRDefault="00964214" w:rsidP="00AF19CC">
            <w:pPr>
              <w:pStyle w:val="72TabletextTablesTableFigureBoxstyles"/>
              <w:rPr>
                <w:rFonts w:eastAsia="Calibri"/>
                <w:color w:val="auto"/>
              </w:rPr>
            </w:pPr>
            <w:r w:rsidRPr="00FE7622">
              <w:rPr>
                <w:rFonts w:eastAsia="Calibri"/>
                <w:color w:val="auto"/>
              </w:rPr>
              <w:t>Insulin</w:t>
            </w:r>
          </w:p>
        </w:tc>
        <w:tc>
          <w:tcPr>
            <w:tcW w:w="0" w:type="auto"/>
            <w:shd w:val="clear" w:color="auto" w:fill="FF0000"/>
          </w:tcPr>
          <w:p w14:paraId="685BCC6E" w14:textId="77777777" w:rsidR="00964214" w:rsidRPr="00FE7622" w:rsidRDefault="00964214" w:rsidP="00AF19CC">
            <w:pPr>
              <w:pStyle w:val="72TabletextTablesTableFigureBoxstyles"/>
              <w:rPr>
                <w:rFonts w:eastAsia="Calibri"/>
                <w:color w:val="auto"/>
              </w:rPr>
            </w:pPr>
            <w:r w:rsidRPr="00FE7622">
              <w:rPr>
                <w:rFonts w:eastAsia="Calibri"/>
                <w:color w:val="auto"/>
              </w:rPr>
              <w:t>–0.060</w:t>
            </w:r>
          </w:p>
        </w:tc>
        <w:tc>
          <w:tcPr>
            <w:tcW w:w="0" w:type="auto"/>
            <w:shd w:val="clear" w:color="auto" w:fill="FF0000"/>
          </w:tcPr>
          <w:p w14:paraId="24BE7925" w14:textId="77777777" w:rsidR="00964214" w:rsidRPr="00FE7622" w:rsidRDefault="00964214" w:rsidP="00AF19CC">
            <w:pPr>
              <w:pStyle w:val="72TabletextTablesTableFigureBoxstyles"/>
              <w:rPr>
                <w:rFonts w:eastAsia="Calibri"/>
              </w:rPr>
            </w:pPr>
            <w:r w:rsidRPr="00FE7622">
              <w:rPr>
                <w:rFonts w:eastAsia="Calibri"/>
                <w:color w:val="auto"/>
              </w:rPr>
              <w:t>–0.079</w:t>
            </w:r>
          </w:p>
        </w:tc>
        <w:tc>
          <w:tcPr>
            <w:tcW w:w="0" w:type="auto"/>
            <w:shd w:val="clear" w:color="auto" w:fill="FF0000"/>
          </w:tcPr>
          <w:p w14:paraId="3A3A4A79" w14:textId="77777777" w:rsidR="00964214" w:rsidRPr="00FE7622" w:rsidRDefault="00964214" w:rsidP="00AF19CC">
            <w:pPr>
              <w:pStyle w:val="72TabletextTablesTableFigureBoxstyles"/>
              <w:rPr>
                <w:rFonts w:eastAsia="Calibri"/>
                <w:color w:val="auto"/>
              </w:rPr>
            </w:pPr>
            <w:r w:rsidRPr="00FE7622">
              <w:rPr>
                <w:rFonts w:eastAsia="Calibri"/>
                <w:color w:val="auto"/>
              </w:rPr>
              <w:t>0.077</w:t>
            </w:r>
          </w:p>
        </w:tc>
        <w:tc>
          <w:tcPr>
            <w:tcW w:w="0" w:type="auto"/>
            <w:shd w:val="clear" w:color="auto" w:fill="FF33CC"/>
          </w:tcPr>
          <w:p w14:paraId="6947C91D" w14:textId="77777777" w:rsidR="00964214" w:rsidRPr="00FE7622" w:rsidRDefault="00964214" w:rsidP="00AF19CC">
            <w:pPr>
              <w:pStyle w:val="72TabletextTablesTableFigureBoxstyles"/>
              <w:rPr>
                <w:rFonts w:eastAsia="Calibri"/>
                <w:color w:val="auto"/>
              </w:rPr>
            </w:pPr>
            <w:r w:rsidRPr="00FE7622">
              <w:rPr>
                <w:rFonts w:eastAsia="Calibri"/>
                <w:color w:val="auto"/>
              </w:rPr>
              <w:t>–0.135</w:t>
            </w:r>
          </w:p>
        </w:tc>
        <w:tc>
          <w:tcPr>
            <w:tcW w:w="0" w:type="auto"/>
            <w:shd w:val="clear" w:color="auto" w:fill="FF33CC"/>
          </w:tcPr>
          <w:p w14:paraId="01FB507B" w14:textId="77777777" w:rsidR="00964214" w:rsidRPr="00FE7622" w:rsidRDefault="00964214" w:rsidP="00AF19CC">
            <w:pPr>
              <w:pStyle w:val="72TabletextTablesTableFigureBoxstyles"/>
              <w:rPr>
                <w:rFonts w:eastAsia="Calibri"/>
                <w:color w:val="auto"/>
              </w:rPr>
            </w:pPr>
            <w:r w:rsidRPr="00FE7622">
              <w:rPr>
                <w:rFonts w:eastAsia="Calibri"/>
                <w:color w:val="auto"/>
              </w:rPr>
              <w:t>–0.148</w:t>
            </w:r>
          </w:p>
        </w:tc>
        <w:tc>
          <w:tcPr>
            <w:tcW w:w="0" w:type="auto"/>
            <w:shd w:val="clear" w:color="auto" w:fill="FF0000"/>
          </w:tcPr>
          <w:p w14:paraId="214B243A" w14:textId="77777777" w:rsidR="00964214" w:rsidRPr="00FE7622" w:rsidRDefault="00964214" w:rsidP="00AF19CC">
            <w:pPr>
              <w:pStyle w:val="72TabletextTablesTableFigureBoxstyles"/>
              <w:rPr>
                <w:rFonts w:eastAsia="Calibri"/>
                <w:color w:val="auto"/>
              </w:rPr>
            </w:pPr>
            <w:r w:rsidRPr="00FE7622">
              <w:rPr>
                <w:rFonts w:eastAsia="Calibri"/>
                <w:color w:val="auto"/>
              </w:rPr>
              <w:t>–0.035</w:t>
            </w:r>
          </w:p>
        </w:tc>
        <w:tc>
          <w:tcPr>
            <w:tcW w:w="0" w:type="auto"/>
            <w:shd w:val="clear" w:color="auto" w:fill="FF0000"/>
          </w:tcPr>
          <w:p w14:paraId="5AB9789F" w14:textId="77777777" w:rsidR="00964214" w:rsidRPr="00FE7622" w:rsidRDefault="00964214" w:rsidP="00AF19CC">
            <w:pPr>
              <w:pStyle w:val="72TabletextTablesTableFigureBoxstyles"/>
              <w:rPr>
                <w:rFonts w:eastAsia="Calibri"/>
              </w:rPr>
            </w:pPr>
            <w:r w:rsidRPr="00FE7622">
              <w:rPr>
                <w:rFonts w:eastAsia="Calibri"/>
                <w:color w:val="auto"/>
              </w:rPr>
              <w:t>–0.057</w:t>
            </w:r>
          </w:p>
        </w:tc>
        <w:tc>
          <w:tcPr>
            <w:tcW w:w="0" w:type="auto"/>
            <w:shd w:val="clear" w:color="auto" w:fill="FFFF00"/>
          </w:tcPr>
          <w:p w14:paraId="18555B68" w14:textId="77777777" w:rsidR="00964214" w:rsidRPr="00FE7622" w:rsidRDefault="00964214" w:rsidP="00AF19CC">
            <w:pPr>
              <w:pStyle w:val="72TabletextTablesTableFigureBoxstyles"/>
              <w:rPr>
                <w:rFonts w:eastAsia="Calibri"/>
              </w:rPr>
            </w:pPr>
            <w:r w:rsidRPr="00FE7622">
              <w:rPr>
                <w:rFonts w:eastAsia="Calibri"/>
                <w:color w:val="auto"/>
              </w:rPr>
              <w:t>0.181</w:t>
            </w:r>
          </w:p>
        </w:tc>
        <w:tc>
          <w:tcPr>
            <w:tcW w:w="0" w:type="auto"/>
            <w:shd w:val="clear" w:color="auto" w:fill="FF0000"/>
          </w:tcPr>
          <w:p w14:paraId="2F1B42F9" w14:textId="77777777" w:rsidR="00964214" w:rsidRPr="00FE7622" w:rsidRDefault="00964214" w:rsidP="00AF19CC">
            <w:pPr>
              <w:pStyle w:val="72TabletextTablesTableFigureBoxstyles"/>
              <w:rPr>
                <w:rFonts w:eastAsia="Calibri"/>
                <w:color w:val="auto"/>
              </w:rPr>
            </w:pPr>
            <w:r w:rsidRPr="00FE7622">
              <w:rPr>
                <w:rFonts w:eastAsia="Calibri"/>
                <w:color w:val="auto"/>
              </w:rPr>
              <w:t>0.027</w:t>
            </w:r>
          </w:p>
        </w:tc>
      </w:tr>
      <w:tr w:rsidR="00BA79A5" w:rsidRPr="00FE7622" w14:paraId="6A0F4EC3" w14:textId="77777777" w:rsidTr="00AF19CC">
        <w:trPr>
          <w:cantSplit/>
        </w:trPr>
        <w:tc>
          <w:tcPr>
            <w:tcW w:w="0" w:type="auto"/>
            <w:shd w:val="clear" w:color="auto" w:fill="auto"/>
          </w:tcPr>
          <w:p w14:paraId="4607E7CD" w14:textId="13C8699C" w:rsidR="00964214" w:rsidRPr="00FE7622" w:rsidRDefault="00964214" w:rsidP="00AF19CC">
            <w:pPr>
              <w:pStyle w:val="72TabletextTablesTableFigureBoxstyles"/>
              <w:rPr>
                <w:rFonts w:eastAsia="Calibri"/>
              </w:rPr>
            </w:pPr>
            <w:r w:rsidRPr="00842651">
              <w:rPr>
                <w:rFonts w:eastAsia="Calibri"/>
                <w:color w:val="auto"/>
              </w:rPr>
              <w:t>LCN2</w:t>
            </w:r>
          </w:p>
        </w:tc>
        <w:tc>
          <w:tcPr>
            <w:tcW w:w="0" w:type="auto"/>
            <w:shd w:val="clear" w:color="auto" w:fill="FF0000"/>
          </w:tcPr>
          <w:p w14:paraId="38548A5A" w14:textId="77777777" w:rsidR="00964214" w:rsidRPr="00FE7622" w:rsidRDefault="00964214" w:rsidP="00AF19CC">
            <w:pPr>
              <w:pStyle w:val="72TabletextTablesTableFigureBoxstyles"/>
              <w:rPr>
                <w:rFonts w:eastAsia="Calibri"/>
                <w:color w:val="auto"/>
              </w:rPr>
            </w:pPr>
            <w:r w:rsidRPr="00FE7622">
              <w:rPr>
                <w:rFonts w:eastAsia="Calibri"/>
                <w:color w:val="auto"/>
              </w:rPr>
              <w:t>0.048</w:t>
            </w:r>
          </w:p>
        </w:tc>
        <w:tc>
          <w:tcPr>
            <w:tcW w:w="0" w:type="auto"/>
            <w:shd w:val="clear" w:color="auto" w:fill="FF0000"/>
          </w:tcPr>
          <w:p w14:paraId="1E4C613C" w14:textId="77777777" w:rsidR="00964214" w:rsidRPr="00FE7622" w:rsidRDefault="00964214" w:rsidP="00AF19CC">
            <w:pPr>
              <w:pStyle w:val="72TabletextTablesTableFigureBoxstyles"/>
              <w:rPr>
                <w:rFonts w:eastAsia="Calibri"/>
                <w:color w:val="auto"/>
              </w:rPr>
            </w:pPr>
            <w:r w:rsidRPr="00FE7622">
              <w:rPr>
                <w:rFonts w:eastAsia="Calibri"/>
                <w:color w:val="auto"/>
              </w:rPr>
              <w:t>–0.013</w:t>
            </w:r>
          </w:p>
        </w:tc>
        <w:tc>
          <w:tcPr>
            <w:tcW w:w="0" w:type="auto"/>
            <w:shd w:val="clear" w:color="auto" w:fill="92D050"/>
          </w:tcPr>
          <w:p w14:paraId="733AF9A9" w14:textId="263064BD" w:rsidR="00964214" w:rsidRPr="00FE7622" w:rsidRDefault="00E038BF" w:rsidP="00AF19CC">
            <w:pPr>
              <w:pStyle w:val="72TabletextTablesTableFigureBoxstyles"/>
              <w:rPr>
                <w:rFonts w:eastAsia="Calibri"/>
                <w:b/>
                <w:bCs/>
                <w:color w:val="auto"/>
              </w:rPr>
            </w:pPr>
            <w:r w:rsidRPr="00FE7622">
              <w:rPr>
                <w:rFonts w:eastAsia="Calibri"/>
                <w:b/>
                <w:bCs/>
                <w:color w:val="auto"/>
              </w:rPr>
              <w:t>–0.228</w:t>
            </w:r>
          </w:p>
        </w:tc>
        <w:tc>
          <w:tcPr>
            <w:tcW w:w="0" w:type="auto"/>
            <w:shd w:val="clear" w:color="auto" w:fill="FF0000"/>
          </w:tcPr>
          <w:p w14:paraId="3888B172" w14:textId="77777777" w:rsidR="00964214" w:rsidRPr="00FE7622" w:rsidRDefault="00964214" w:rsidP="00AF19CC">
            <w:pPr>
              <w:pStyle w:val="72TabletextTablesTableFigureBoxstyles"/>
              <w:rPr>
                <w:rFonts w:eastAsia="Calibri"/>
                <w:b/>
                <w:bCs/>
              </w:rPr>
            </w:pPr>
            <w:r w:rsidRPr="00FE7622">
              <w:rPr>
                <w:rFonts w:eastAsia="Calibri"/>
                <w:color w:val="auto"/>
              </w:rPr>
              <w:t>–0.051</w:t>
            </w:r>
          </w:p>
        </w:tc>
        <w:tc>
          <w:tcPr>
            <w:tcW w:w="0" w:type="auto"/>
            <w:shd w:val="clear" w:color="auto" w:fill="FF0000"/>
          </w:tcPr>
          <w:p w14:paraId="6F0C2F5D" w14:textId="77777777" w:rsidR="00964214" w:rsidRPr="00FE7622" w:rsidRDefault="00964214" w:rsidP="00AF19CC">
            <w:pPr>
              <w:pStyle w:val="72TabletextTablesTableFigureBoxstyles"/>
              <w:rPr>
                <w:rFonts w:eastAsia="Calibri"/>
                <w:color w:val="auto"/>
              </w:rPr>
            </w:pPr>
            <w:r w:rsidRPr="00FE7622">
              <w:rPr>
                <w:rFonts w:eastAsia="Calibri"/>
                <w:color w:val="auto"/>
              </w:rPr>
              <w:t>0.005</w:t>
            </w:r>
          </w:p>
        </w:tc>
        <w:tc>
          <w:tcPr>
            <w:tcW w:w="0" w:type="auto"/>
            <w:shd w:val="clear" w:color="auto" w:fill="FF0000"/>
          </w:tcPr>
          <w:p w14:paraId="4181F188" w14:textId="77777777" w:rsidR="00964214" w:rsidRPr="00FE7622" w:rsidRDefault="00964214" w:rsidP="00AF19CC">
            <w:pPr>
              <w:pStyle w:val="72TabletextTablesTableFigureBoxstyles"/>
              <w:rPr>
                <w:rFonts w:eastAsia="Calibri"/>
              </w:rPr>
            </w:pPr>
            <w:r w:rsidRPr="00FE7622">
              <w:rPr>
                <w:rFonts w:eastAsia="Calibri"/>
                <w:color w:val="auto"/>
              </w:rPr>
              <w:t>–0.045</w:t>
            </w:r>
          </w:p>
        </w:tc>
        <w:tc>
          <w:tcPr>
            <w:tcW w:w="0" w:type="auto"/>
            <w:shd w:val="clear" w:color="auto" w:fill="FF0000"/>
          </w:tcPr>
          <w:p w14:paraId="311BB3DE" w14:textId="77777777" w:rsidR="00964214" w:rsidRPr="00FE7622" w:rsidRDefault="00964214" w:rsidP="00AF19CC">
            <w:pPr>
              <w:pStyle w:val="72TabletextTablesTableFigureBoxstyles"/>
              <w:rPr>
                <w:rFonts w:eastAsia="Calibri"/>
              </w:rPr>
            </w:pPr>
            <w:r w:rsidRPr="00FE7622">
              <w:rPr>
                <w:rFonts w:eastAsia="Calibri"/>
                <w:color w:val="auto"/>
              </w:rPr>
              <w:t>0.032</w:t>
            </w:r>
          </w:p>
        </w:tc>
        <w:tc>
          <w:tcPr>
            <w:tcW w:w="0" w:type="auto"/>
            <w:shd w:val="clear" w:color="auto" w:fill="FF33CC"/>
          </w:tcPr>
          <w:p w14:paraId="0ED00DBD" w14:textId="77777777" w:rsidR="00964214" w:rsidRPr="00FE7622" w:rsidRDefault="00964214" w:rsidP="00AF19CC">
            <w:pPr>
              <w:pStyle w:val="72TabletextTablesTableFigureBoxstyles"/>
              <w:rPr>
                <w:rFonts w:eastAsia="Calibri"/>
                <w:color w:val="auto"/>
              </w:rPr>
            </w:pPr>
            <w:r w:rsidRPr="00FE7622">
              <w:rPr>
                <w:rFonts w:eastAsia="Calibri"/>
                <w:color w:val="auto"/>
              </w:rPr>
              <w:t>0.164</w:t>
            </w:r>
          </w:p>
        </w:tc>
        <w:tc>
          <w:tcPr>
            <w:tcW w:w="0" w:type="auto"/>
            <w:shd w:val="clear" w:color="auto" w:fill="FF0000"/>
          </w:tcPr>
          <w:p w14:paraId="7F0125AD" w14:textId="77777777" w:rsidR="00964214" w:rsidRPr="00FE7622" w:rsidRDefault="00964214" w:rsidP="00AF19CC">
            <w:pPr>
              <w:pStyle w:val="72TabletextTablesTableFigureBoxstyles"/>
              <w:rPr>
                <w:rFonts w:eastAsia="Calibri"/>
                <w:color w:val="auto"/>
              </w:rPr>
            </w:pPr>
            <w:r w:rsidRPr="00FE7622">
              <w:rPr>
                <w:rFonts w:eastAsia="Calibri"/>
                <w:color w:val="auto"/>
              </w:rPr>
              <w:t>–0.064</w:t>
            </w:r>
          </w:p>
        </w:tc>
      </w:tr>
      <w:tr w:rsidR="00BA79A5" w:rsidRPr="00FE7622" w14:paraId="6A3AC5F7" w14:textId="77777777" w:rsidTr="00AF19CC">
        <w:trPr>
          <w:cantSplit/>
        </w:trPr>
        <w:tc>
          <w:tcPr>
            <w:tcW w:w="0" w:type="auto"/>
            <w:shd w:val="clear" w:color="auto" w:fill="auto"/>
          </w:tcPr>
          <w:p w14:paraId="684D84DA" w14:textId="77777777" w:rsidR="00964214" w:rsidRPr="00FE7622" w:rsidRDefault="00964214" w:rsidP="00AF19CC">
            <w:pPr>
              <w:pStyle w:val="72TabletextTablesTableFigureBoxstyles"/>
              <w:rPr>
                <w:rFonts w:eastAsia="Calibri"/>
              </w:rPr>
            </w:pPr>
            <w:r w:rsidRPr="00842651">
              <w:rPr>
                <w:rFonts w:eastAsia="Calibri"/>
                <w:color w:val="auto"/>
              </w:rPr>
              <w:t>IL</w:t>
            </w:r>
            <w:r w:rsidRPr="00FE7622">
              <w:rPr>
                <w:rFonts w:eastAsia="Calibri"/>
                <w:color w:val="auto"/>
              </w:rPr>
              <w:t>-18BP</w:t>
            </w:r>
          </w:p>
        </w:tc>
        <w:tc>
          <w:tcPr>
            <w:tcW w:w="0" w:type="auto"/>
            <w:shd w:val="clear" w:color="auto" w:fill="FF0000"/>
          </w:tcPr>
          <w:p w14:paraId="00EE7C43" w14:textId="77777777" w:rsidR="00964214" w:rsidRPr="00FE7622" w:rsidRDefault="00964214" w:rsidP="00AF19CC">
            <w:pPr>
              <w:pStyle w:val="72TabletextTablesTableFigureBoxstyles"/>
              <w:rPr>
                <w:rFonts w:eastAsia="Calibri"/>
              </w:rPr>
            </w:pPr>
            <w:r w:rsidRPr="00FE7622">
              <w:rPr>
                <w:rFonts w:eastAsia="Calibri"/>
                <w:color w:val="auto"/>
              </w:rPr>
              <w:t>0.025</w:t>
            </w:r>
          </w:p>
        </w:tc>
        <w:tc>
          <w:tcPr>
            <w:tcW w:w="0" w:type="auto"/>
            <w:shd w:val="clear" w:color="auto" w:fill="FFFF00"/>
          </w:tcPr>
          <w:p w14:paraId="5821BA61" w14:textId="77777777" w:rsidR="00964214" w:rsidRPr="00FE7622" w:rsidRDefault="00964214" w:rsidP="00AF19CC">
            <w:pPr>
              <w:pStyle w:val="72TabletextTablesTableFigureBoxstyles"/>
              <w:rPr>
                <w:rFonts w:eastAsia="Calibri"/>
              </w:rPr>
            </w:pPr>
            <w:r w:rsidRPr="00FE7622">
              <w:rPr>
                <w:rFonts w:eastAsia="Calibri"/>
                <w:color w:val="auto"/>
              </w:rPr>
              <w:t>0.114</w:t>
            </w:r>
          </w:p>
        </w:tc>
        <w:tc>
          <w:tcPr>
            <w:tcW w:w="0" w:type="auto"/>
            <w:shd w:val="clear" w:color="auto" w:fill="FFFF00"/>
          </w:tcPr>
          <w:p w14:paraId="20F8033E" w14:textId="77777777" w:rsidR="00964214" w:rsidRPr="00FE7622" w:rsidRDefault="00964214" w:rsidP="00AF19CC">
            <w:pPr>
              <w:pStyle w:val="72TabletextTablesTableFigureBoxstyles"/>
              <w:rPr>
                <w:rFonts w:eastAsia="Calibri"/>
              </w:rPr>
            </w:pPr>
            <w:r w:rsidRPr="00FE7622">
              <w:rPr>
                <w:rFonts w:eastAsia="Calibri"/>
                <w:color w:val="auto"/>
              </w:rPr>
              <w:t>0.166</w:t>
            </w:r>
          </w:p>
        </w:tc>
        <w:tc>
          <w:tcPr>
            <w:tcW w:w="0" w:type="auto"/>
            <w:shd w:val="clear" w:color="auto" w:fill="FF0000"/>
          </w:tcPr>
          <w:p w14:paraId="65A124F5" w14:textId="77777777" w:rsidR="00964214" w:rsidRPr="00FE7622" w:rsidRDefault="00964214" w:rsidP="00AF19CC">
            <w:pPr>
              <w:pStyle w:val="72TabletextTablesTableFigureBoxstyles"/>
              <w:rPr>
                <w:rFonts w:eastAsia="Calibri"/>
                <w:color w:val="auto"/>
              </w:rPr>
            </w:pPr>
            <w:r w:rsidRPr="00FE7622">
              <w:rPr>
                <w:rFonts w:eastAsia="Calibri"/>
                <w:color w:val="auto"/>
              </w:rPr>
              <w:t>0.019</w:t>
            </w:r>
          </w:p>
        </w:tc>
        <w:tc>
          <w:tcPr>
            <w:tcW w:w="0" w:type="auto"/>
            <w:shd w:val="clear" w:color="auto" w:fill="FF0000"/>
          </w:tcPr>
          <w:p w14:paraId="7213B71F" w14:textId="77777777" w:rsidR="00964214" w:rsidRPr="00FE7622" w:rsidRDefault="00964214" w:rsidP="00AF19CC">
            <w:pPr>
              <w:pStyle w:val="72TabletextTablesTableFigureBoxstyles"/>
              <w:rPr>
                <w:rFonts w:eastAsia="Calibri"/>
              </w:rPr>
            </w:pPr>
            <w:r w:rsidRPr="00FE7622">
              <w:rPr>
                <w:rFonts w:eastAsia="Calibri"/>
                <w:color w:val="auto"/>
              </w:rPr>
              <w:t>–0.051</w:t>
            </w:r>
          </w:p>
        </w:tc>
        <w:tc>
          <w:tcPr>
            <w:tcW w:w="0" w:type="auto"/>
            <w:shd w:val="clear" w:color="auto" w:fill="FFFF00"/>
          </w:tcPr>
          <w:p w14:paraId="79652495" w14:textId="77777777" w:rsidR="00964214" w:rsidRPr="00FE7622" w:rsidRDefault="00964214" w:rsidP="00AF19CC">
            <w:pPr>
              <w:pStyle w:val="72TabletextTablesTableFigureBoxstyles"/>
              <w:rPr>
                <w:rFonts w:eastAsia="Calibri"/>
                <w:color w:val="auto"/>
              </w:rPr>
            </w:pPr>
            <w:r w:rsidRPr="00FE7622">
              <w:rPr>
                <w:rFonts w:eastAsia="Calibri"/>
                <w:color w:val="auto"/>
              </w:rPr>
              <w:t>0.180</w:t>
            </w:r>
          </w:p>
        </w:tc>
        <w:tc>
          <w:tcPr>
            <w:tcW w:w="0" w:type="auto"/>
            <w:shd w:val="clear" w:color="auto" w:fill="FF0000"/>
          </w:tcPr>
          <w:p w14:paraId="38395FF1" w14:textId="77777777" w:rsidR="00964214" w:rsidRPr="00FE7622" w:rsidRDefault="00964214" w:rsidP="00AF19CC">
            <w:pPr>
              <w:pStyle w:val="72TabletextTablesTableFigureBoxstyles"/>
              <w:rPr>
                <w:rFonts w:eastAsia="Calibri"/>
              </w:rPr>
            </w:pPr>
            <w:r w:rsidRPr="00FE7622">
              <w:rPr>
                <w:rFonts w:eastAsia="Calibri"/>
                <w:color w:val="auto"/>
              </w:rPr>
              <w:t>–0.025</w:t>
            </w:r>
          </w:p>
        </w:tc>
        <w:tc>
          <w:tcPr>
            <w:tcW w:w="0" w:type="auto"/>
            <w:shd w:val="clear" w:color="auto" w:fill="FFFF00"/>
          </w:tcPr>
          <w:p w14:paraId="0C22651D" w14:textId="77777777" w:rsidR="00964214" w:rsidRPr="00FE7622" w:rsidRDefault="00964214" w:rsidP="00AF19CC">
            <w:pPr>
              <w:pStyle w:val="72TabletextTablesTableFigureBoxstyles"/>
              <w:rPr>
                <w:rFonts w:eastAsia="Calibri"/>
              </w:rPr>
            </w:pPr>
            <w:r w:rsidRPr="00FE7622">
              <w:rPr>
                <w:rFonts w:eastAsia="Calibri"/>
                <w:color w:val="auto"/>
              </w:rPr>
              <w:t>0.117</w:t>
            </w:r>
          </w:p>
        </w:tc>
        <w:tc>
          <w:tcPr>
            <w:tcW w:w="0" w:type="auto"/>
            <w:shd w:val="clear" w:color="auto" w:fill="FF0000"/>
          </w:tcPr>
          <w:p w14:paraId="3FC10071" w14:textId="77777777" w:rsidR="00964214" w:rsidRPr="00FE7622" w:rsidRDefault="00964214" w:rsidP="00AF19CC">
            <w:pPr>
              <w:pStyle w:val="72TabletextTablesTableFigureBoxstyles"/>
              <w:rPr>
                <w:rFonts w:eastAsia="Calibri"/>
                <w:color w:val="auto"/>
              </w:rPr>
            </w:pPr>
            <w:r w:rsidRPr="00FE7622">
              <w:rPr>
                <w:rFonts w:eastAsia="Calibri"/>
                <w:color w:val="auto"/>
              </w:rPr>
              <w:t>0.061</w:t>
            </w:r>
          </w:p>
        </w:tc>
      </w:tr>
      <w:tr w:rsidR="00BA79A5" w:rsidRPr="00FE7622" w14:paraId="57C837C6" w14:textId="77777777" w:rsidTr="00AF19CC">
        <w:trPr>
          <w:cantSplit/>
        </w:trPr>
        <w:tc>
          <w:tcPr>
            <w:tcW w:w="0" w:type="auto"/>
            <w:shd w:val="clear" w:color="auto" w:fill="auto"/>
          </w:tcPr>
          <w:p w14:paraId="6BC9898B" w14:textId="77777777" w:rsidR="00964214" w:rsidRPr="00FE7622" w:rsidRDefault="00964214" w:rsidP="00AF19CC">
            <w:pPr>
              <w:pStyle w:val="72TabletextTablesTableFigureBoxstyles"/>
              <w:rPr>
                <w:rFonts w:eastAsia="Calibri"/>
              </w:rPr>
            </w:pPr>
            <w:r w:rsidRPr="00FE7622">
              <w:rPr>
                <w:rFonts w:eastAsia="Calibri"/>
                <w:color w:val="auto"/>
              </w:rPr>
              <w:t>miR-422</w:t>
            </w:r>
          </w:p>
        </w:tc>
        <w:tc>
          <w:tcPr>
            <w:tcW w:w="0" w:type="auto"/>
            <w:shd w:val="clear" w:color="auto" w:fill="FF0000"/>
          </w:tcPr>
          <w:p w14:paraId="2DAE7A28" w14:textId="77777777" w:rsidR="00964214" w:rsidRPr="00FE7622" w:rsidRDefault="00964214" w:rsidP="00AF19CC">
            <w:pPr>
              <w:pStyle w:val="72TabletextTablesTableFigureBoxstyles"/>
              <w:rPr>
                <w:rFonts w:eastAsia="Calibri"/>
              </w:rPr>
            </w:pPr>
            <w:r w:rsidRPr="00FE7622">
              <w:rPr>
                <w:rFonts w:eastAsia="Calibri"/>
                <w:color w:val="auto"/>
              </w:rPr>
              <w:t>0.020</w:t>
            </w:r>
          </w:p>
        </w:tc>
        <w:tc>
          <w:tcPr>
            <w:tcW w:w="0" w:type="auto"/>
            <w:shd w:val="clear" w:color="auto" w:fill="FF0000"/>
          </w:tcPr>
          <w:p w14:paraId="1991104C" w14:textId="77777777" w:rsidR="00964214" w:rsidRPr="00FE7622" w:rsidRDefault="00964214" w:rsidP="00AF19CC">
            <w:pPr>
              <w:pStyle w:val="72TabletextTablesTableFigureBoxstyles"/>
              <w:rPr>
                <w:rFonts w:eastAsia="Calibri"/>
              </w:rPr>
            </w:pPr>
            <w:r w:rsidRPr="00FE7622">
              <w:rPr>
                <w:rFonts w:eastAsia="Calibri"/>
                <w:color w:val="auto"/>
              </w:rPr>
              <w:t>0.036</w:t>
            </w:r>
          </w:p>
        </w:tc>
        <w:tc>
          <w:tcPr>
            <w:tcW w:w="0" w:type="auto"/>
            <w:shd w:val="clear" w:color="auto" w:fill="92D050"/>
          </w:tcPr>
          <w:p w14:paraId="6D2AFD30" w14:textId="29957317" w:rsidR="00964214" w:rsidRPr="00FE7622" w:rsidRDefault="00E038BF" w:rsidP="00AF19CC">
            <w:pPr>
              <w:pStyle w:val="72TabletextTablesTableFigureBoxstyles"/>
              <w:rPr>
                <w:rFonts w:eastAsia="Calibri"/>
                <w:b/>
                <w:bCs/>
              </w:rPr>
            </w:pPr>
            <w:r w:rsidRPr="00FE7622">
              <w:rPr>
                <w:rFonts w:eastAsia="Calibri"/>
                <w:b/>
                <w:bCs/>
                <w:color w:val="auto"/>
              </w:rPr>
              <w:t>0.254</w:t>
            </w:r>
          </w:p>
        </w:tc>
        <w:tc>
          <w:tcPr>
            <w:tcW w:w="0" w:type="auto"/>
            <w:shd w:val="clear" w:color="auto" w:fill="FF0000"/>
          </w:tcPr>
          <w:p w14:paraId="25400284" w14:textId="77777777" w:rsidR="00964214" w:rsidRPr="00FE7622" w:rsidRDefault="00964214" w:rsidP="00AF19CC">
            <w:pPr>
              <w:pStyle w:val="72TabletextTablesTableFigureBoxstyles"/>
              <w:rPr>
                <w:rFonts w:eastAsia="Calibri"/>
                <w:b/>
                <w:bCs/>
                <w:color w:val="auto"/>
              </w:rPr>
            </w:pPr>
            <w:r w:rsidRPr="00FE7622">
              <w:rPr>
                <w:rFonts w:eastAsia="Calibri"/>
                <w:color w:val="auto"/>
              </w:rPr>
              <w:t>0.084</w:t>
            </w:r>
          </w:p>
        </w:tc>
        <w:tc>
          <w:tcPr>
            <w:tcW w:w="0" w:type="auto"/>
            <w:shd w:val="clear" w:color="auto" w:fill="FF33CC"/>
          </w:tcPr>
          <w:p w14:paraId="23AD40F8" w14:textId="77777777" w:rsidR="00964214" w:rsidRPr="00FE7622" w:rsidRDefault="00964214" w:rsidP="00AF19CC">
            <w:pPr>
              <w:pStyle w:val="72TabletextTablesTableFigureBoxstyles"/>
              <w:rPr>
                <w:rFonts w:eastAsia="Calibri"/>
              </w:rPr>
            </w:pPr>
            <w:r w:rsidRPr="00FE7622">
              <w:rPr>
                <w:rFonts w:eastAsia="Calibri"/>
                <w:color w:val="auto"/>
              </w:rPr>
              <w:t>–0.139</w:t>
            </w:r>
          </w:p>
        </w:tc>
        <w:tc>
          <w:tcPr>
            <w:tcW w:w="0" w:type="auto"/>
            <w:shd w:val="clear" w:color="auto" w:fill="FF0000"/>
          </w:tcPr>
          <w:p w14:paraId="48A23AB7" w14:textId="77777777" w:rsidR="00964214" w:rsidRPr="00FE7622" w:rsidRDefault="00964214" w:rsidP="00AF19CC">
            <w:pPr>
              <w:pStyle w:val="72TabletextTablesTableFigureBoxstyles"/>
              <w:rPr>
                <w:rFonts w:eastAsia="Calibri"/>
              </w:rPr>
            </w:pPr>
            <w:r w:rsidRPr="00FE7622">
              <w:rPr>
                <w:rFonts w:eastAsia="Calibri"/>
                <w:color w:val="auto"/>
              </w:rPr>
              <w:t>0.047</w:t>
            </w:r>
          </w:p>
        </w:tc>
        <w:tc>
          <w:tcPr>
            <w:tcW w:w="0" w:type="auto"/>
            <w:shd w:val="clear" w:color="auto" w:fill="FFFF00"/>
          </w:tcPr>
          <w:p w14:paraId="12B36968" w14:textId="77777777" w:rsidR="00964214" w:rsidRPr="00FE7622" w:rsidRDefault="00964214" w:rsidP="00AF19CC">
            <w:pPr>
              <w:pStyle w:val="72TabletextTablesTableFigureBoxstyles"/>
              <w:rPr>
                <w:rFonts w:eastAsia="Calibri"/>
              </w:rPr>
            </w:pPr>
            <w:r w:rsidRPr="00FE7622">
              <w:rPr>
                <w:rFonts w:eastAsia="Calibri"/>
                <w:color w:val="auto"/>
              </w:rPr>
              <w:t>0.163</w:t>
            </w:r>
          </w:p>
        </w:tc>
        <w:tc>
          <w:tcPr>
            <w:tcW w:w="0" w:type="auto"/>
            <w:shd w:val="clear" w:color="auto" w:fill="92D050"/>
          </w:tcPr>
          <w:p w14:paraId="07DF75FA" w14:textId="656CF752" w:rsidR="00964214" w:rsidRPr="00FE7622" w:rsidRDefault="00E038BF" w:rsidP="00AF19CC">
            <w:pPr>
              <w:pStyle w:val="72TabletextTablesTableFigureBoxstyles"/>
              <w:rPr>
                <w:rFonts w:eastAsia="Calibri"/>
                <w:color w:val="auto"/>
              </w:rPr>
            </w:pPr>
            <w:r w:rsidRPr="00FE7622">
              <w:rPr>
                <w:rFonts w:eastAsia="Calibri"/>
                <w:b/>
                <w:bCs/>
                <w:color w:val="auto"/>
              </w:rPr>
              <w:t>0.234</w:t>
            </w:r>
          </w:p>
        </w:tc>
        <w:tc>
          <w:tcPr>
            <w:tcW w:w="0" w:type="auto"/>
            <w:shd w:val="clear" w:color="auto" w:fill="FF0000"/>
          </w:tcPr>
          <w:p w14:paraId="643B736E" w14:textId="77777777" w:rsidR="00964214" w:rsidRPr="00FE7622" w:rsidRDefault="00964214" w:rsidP="00AF19CC">
            <w:pPr>
              <w:pStyle w:val="72TabletextTablesTableFigureBoxstyles"/>
              <w:rPr>
                <w:rFonts w:eastAsia="Calibri"/>
                <w:color w:val="auto"/>
              </w:rPr>
            </w:pPr>
            <w:r w:rsidRPr="00FE7622">
              <w:rPr>
                <w:rFonts w:eastAsia="Calibri"/>
                <w:color w:val="auto"/>
              </w:rPr>
              <w:t>–0.018</w:t>
            </w:r>
          </w:p>
        </w:tc>
      </w:tr>
      <w:tr w:rsidR="00BA79A5" w:rsidRPr="00FE7622" w14:paraId="301C66B2" w14:textId="77777777" w:rsidTr="00AF19CC">
        <w:trPr>
          <w:cantSplit/>
        </w:trPr>
        <w:tc>
          <w:tcPr>
            <w:tcW w:w="0" w:type="auto"/>
            <w:shd w:val="clear" w:color="auto" w:fill="auto"/>
          </w:tcPr>
          <w:p w14:paraId="37108797" w14:textId="3F1BCF52" w:rsidR="00964214" w:rsidRPr="00FE7622" w:rsidRDefault="00964214" w:rsidP="00AF19CC">
            <w:pPr>
              <w:pStyle w:val="72TabletextTablesTableFigureBoxstyles"/>
              <w:rPr>
                <w:rFonts w:eastAsia="Calibri"/>
              </w:rPr>
            </w:pPr>
            <w:r w:rsidRPr="00FE7622">
              <w:rPr>
                <w:rFonts w:eastAsia="Calibri"/>
                <w:color w:val="auto"/>
              </w:rPr>
              <w:t>miR-483</w:t>
            </w:r>
            <w:r w:rsidR="005864CE" w:rsidRPr="00FE7622">
              <w:rPr>
                <w:rFonts w:eastAsia="Calibri"/>
                <w:color w:val="auto"/>
              </w:rPr>
              <w:t>-</w:t>
            </w:r>
            <w:r w:rsidRPr="00FE7622">
              <w:rPr>
                <w:rFonts w:eastAsia="Calibri"/>
                <w:color w:val="auto"/>
              </w:rPr>
              <w:t>5p</w:t>
            </w:r>
          </w:p>
        </w:tc>
        <w:tc>
          <w:tcPr>
            <w:tcW w:w="0" w:type="auto"/>
            <w:shd w:val="clear" w:color="auto" w:fill="FF0000"/>
          </w:tcPr>
          <w:p w14:paraId="102E6B79" w14:textId="77777777" w:rsidR="00964214" w:rsidRPr="00FE7622" w:rsidRDefault="00964214" w:rsidP="00AF19CC">
            <w:pPr>
              <w:pStyle w:val="72TabletextTablesTableFigureBoxstyles"/>
              <w:rPr>
                <w:rFonts w:eastAsia="Calibri"/>
              </w:rPr>
            </w:pPr>
            <w:r w:rsidRPr="00FE7622">
              <w:rPr>
                <w:rFonts w:eastAsia="Calibri"/>
                <w:color w:val="auto"/>
              </w:rPr>
              <w:t>0.007</w:t>
            </w:r>
          </w:p>
        </w:tc>
        <w:tc>
          <w:tcPr>
            <w:tcW w:w="0" w:type="auto"/>
            <w:shd w:val="clear" w:color="auto" w:fill="FF0000"/>
          </w:tcPr>
          <w:p w14:paraId="5FDDBC99" w14:textId="77777777" w:rsidR="00964214" w:rsidRPr="00FE7622" w:rsidRDefault="00964214" w:rsidP="00AF19CC">
            <w:pPr>
              <w:pStyle w:val="72TabletextTablesTableFigureBoxstyles"/>
              <w:rPr>
                <w:rFonts w:eastAsia="Calibri"/>
              </w:rPr>
            </w:pPr>
            <w:r w:rsidRPr="00FE7622">
              <w:rPr>
                <w:rFonts w:eastAsia="Calibri"/>
                <w:color w:val="auto"/>
              </w:rPr>
              <w:t>0.013</w:t>
            </w:r>
          </w:p>
        </w:tc>
        <w:tc>
          <w:tcPr>
            <w:tcW w:w="0" w:type="auto"/>
            <w:shd w:val="clear" w:color="auto" w:fill="FFFF00"/>
          </w:tcPr>
          <w:p w14:paraId="589929E6" w14:textId="77777777" w:rsidR="00964214" w:rsidRPr="00FE7622" w:rsidRDefault="00964214" w:rsidP="00AF19CC">
            <w:pPr>
              <w:pStyle w:val="72TabletextTablesTableFigureBoxstyles"/>
              <w:rPr>
                <w:rFonts w:eastAsia="Calibri"/>
                <w:color w:val="auto"/>
              </w:rPr>
            </w:pPr>
            <w:r w:rsidRPr="00FE7622">
              <w:rPr>
                <w:rFonts w:eastAsia="Calibri"/>
                <w:color w:val="auto"/>
              </w:rPr>
              <w:t>0.102</w:t>
            </w:r>
          </w:p>
        </w:tc>
        <w:tc>
          <w:tcPr>
            <w:tcW w:w="0" w:type="auto"/>
            <w:shd w:val="clear" w:color="auto" w:fill="FF0000"/>
          </w:tcPr>
          <w:p w14:paraId="06E9411D" w14:textId="77777777" w:rsidR="00964214" w:rsidRPr="00FE7622" w:rsidRDefault="00964214" w:rsidP="00AF19CC">
            <w:pPr>
              <w:pStyle w:val="72TabletextTablesTableFigureBoxstyles"/>
              <w:rPr>
                <w:rFonts w:eastAsia="Calibri"/>
                <w:color w:val="auto"/>
              </w:rPr>
            </w:pPr>
            <w:r w:rsidRPr="00FE7622">
              <w:rPr>
                <w:rFonts w:eastAsia="Calibri"/>
                <w:color w:val="auto"/>
              </w:rPr>
              <w:t>–0.061</w:t>
            </w:r>
          </w:p>
        </w:tc>
        <w:tc>
          <w:tcPr>
            <w:tcW w:w="0" w:type="auto"/>
            <w:shd w:val="clear" w:color="auto" w:fill="FF33CC"/>
          </w:tcPr>
          <w:p w14:paraId="3D739FDF" w14:textId="77777777" w:rsidR="00964214" w:rsidRPr="00FE7622" w:rsidRDefault="00964214" w:rsidP="00AF19CC">
            <w:pPr>
              <w:pStyle w:val="72TabletextTablesTableFigureBoxstyles"/>
              <w:rPr>
                <w:rFonts w:eastAsia="Calibri"/>
              </w:rPr>
            </w:pPr>
            <w:r w:rsidRPr="00FE7622">
              <w:rPr>
                <w:rFonts w:eastAsia="Calibri"/>
                <w:color w:val="auto"/>
              </w:rPr>
              <w:t>–0.164</w:t>
            </w:r>
          </w:p>
        </w:tc>
        <w:tc>
          <w:tcPr>
            <w:tcW w:w="0" w:type="auto"/>
            <w:shd w:val="clear" w:color="auto" w:fill="FF0000"/>
          </w:tcPr>
          <w:p w14:paraId="17C8F98B" w14:textId="77777777" w:rsidR="00964214" w:rsidRPr="00FE7622" w:rsidRDefault="00964214" w:rsidP="00AF19CC">
            <w:pPr>
              <w:pStyle w:val="72TabletextTablesTableFigureBoxstyles"/>
              <w:rPr>
                <w:rFonts w:eastAsia="Calibri"/>
              </w:rPr>
            </w:pPr>
            <w:r w:rsidRPr="00FE7622">
              <w:rPr>
                <w:rFonts w:eastAsia="Calibri"/>
                <w:color w:val="auto"/>
              </w:rPr>
              <w:t>0.088</w:t>
            </w:r>
          </w:p>
        </w:tc>
        <w:tc>
          <w:tcPr>
            <w:tcW w:w="0" w:type="auto"/>
            <w:shd w:val="clear" w:color="auto" w:fill="FF0000"/>
          </w:tcPr>
          <w:p w14:paraId="141A0092" w14:textId="77777777" w:rsidR="00964214" w:rsidRPr="00FE7622" w:rsidRDefault="00964214" w:rsidP="00AF19CC">
            <w:pPr>
              <w:pStyle w:val="72TabletextTablesTableFigureBoxstyles"/>
              <w:rPr>
                <w:rFonts w:eastAsia="Calibri"/>
              </w:rPr>
            </w:pPr>
            <w:r w:rsidRPr="00FE7622">
              <w:rPr>
                <w:rFonts w:eastAsia="Calibri"/>
                <w:color w:val="auto"/>
              </w:rPr>
              <w:t>0.049</w:t>
            </w:r>
          </w:p>
        </w:tc>
        <w:tc>
          <w:tcPr>
            <w:tcW w:w="0" w:type="auto"/>
            <w:shd w:val="clear" w:color="auto" w:fill="92D050"/>
          </w:tcPr>
          <w:p w14:paraId="4494A7EC" w14:textId="2058E6F3" w:rsidR="00964214" w:rsidRPr="00FE7622" w:rsidRDefault="00E038BF" w:rsidP="00AF19CC">
            <w:pPr>
              <w:pStyle w:val="72TabletextTablesTableFigureBoxstyles"/>
              <w:rPr>
                <w:rFonts w:eastAsia="Calibri"/>
                <w:color w:val="auto"/>
              </w:rPr>
            </w:pPr>
            <w:r w:rsidRPr="00FE7622">
              <w:rPr>
                <w:rFonts w:eastAsia="Calibri"/>
                <w:b/>
                <w:bCs/>
                <w:color w:val="auto"/>
              </w:rPr>
              <w:t>0.213</w:t>
            </w:r>
          </w:p>
        </w:tc>
        <w:tc>
          <w:tcPr>
            <w:tcW w:w="0" w:type="auto"/>
            <w:shd w:val="clear" w:color="auto" w:fill="FF33CC"/>
          </w:tcPr>
          <w:p w14:paraId="53DBBE32" w14:textId="77777777" w:rsidR="00964214" w:rsidRPr="00FE7622" w:rsidRDefault="00964214" w:rsidP="00AF19CC">
            <w:pPr>
              <w:pStyle w:val="72TabletextTablesTableFigureBoxstyles"/>
              <w:rPr>
                <w:rFonts w:eastAsia="Calibri"/>
                <w:color w:val="auto"/>
              </w:rPr>
            </w:pPr>
            <w:r w:rsidRPr="00FE7622">
              <w:rPr>
                <w:rFonts w:eastAsia="Calibri"/>
                <w:color w:val="auto"/>
              </w:rPr>
              <w:t>–0.163</w:t>
            </w:r>
          </w:p>
        </w:tc>
      </w:tr>
      <w:tr w:rsidR="00BA79A5" w:rsidRPr="00FE7622" w14:paraId="4DB373A6" w14:textId="77777777" w:rsidTr="00AF19CC">
        <w:trPr>
          <w:cantSplit/>
        </w:trPr>
        <w:tc>
          <w:tcPr>
            <w:tcW w:w="0" w:type="auto"/>
            <w:shd w:val="clear" w:color="auto" w:fill="auto"/>
          </w:tcPr>
          <w:p w14:paraId="4C9C8F08" w14:textId="336C184F" w:rsidR="00964214" w:rsidRPr="00FE7622" w:rsidRDefault="00964214" w:rsidP="00AF19CC">
            <w:pPr>
              <w:pStyle w:val="72TabletextTablesTableFigureBoxstyles"/>
              <w:rPr>
                <w:rFonts w:eastAsia="Calibri"/>
              </w:rPr>
            </w:pPr>
            <w:r w:rsidRPr="00FE7622">
              <w:rPr>
                <w:rFonts w:eastAsia="Calibri"/>
                <w:color w:val="auto"/>
              </w:rPr>
              <w:t>miR-485</w:t>
            </w:r>
            <w:r w:rsidR="005864CE" w:rsidRPr="00FE7622">
              <w:rPr>
                <w:rFonts w:eastAsia="Calibri"/>
                <w:color w:val="auto"/>
              </w:rPr>
              <w:t>-</w:t>
            </w:r>
            <w:r w:rsidRPr="00FE7622">
              <w:rPr>
                <w:rFonts w:eastAsia="Calibri"/>
                <w:color w:val="auto"/>
              </w:rPr>
              <w:t>3p</w:t>
            </w:r>
          </w:p>
        </w:tc>
        <w:tc>
          <w:tcPr>
            <w:tcW w:w="0" w:type="auto"/>
            <w:shd w:val="clear" w:color="auto" w:fill="FF0000"/>
          </w:tcPr>
          <w:p w14:paraId="2D2813FA" w14:textId="77777777" w:rsidR="00964214" w:rsidRPr="00FE7622" w:rsidRDefault="00964214" w:rsidP="00AF19CC">
            <w:pPr>
              <w:pStyle w:val="72TabletextTablesTableFigureBoxstyles"/>
              <w:rPr>
                <w:rFonts w:eastAsia="Calibri"/>
                <w:color w:val="auto"/>
              </w:rPr>
            </w:pPr>
            <w:r w:rsidRPr="00FE7622">
              <w:rPr>
                <w:rFonts w:eastAsia="Calibri"/>
                <w:color w:val="auto"/>
              </w:rPr>
              <w:t>0.071</w:t>
            </w:r>
          </w:p>
        </w:tc>
        <w:tc>
          <w:tcPr>
            <w:tcW w:w="0" w:type="auto"/>
            <w:shd w:val="clear" w:color="auto" w:fill="FF0000"/>
          </w:tcPr>
          <w:p w14:paraId="75933123" w14:textId="77777777" w:rsidR="00964214" w:rsidRPr="00FE7622" w:rsidRDefault="00964214" w:rsidP="00AF19CC">
            <w:pPr>
              <w:pStyle w:val="72TabletextTablesTableFigureBoxstyles"/>
              <w:rPr>
                <w:rFonts w:eastAsia="Calibri"/>
              </w:rPr>
            </w:pPr>
            <w:r w:rsidRPr="00FE7622">
              <w:rPr>
                <w:rFonts w:eastAsia="Calibri"/>
                <w:color w:val="auto"/>
              </w:rPr>
              <w:t>–0.02</w:t>
            </w:r>
          </w:p>
        </w:tc>
        <w:tc>
          <w:tcPr>
            <w:tcW w:w="0" w:type="auto"/>
            <w:shd w:val="clear" w:color="auto" w:fill="92D050"/>
          </w:tcPr>
          <w:p w14:paraId="2AD10B52" w14:textId="0DA0A9CF" w:rsidR="00964214" w:rsidRPr="00FE7622" w:rsidRDefault="00E038BF" w:rsidP="00AF19CC">
            <w:pPr>
              <w:pStyle w:val="72TabletextTablesTableFigureBoxstyles"/>
              <w:rPr>
                <w:rFonts w:eastAsia="Calibri"/>
                <w:b/>
                <w:bCs/>
              </w:rPr>
            </w:pPr>
            <w:r w:rsidRPr="00FE7622">
              <w:rPr>
                <w:rFonts w:eastAsia="Calibri"/>
                <w:b/>
                <w:bCs/>
                <w:color w:val="auto"/>
              </w:rPr>
              <w:t>0.201</w:t>
            </w:r>
          </w:p>
        </w:tc>
        <w:tc>
          <w:tcPr>
            <w:tcW w:w="0" w:type="auto"/>
            <w:shd w:val="clear" w:color="auto" w:fill="FF0000"/>
          </w:tcPr>
          <w:p w14:paraId="30AC0927" w14:textId="77777777" w:rsidR="00964214" w:rsidRPr="00FE7622" w:rsidRDefault="00964214" w:rsidP="00AF19CC">
            <w:pPr>
              <w:pStyle w:val="72TabletextTablesTableFigureBoxstyles"/>
              <w:rPr>
                <w:rFonts w:eastAsia="Calibri"/>
                <w:b/>
                <w:bCs/>
                <w:color w:val="auto"/>
              </w:rPr>
            </w:pPr>
            <w:r w:rsidRPr="00FE7622">
              <w:rPr>
                <w:rFonts w:eastAsia="Calibri"/>
                <w:color w:val="auto"/>
              </w:rPr>
              <w:t>0.015</w:t>
            </w:r>
          </w:p>
        </w:tc>
        <w:tc>
          <w:tcPr>
            <w:tcW w:w="0" w:type="auto"/>
            <w:shd w:val="clear" w:color="auto" w:fill="FF33CC"/>
          </w:tcPr>
          <w:p w14:paraId="52E7F821" w14:textId="77777777" w:rsidR="00964214" w:rsidRPr="00FE7622" w:rsidRDefault="00964214" w:rsidP="00AF19CC">
            <w:pPr>
              <w:pStyle w:val="72TabletextTablesTableFigureBoxstyles"/>
              <w:rPr>
                <w:rFonts w:eastAsia="Calibri"/>
              </w:rPr>
            </w:pPr>
            <w:r w:rsidRPr="00FE7622">
              <w:rPr>
                <w:rFonts w:eastAsia="Calibri"/>
                <w:color w:val="auto"/>
              </w:rPr>
              <w:t>–0.126</w:t>
            </w:r>
          </w:p>
        </w:tc>
        <w:tc>
          <w:tcPr>
            <w:tcW w:w="0" w:type="auto"/>
            <w:shd w:val="clear" w:color="auto" w:fill="FF0000"/>
          </w:tcPr>
          <w:p w14:paraId="2826F776" w14:textId="77777777" w:rsidR="00964214" w:rsidRPr="00FE7622" w:rsidRDefault="00964214" w:rsidP="00AF19CC">
            <w:pPr>
              <w:pStyle w:val="72TabletextTablesTableFigureBoxstyles"/>
              <w:rPr>
                <w:rFonts w:eastAsia="Calibri"/>
              </w:rPr>
            </w:pPr>
            <w:r w:rsidRPr="00FE7622">
              <w:rPr>
                <w:rFonts w:eastAsia="Calibri"/>
                <w:color w:val="auto"/>
              </w:rPr>
              <w:t>0.043</w:t>
            </w:r>
          </w:p>
        </w:tc>
        <w:tc>
          <w:tcPr>
            <w:tcW w:w="0" w:type="auto"/>
            <w:shd w:val="clear" w:color="auto" w:fill="FF0000"/>
          </w:tcPr>
          <w:p w14:paraId="79F02BCD" w14:textId="77777777" w:rsidR="00964214" w:rsidRPr="00FE7622" w:rsidRDefault="00964214" w:rsidP="00AF19CC">
            <w:pPr>
              <w:pStyle w:val="72TabletextTablesTableFigureBoxstyles"/>
              <w:rPr>
                <w:rFonts w:eastAsia="Calibri"/>
                <w:color w:val="auto"/>
              </w:rPr>
            </w:pPr>
            <w:r w:rsidRPr="00FE7622">
              <w:rPr>
                <w:rFonts w:eastAsia="Calibri"/>
                <w:color w:val="auto"/>
              </w:rPr>
              <w:t>0.085</w:t>
            </w:r>
          </w:p>
        </w:tc>
        <w:tc>
          <w:tcPr>
            <w:tcW w:w="0" w:type="auto"/>
            <w:shd w:val="clear" w:color="auto" w:fill="FF0000"/>
          </w:tcPr>
          <w:p w14:paraId="0DCD51AF" w14:textId="77777777" w:rsidR="00964214" w:rsidRPr="00FE7622" w:rsidRDefault="00964214" w:rsidP="00AF19CC">
            <w:pPr>
              <w:pStyle w:val="72TabletextTablesTableFigureBoxstyles"/>
              <w:rPr>
                <w:rFonts w:eastAsia="Calibri"/>
              </w:rPr>
            </w:pPr>
            <w:r w:rsidRPr="00FE7622">
              <w:rPr>
                <w:rFonts w:eastAsia="Calibri"/>
                <w:color w:val="auto"/>
              </w:rPr>
              <w:t>–0.037</w:t>
            </w:r>
          </w:p>
        </w:tc>
        <w:tc>
          <w:tcPr>
            <w:tcW w:w="0" w:type="auto"/>
            <w:shd w:val="clear" w:color="auto" w:fill="FF0000"/>
          </w:tcPr>
          <w:p w14:paraId="1ADDE553" w14:textId="77777777" w:rsidR="00964214" w:rsidRPr="00FE7622" w:rsidRDefault="00964214" w:rsidP="00AF19CC">
            <w:pPr>
              <w:pStyle w:val="72TabletextTablesTableFigureBoxstyles"/>
              <w:rPr>
                <w:rFonts w:eastAsia="Calibri"/>
                <w:color w:val="auto"/>
              </w:rPr>
            </w:pPr>
            <w:r w:rsidRPr="00FE7622">
              <w:rPr>
                <w:rFonts w:eastAsia="Calibri"/>
                <w:color w:val="auto"/>
              </w:rPr>
              <w:t>0.081</w:t>
            </w:r>
          </w:p>
        </w:tc>
      </w:tr>
      <w:tr w:rsidR="00964214" w:rsidRPr="00FE7622" w14:paraId="134E3EAE" w14:textId="77777777" w:rsidTr="00AF19CC">
        <w:trPr>
          <w:cantSplit/>
        </w:trPr>
        <w:tc>
          <w:tcPr>
            <w:tcW w:w="0" w:type="auto"/>
            <w:gridSpan w:val="10"/>
            <w:shd w:val="clear" w:color="auto" w:fill="auto"/>
          </w:tcPr>
          <w:p w14:paraId="734A8D6D" w14:textId="34A7BD5B" w:rsidR="006C2CD9" w:rsidRPr="00FE7622" w:rsidRDefault="006C2CD9" w:rsidP="00AF19CC">
            <w:pPr>
              <w:pStyle w:val="75TablenotesTablesTableFigureBoxstyles"/>
              <w:rPr>
                <w:lang w:val="en-GB"/>
              </w:rPr>
            </w:pPr>
            <w:r w:rsidRPr="00FE7622">
              <w:rPr>
                <w:lang w:val="en-GB"/>
              </w:rPr>
              <w:t>ACE</w:t>
            </w:r>
            <w:r w:rsidR="00EF2FC9" w:rsidRPr="00FE7622">
              <w:rPr>
                <w:lang w:val="en-GB"/>
              </w:rPr>
              <w:t>,</w:t>
            </w:r>
            <w:r w:rsidRPr="00FE7622">
              <w:rPr>
                <w:lang w:val="en-GB"/>
              </w:rPr>
              <w:t xml:space="preserve"> serum angiotensin-converting enzyme</w:t>
            </w:r>
            <w:r w:rsidR="00EF2FC9" w:rsidRPr="00FE7622">
              <w:rPr>
                <w:lang w:val="en-GB"/>
              </w:rPr>
              <w:t>; BP, binding protein;</w:t>
            </w:r>
            <w:r w:rsidRPr="00FE7622">
              <w:rPr>
                <w:lang w:val="en-GB"/>
              </w:rPr>
              <w:t xml:space="preserve"> </w:t>
            </w:r>
            <w:r w:rsidR="00EF2FC9" w:rsidRPr="00FE7622">
              <w:rPr>
                <w:lang w:val="en-GB"/>
              </w:rPr>
              <w:t xml:space="preserve">GDF, growth differentiation factor; </w:t>
            </w:r>
            <w:r w:rsidRPr="00842651">
              <w:rPr>
                <w:lang w:val="en-GB"/>
              </w:rPr>
              <w:t>IL</w:t>
            </w:r>
            <w:r w:rsidRPr="00FE7622">
              <w:rPr>
                <w:lang w:val="en-GB"/>
              </w:rPr>
              <w:t>, interleukin</w:t>
            </w:r>
            <w:r w:rsidR="00EF2FC9" w:rsidRPr="00FE7622">
              <w:rPr>
                <w:lang w:val="en-GB"/>
              </w:rPr>
              <w:t>;</w:t>
            </w:r>
            <w:r w:rsidRPr="00FE7622">
              <w:rPr>
                <w:lang w:val="en-GB"/>
              </w:rPr>
              <w:t xml:space="preserve"> LCN, lipocalin</w:t>
            </w:r>
            <w:r w:rsidR="00EF2FC9" w:rsidRPr="00FE7622">
              <w:rPr>
                <w:lang w:val="en-GB"/>
              </w:rPr>
              <w:t>;</w:t>
            </w:r>
            <w:r w:rsidRPr="00FE7622">
              <w:rPr>
                <w:lang w:val="en-GB"/>
              </w:rPr>
              <w:t xml:space="preserve"> miR</w:t>
            </w:r>
            <w:r w:rsidR="00EF2FC9" w:rsidRPr="00FE7622">
              <w:rPr>
                <w:lang w:val="en-GB"/>
              </w:rPr>
              <w:t>,</w:t>
            </w:r>
            <w:r w:rsidRPr="00FE7622">
              <w:rPr>
                <w:lang w:val="en-GB"/>
              </w:rPr>
              <w:t xml:space="preserve"> microRNA</w:t>
            </w:r>
            <w:r w:rsidR="00EF2FC9" w:rsidRPr="00FE7622">
              <w:rPr>
                <w:lang w:val="en-GB"/>
              </w:rPr>
              <w:t>.</w:t>
            </w:r>
          </w:p>
          <w:p w14:paraId="0141AED5" w14:textId="648231E4" w:rsidR="00964214" w:rsidRPr="00FE7622" w:rsidRDefault="00964214" w:rsidP="00AF19CC">
            <w:pPr>
              <w:pStyle w:val="75TablenotesTablesTableFigureBoxstyles"/>
              <w:rPr>
                <w:lang w:val="en-GB"/>
              </w:rPr>
            </w:pPr>
            <w:r w:rsidRPr="00FE7622">
              <w:rPr>
                <w:lang w:val="en-GB"/>
              </w:rPr>
              <w:t>Red</w:t>
            </w:r>
            <w:r w:rsidR="006C2CD9" w:rsidRPr="00FE7622">
              <w:rPr>
                <w:lang w:val="en-GB"/>
              </w:rPr>
              <w:t>,</w:t>
            </w:r>
            <w:r w:rsidRPr="00FE7622">
              <w:rPr>
                <w:lang w:val="en-GB"/>
              </w:rPr>
              <w:t xml:space="preserve"> </w:t>
            </w:r>
            <w:r w:rsidR="00E038BF" w:rsidRPr="00FE7622">
              <w:rPr>
                <w:i/>
                <w:iCs/>
                <w:lang w:val="en-GB"/>
              </w:rPr>
              <w:t>r</w:t>
            </w:r>
            <w:r w:rsidR="006C2CD9" w:rsidRPr="00FE7622">
              <w:rPr>
                <w:lang w:val="en-GB"/>
              </w:rPr>
              <w:t> </w:t>
            </w:r>
            <w:r w:rsidRPr="00FE7622">
              <w:rPr>
                <w:lang w:val="en-GB"/>
              </w:rPr>
              <w:t xml:space="preserve">&lt; 0.100; </w:t>
            </w:r>
            <w:r w:rsidR="006C2CD9" w:rsidRPr="00FE7622">
              <w:rPr>
                <w:lang w:val="en-GB"/>
              </w:rPr>
              <w:t>y</w:t>
            </w:r>
            <w:r w:rsidRPr="00FE7622">
              <w:rPr>
                <w:lang w:val="en-GB"/>
              </w:rPr>
              <w:t>ellow</w:t>
            </w:r>
            <w:r w:rsidR="006C2CD9" w:rsidRPr="00FE7622">
              <w:rPr>
                <w:lang w:val="en-GB"/>
              </w:rPr>
              <w:t>,</w:t>
            </w:r>
            <w:r w:rsidRPr="00FE7622">
              <w:rPr>
                <w:lang w:val="en-GB"/>
              </w:rPr>
              <w:t xml:space="preserve"> </w:t>
            </w:r>
            <w:r w:rsidR="00E038BF" w:rsidRPr="00FE7622">
              <w:rPr>
                <w:i/>
                <w:iCs/>
                <w:lang w:val="en-GB"/>
              </w:rPr>
              <w:t>r</w:t>
            </w:r>
            <w:r w:rsidRPr="00FE7622">
              <w:rPr>
                <w:lang w:val="en-GB"/>
              </w:rPr>
              <w:t xml:space="preserve"> = 0.100 to 0.199; </w:t>
            </w:r>
            <w:r w:rsidR="006C2CD9" w:rsidRPr="00FE7622">
              <w:rPr>
                <w:lang w:val="en-GB"/>
              </w:rPr>
              <w:t>g</w:t>
            </w:r>
            <w:r w:rsidRPr="00FE7622">
              <w:rPr>
                <w:lang w:val="en-GB"/>
              </w:rPr>
              <w:t>reen</w:t>
            </w:r>
            <w:r w:rsidR="006C2CD9" w:rsidRPr="00FE7622">
              <w:rPr>
                <w:lang w:val="en-GB"/>
              </w:rPr>
              <w:t>,</w:t>
            </w:r>
            <w:r w:rsidRPr="00FE7622">
              <w:rPr>
                <w:lang w:val="en-GB"/>
              </w:rPr>
              <w:t xml:space="preserve"> </w:t>
            </w:r>
            <w:r w:rsidR="00E038BF" w:rsidRPr="00FE7622">
              <w:rPr>
                <w:i/>
                <w:iCs/>
                <w:lang w:val="en-GB"/>
              </w:rPr>
              <w:t>r</w:t>
            </w:r>
            <w:r w:rsidR="006C2CD9" w:rsidRPr="00FE7622">
              <w:rPr>
                <w:lang w:val="en-GB"/>
              </w:rPr>
              <w:t> </w:t>
            </w:r>
            <w:r w:rsidRPr="00FE7622">
              <w:rPr>
                <w:lang w:val="en-GB"/>
              </w:rPr>
              <w:t>&gt; 0.200</w:t>
            </w:r>
            <w:r w:rsidR="006C2CD9" w:rsidRPr="00FE7622">
              <w:rPr>
                <w:lang w:val="en-GB"/>
              </w:rPr>
              <w:t>; p</w:t>
            </w:r>
            <w:r w:rsidRPr="00FE7622">
              <w:rPr>
                <w:lang w:val="en-GB"/>
              </w:rPr>
              <w:t>urple</w:t>
            </w:r>
            <w:r w:rsidR="00EF2FC9" w:rsidRPr="00FE7622">
              <w:rPr>
                <w:lang w:val="en-GB"/>
              </w:rPr>
              <w:t>,</w:t>
            </w:r>
            <w:r w:rsidRPr="00FE7622">
              <w:rPr>
                <w:lang w:val="en-GB"/>
              </w:rPr>
              <w:t xml:space="preserve"> </w:t>
            </w:r>
            <w:r w:rsidR="006C2CD9" w:rsidRPr="00FE7622">
              <w:rPr>
                <w:lang w:val="en-GB"/>
              </w:rPr>
              <w:t>d</w:t>
            </w:r>
            <w:r w:rsidRPr="00FE7622">
              <w:rPr>
                <w:lang w:val="en-GB"/>
              </w:rPr>
              <w:t xml:space="preserve">irection of association opposite </w:t>
            </w:r>
            <w:r w:rsidR="007D388B" w:rsidRPr="00FE7622">
              <w:rPr>
                <w:lang w:val="en-GB"/>
              </w:rPr>
              <w:t>of</w:t>
            </w:r>
            <w:r w:rsidRPr="00FE7622">
              <w:rPr>
                <w:lang w:val="en-GB"/>
              </w:rPr>
              <w:t xml:space="preserve"> </w:t>
            </w:r>
            <w:r w:rsidR="007D388B" w:rsidRPr="00FE7622">
              <w:rPr>
                <w:lang w:val="en-GB"/>
              </w:rPr>
              <w:t xml:space="preserve">that </w:t>
            </w:r>
            <w:r w:rsidRPr="00FE7622">
              <w:rPr>
                <w:lang w:val="en-GB"/>
              </w:rPr>
              <w:t>expected (</w:t>
            </w:r>
            <w:r w:rsidR="00E038BF" w:rsidRPr="00FE7622">
              <w:rPr>
                <w:i/>
                <w:iCs/>
                <w:lang w:val="en-GB"/>
              </w:rPr>
              <w:t>r</w:t>
            </w:r>
            <w:r w:rsidR="00116377" w:rsidRPr="00FE7622">
              <w:rPr>
                <w:lang w:val="en-GB"/>
              </w:rPr>
              <w:t> ≥</w:t>
            </w:r>
            <w:r w:rsidRPr="00FE7622">
              <w:rPr>
                <w:lang w:val="en-GB"/>
              </w:rPr>
              <w:t> 0.100).</w:t>
            </w:r>
          </w:p>
          <w:p w14:paraId="3B109E33" w14:textId="63DBD0D3" w:rsidR="00E425FC" w:rsidRPr="00FE7622" w:rsidRDefault="00E425FC" w:rsidP="00AF19CC">
            <w:pPr>
              <w:pStyle w:val="75TablenotesTablesTableFigureBoxstyles"/>
              <w:rPr>
                <w:lang w:val="en-GB"/>
              </w:rPr>
            </w:pPr>
            <w:r w:rsidRPr="00FE7622">
              <w:rPr>
                <w:lang w:val="en-GB"/>
              </w:rPr>
              <w:t>All numbers are correlation coefficients.</w:t>
            </w:r>
          </w:p>
          <w:p w14:paraId="2055B6B0" w14:textId="679F2025" w:rsidR="00964214" w:rsidRPr="00FE7622" w:rsidRDefault="00964214" w:rsidP="00AF19CC">
            <w:pPr>
              <w:pStyle w:val="75TablenotesTablesTableFigureBoxstyles"/>
            </w:pPr>
            <w:r w:rsidRPr="00FE7622">
              <w:rPr>
                <w:lang w:val="en-GB"/>
              </w:rPr>
              <w:t>Bold</w:t>
            </w:r>
            <w:r w:rsidR="00E038BF" w:rsidRPr="00FE7622">
              <w:rPr>
                <w:b/>
                <w:bCs/>
                <w:lang w:val="en-GB"/>
              </w:rPr>
              <w:t xml:space="preserve"> </w:t>
            </w:r>
            <w:r w:rsidR="006C2CD9" w:rsidRPr="00FE7622">
              <w:rPr>
                <w:lang w:val="en-GB"/>
              </w:rPr>
              <w:t xml:space="preserve">denotes a </w:t>
            </w:r>
            <w:r w:rsidR="00E038BF" w:rsidRPr="00FE7622">
              <w:rPr>
                <w:i/>
                <w:lang w:val="en-GB"/>
              </w:rPr>
              <w:t>p</w:t>
            </w:r>
            <w:r w:rsidR="006C2CD9" w:rsidRPr="00FE7622">
              <w:rPr>
                <w:iCs/>
                <w:lang w:val="en-GB"/>
              </w:rPr>
              <w:t xml:space="preserve">-value of </w:t>
            </w:r>
            <w:r w:rsidRPr="00FE7622">
              <w:rPr>
                <w:lang w:val="en-GB"/>
              </w:rPr>
              <w:t>&lt; 0.05.</w:t>
            </w:r>
          </w:p>
        </w:tc>
      </w:tr>
    </w:tbl>
    <w:p w14:paraId="49992C31" w14:textId="5EA12340" w:rsidR="00F026E8" w:rsidRPr="00FE7622" w:rsidRDefault="00E038BF" w:rsidP="00964214">
      <w:pPr>
        <w:pStyle w:val="81FigurelegendTableFigureBoxstyles"/>
        <w:rPr>
          <w:sz w:val="18"/>
          <w:szCs w:val="18"/>
          <w:lang w:val="en-GB"/>
        </w:rPr>
      </w:pPr>
      <w:r w:rsidRPr="00FE7622">
        <w:rPr>
          <w:b/>
        </w:rPr>
        <w:t>FIGURE 21</w:t>
      </w:r>
      <w:r w:rsidRPr="00FE7622">
        <w:rPr>
          <w:b/>
        </w:rPr>
        <w:t> </w:t>
      </w:r>
      <w:r w:rsidR="00F026E8" w:rsidRPr="00FE7622">
        <w:rPr>
          <w:lang w:val="en-GB"/>
        </w:rPr>
        <w:t xml:space="preserve">Association between genotype and change in </w:t>
      </w:r>
      <w:r w:rsidR="00F3036E" w:rsidRPr="00842651">
        <w:rPr>
          <w:lang w:val="en-GB"/>
        </w:rPr>
        <w:t>SPPB</w:t>
      </w:r>
      <w:r w:rsidR="00F026E8" w:rsidRPr="00FE7622">
        <w:rPr>
          <w:lang w:val="en-GB"/>
        </w:rPr>
        <w:t xml:space="preserve">. </w:t>
      </w:r>
      <w:r w:rsidR="00F026E8" w:rsidRPr="00FE7622">
        <w:rPr>
          <w:sz w:val="18"/>
          <w:szCs w:val="18"/>
          <w:lang w:val="en-GB"/>
        </w:rPr>
        <w:t>Box</w:t>
      </w:r>
      <w:r w:rsidR="005864CE" w:rsidRPr="00FE7622">
        <w:rPr>
          <w:sz w:val="18"/>
          <w:szCs w:val="18"/>
          <w:lang w:val="en-GB"/>
        </w:rPr>
        <w:t xml:space="preserve"> </w:t>
      </w:r>
      <w:r w:rsidR="00F026E8" w:rsidRPr="00FE7622">
        <w:rPr>
          <w:sz w:val="18"/>
          <w:szCs w:val="18"/>
          <w:lang w:val="en-GB"/>
        </w:rPr>
        <w:t>plots show medians and interquartile ranges</w:t>
      </w:r>
      <w:r w:rsidR="005864CE" w:rsidRPr="00FE7622">
        <w:rPr>
          <w:sz w:val="18"/>
          <w:szCs w:val="18"/>
          <w:lang w:val="en-GB"/>
        </w:rPr>
        <w:t>.</w:t>
      </w:r>
    </w:p>
    <w:p w14:paraId="14412B05" w14:textId="66D23918" w:rsidR="00F026E8" w:rsidRPr="00FE7622" w:rsidRDefault="00E038BF" w:rsidP="00F026E8">
      <w:pPr>
        <w:pStyle w:val="81FigurelegendTableFigureBoxstyles"/>
        <w:rPr>
          <w:lang w:val="en-GB"/>
        </w:rPr>
      </w:pPr>
      <w:r w:rsidRPr="00FE7622">
        <w:rPr>
          <w:b/>
        </w:rPr>
        <w:t>FIGURE 22</w:t>
      </w:r>
      <w:r w:rsidRPr="00FE7622">
        <w:rPr>
          <w:b/>
        </w:rPr>
        <w:t> </w:t>
      </w:r>
      <w:r w:rsidR="00F026E8" w:rsidRPr="00FE7622">
        <w:t xml:space="preserve">Association between genotype and proportionate change in muscle mass. </w:t>
      </w:r>
      <w:r w:rsidR="00F026E8" w:rsidRPr="00FE7622">
        <w:rPr>
          <w:lang w:val="en-GB"/>
        </w:rPr>
        <w:t>Proportionate change in muscle mass</w:t>
      </w:r>
      <w:r w:rsidR="00964214" w:rsidRPr="00FE7622">
        <w:rPr>
          <w:sz w:val="18"/>
          <w:szCs w:val="18"/>
          <w:lang w:val="en-GB"/>
        </w:rPr>
        <w:t> = </w:t>
      </w:r>
      <w:r w:rsidR="00F026E8" w:rsidRPr="00FE7622">
        <w:rPr>
          <w:lang w:val="en-GB"/>
        </w:rPr>
        <w:t>12</w:t>
      </w:r>
      <w:r w:rsidR="005864CE" w:rsidRPr="00FE7622">
        <w:rPr>
          <w:lang w:val="en-GB"/>
        </w:rPr>
        <w:t>-</w:t>
      </w:r>
      <w:r w:rsidR="00F026E8" w:rsidRPr="00FE7622">
        <w:rPr>
          <w:lang w:val="en-GB"/>
        </w:rPr>
        <w:t>month muscle mass/baseline muscle mass. Box</w:t>
      </w:r>
      <w:r w:rsidR="00F3036E" w:rsidRPr="00FE7622">
        <w:rPr>
          <w:lang w:val="en-GB"/>
        </w:rPr>
        <w:t xml:space="preserve"> </w:t>
      </w:r>
      <w:r w:rsidR="00F026E8" w:rsidRPr="00FE7622">
        <w:rPr>
          <w:lang w:val="en-GB"/>
        </w:rPr>
        <w:t>plots show medians and interquartile ranges</w:t>
      </w:r>
      <w:r w:rsidR="005864CE" w:rsidRPr="00FE7622">
        <w:rPr>
          <w:lang w:val="en-GB"/>
        </w:rPr>
        <w:t>.</w:t>
      </w:r>
    </w:p>
    <w:p w14:paraId="461FCD97" w14:textId="258AC9F1" w:rsidR="00E038BF" w:rsidRPr="00FE7622" w:rsidRDefault="00E038BF" w:rsidP="00964214">
      <w:pPr>
        <w:pStyle w:val="52AheadHeadingsHeadingstyles"/>
      </w:pPr>
      <w:bookmarkStart w:id="136" w:name="_Toc79684550"/>
      <w:r w:rsidRPr="00FE7622">
        <w:t>Association between short-term change in biomarkers and change in muscle measures over time</w:t>
      </w:r>
      <w:bookmarkEnd w:id="136"/>
    </w:p>
    <w:p w14:paraId="096EFC78" w14:textId="29E54EAC" w:rsidR="00F026E8" w:rsidRPr="00FE7622" w:rsidRDefault="00F026E8" w:rsidP="00964214">
      <w:pPr>
        <w:pStyle w:val="602TextfoTextstylesTextstyles"/>
        <w:rPr>
          <w:color w:val="auto"/>
        </w:rPr>
      </w:pPr>
      <w:r w:rsidRPr="00FE7622">
        <w:rPr>
          <w:color w:val="auto"/>
        </w:rPr>
        <w:t>No biomarker displayed consistent associations between short-term changes in the biomarker and either short- or longer-term changes in physical performance and muscle mass (</w:t>
      </w:r>
      <w:r w:rsidR="00E038BF" w:rsidRPr="00FE7622">
        <w:rPr>
          <w:i/>
          <w:color w:val="FF0000"/>
        </w:rPr>
        <w:t>Table 19</w:t>
      </w:r>
      <w:r w:rsidRPr="00FE7622">
        <w:rPr>
          <w:color w:val="auto"/>
        </w:rPr>
        <w:t xml:space="preserve">). Of those measured, GDF-15, </w:t>
      </w:r>
      <w:r w:rsidR="007267FB" w:rsidRPr="00FE7622">
        <w:rPr>
          <w:color w:val="auto"/>
        </w:rPr>
        <w:t>r</w:t>
      </w:r>
      <w:r w:rsidRPr="00FE7622">
        <w:rPr>
          <w:color w:val="auto"/>
        </w:rPr>
        <w:t>esistin and TNF</w:t>
      </w:r>
      <w:r w:rsidR="00F3036E" w:rsidRPr="00FE7622">
        <w:rPr>
          <w:color w:val="auto"/>
        </w:rPr>
        <w:t>-</w:t>
      </w:r>
      <w:r w:rsidRPr="00FE7622">
        <w:rPr>
          <w:color w:val="auto"/>
        </w:rPr>
        <w:t>a showed more consistent associations than others.</w:t>
      </w:r>
    </w:p>
    <w:p w14:paraId="01D848B6" w14:textId="5D07E71D" w:rsidR="00F026E8" w:rsidRPr="00FE7622" w:rsidRDefault="00E038BF" w:rsidP="00F026E8">
      <w:pPr>
        <w:pStyle w:val="70TablelegendTablesTableFigureBoxstyles"/>
        <w:rPr>
          <w:lang w:val="en-GB"/>
        </w:rPr>
      </w:pPr>
      <w:r w:rsidRPr="00FE7622">
        <w:rPr>
          <w:b/>
        </w:rPr>
        <w:t>TABLE 19</w:t>
      </w:r>
      <w:r w:rsidRPr="00FE7622">
        <w:rPr>
          <w:b/>
        </w:rPr>
        <w:t> </w:t>
      </w:r>
      <w:r w:rsidRPr="00E038BF">
        <w:rPr>
          <w:b/>
          <w:color w:val="FF00FF"/>
          <w:sz w:val="24"/>
        </w:rPr>
        <w:t>[25]</w:t>
      </w:r>
      <w:commentRangeStart w:id="137"/>
      <w:r w:rsidR="00F026E8" w:rsidRPr="00FE7622">
        <w:rPr>
          <w:lang w:val="en-GB"/>
        </w:rPr>
        <w:t>Association between change in biomarkers between baseline and 3 months and changes over time in physical performance and muscle mass</w:t>
      </w:r>
      <w:commentRangeEnd w:id="137"/>
      <w:r w:rsidR="007B21B6" w:rsidRPr="00FE7622">
        <w:rPr>
          <w:rStyle w:val="CommentReference"/>
          <w:rFonts w:ascii="Times New Roman" w:hAnsi="Times New Roman" w:cs="Times New Roman"/>
          <w:color w:val="auto"/>
        </w:rPr>
        <w:commentReference w:id="137"/>
      </w:r>
    </w:p>
    <w:p w14:paraId="616A1BAC" w14:textId="133A1A15" w:rsidR="00F026E8" w:rsidRPr="00FE7622" w:rsidRDefault="00E038BF" w:rsidP="00964214">
      <w:pPr>
        <w:pStyle w:val="602TextfoTextstylesTextstyles"/>
        <w:rPr>
          <w:b/>
          <w:i/>
          <w:color w:val="FF0000"/>
        </w:rPr>
      </w:pPr>
      <w:r w:rsidRPr="00FE7622">
        <w:rPr>
          <w:b/>
          <w:i/>
          <w:color w:val="FF0000"/>
        </w:rPr>
        <w:t>&lt;&lt;Typesetter please retain shading but use journal style colours &gt;&gt;</w:t>
      </w:r>
    </w:p>
    <w:tbl>
      <w:tblPr>
        <w:tblW w:w="0" w:type="auto"/>
        <w:tblCellMar>
          <w:top w:w="40" w:type="dxa"/>
          <w:left w:w="60" w:type="dxa"/>
          <w:bottom w:w="40" w:type="dxa"/>
          <w:right w:w="60" w:type="dxa"/>
        </w:tblCellMar>
        <w:tblLook w:val="04A0" w:firstRow="1" w:lastRow="0" w:firstColumn="1" w:lastColumn="0" w:noHBand="0" w:noVBand="1"/>
      </w:tblPr>
      <w:tblGrid>
        <w:gridCol w:w="1077"/>
        <w:gridCol w:w="852"/>
        <w:gridCol w:w="861"/>
        <w:gridCol w:w="841"/>
        <w:gridCol w:w="850"/>
        <w:gridCol w:w="957"/>
        <w:gridCol w:w="966"/>
        <w:gridCol w:w="854"/>
        <w:gridCol w:w="862"/>
        <w:gridCol w:w="906"/>
      </w:tblGrid>
      <w:tr w:rsidR="009C6086" w:rsidRPr="00FE7622" w14:paraId="095042D3" w14:textId="77777777" w:rsidTr="00AF19CC">
        <w:trPr>
          <w:cantSplit/>
          <w:trHeight w:val="338"/>
        </w:trPr>
        <w:tc>
          <w:tcPr>
            <w:tcW w:w="0" w:type="auto"/>
            <w:shd w:val="clear" w:color="auto" w:fill="auto"/>
          </w:tcPr>
          <w:p w14:paraId="2DA38EDC" w14:textId="3707433D" w:rsidR="00A44538" w:rsidRPr="00FE7622" w:rsidRDefault="00E038BF" w:rsidP="00AF19CC">
            <w:pPr>
              <w:pStyle w:val="710TableheadTablesTableFigureBoxstyles"/>
              <w:rPr>
                <w:rFonts w:eastAsia="Calibri"/>
              </w:rPr>
            </w:pPr>
            <w:r w:rsidRPr="00FE7622">
              <w:rPr>
                <w:rFonts w:eastAsia="Calibri"/>
              </w:rPr>
              <w:t>Change in biomarker 0 vs. 3 months</w:t>
            </w:r>
          </w:p>
        </w:tc>
        <w:tc>
          <w:tcPr>
            <w:tcW w:w="0" w:type="auto"/>
            <w:shd w:val="clear" w:color="auto" w:fill="auto"/>
          </w:tcPr>
          <w:p w14:paraId="4D4C6A13" w14:textId="2CAB4A10" w:rsidR="00A44538" w:rsidRPr="00FE7622" w:rsidRDefault="00E038BF" w:rsidP="00AF19CC">
            <w:pPr>
              <w:pStyle w:val="710TableheadTablesTableFigureBoxstyles"/>
              <w:rPr>
                <w:rFonts w:eastAsia="Calibri"/>
              </w:rPr>
            </w:pPr>
            <w:r w:rsidRPr="00FE7622">
              <w:rPr>
                <w:rFonts w:eastAsia="Calibri"/>
              </w:rPr>
              <w:t xml:space="preserve">Change in </w:t>
            </w:r>
            <w:r w:rsidRPr="00842651">
              <w:rPr>
                <w:rFonts w:eastAsia="Calibri"/>
              </w:rPr>
              <w:t>SPPB</w:t>
            </w:r>
            <w:r w:rsidRPr="00FE7622">
              <w:rPr>
                <w:rFonts w:eastAsia="Calibri"/>
              </w:rPr>
              <w:t xml:space="preserve"> 0 vs. 6 months</w:t>
            </w:r>
          </w:p>
        </w:tc>
        <w:tc>
          <w:tcPr>
            <w:tcW w:w="0" w:type="auto"/>
            <w:shd w:val="clear" w:color="auto" w:fill="auto"/>
          </w:tcPr>
          <w:p w14:paraId="75F1AA09" w14:textId="4245058E" w:rsidR="00A44538" w:rsidRPr="00FE7622" w:rsidRDefault="00E038BF" w:rsidP="00AF19CC">
            <w:pPr>
              <w:pStyle w:val="710TableheadTablesTableFigureBoxstyles"/>
              <w:rPr>
                <w:rFonts w:eastAsia="Calibri"/>
              </w:rPr>
            </w:pPr>
            <w:r w:rsidRPr="00FE7622">
              <w:rPr>
                <w:rFonts w:eastAsia="Calibri"/>
              </w:rPr>
              <w:t xml:space="preserve">Change in </w:t>
            </w:r>
            <w:r w:rsidRPr="00842651">
              <w:rPr>
                <w:rFonts w:eastAsia="Calibri"/>
              </w:rPr>
              <w:t>SPPB</w:t>
            </w:r>
            <w:r w:rsidRPr="00FE7622">
              <w:rPr>
                <w:rFonts w:eastAsia="Calibri"/>
              </w:rPr>
              <w:t xml:space="preserve"> 0 vs. 12 months</w:t>
            </w:r>
          </w:p>
        </w:tc>
        <w:tc>
          <w:tcPr>
            <w:tcW w:w="0" w:type="auto"/>
            <w:shd w:val="clear" w:color="auto" w:fill="auto"/>
          </w:tcPr>
          <w:p w14:paraId="6C7DFAAF" w14:textId="6CF2E5D6" w:rsidR="00A44538" w:rsidRPr="00FE7622" w:rsidRDefault="00E038BF" w:rsidP="00AF19CC">
            <w:pPr>
              <w:pStyle w:val="710TableheadTablesTableFigureBoxstyles"/>
              <w:rPr>
                <w:rFonts w:eastAsia="Calibri"/>
              </w:rPr>
            </w:pPr>
            <w:r w:rsidRPr="00FE7622">
              <w:rPr>
                <w:rFonts w:eastAsia="Calibri"/>
              </w:rPr>
              <w:t>Change in grip 0 vs. 6 months</w:t>
            </w:r>
          </w:p>
        </w:tc>
        <w:tc>
          <w:tcPr>
            <w:tcW w:w="0" w:type="auto"/>
            <w:shd w:val="clear" w:color="auto" w:fill="auto"/>
          </w:tcPr>
          <w:p w14:paraId="7E8A236C" w14:textId="3D6826FF" w:rsidR="00A44538" w:rsidRPr="00FE7622" w:rsidRDefault="00E038BF" w:rsidP="00AF19CC">
            <w:pPr>
              <w:pStyle w:val="710TableheadTablesTableFigureBoxstyles"/>
              <w:rPr>
                <w:rFonts w:eastAsia="Calibri"/>
              </w:rPr>
            </w:pPr>
            <w:r w:rsidRPr="00FE7622">
              <w:rPr>
                <w:rFonts w:eastAsia="Calibri"/>
              </w:rPr>
              <w:t>Change in grip 0 vs. 12 months</w:t>
            </w:r>
          </w:p>
        </w:tc>
        <w:tc>
          <w:tcPr>
            <w:tcW w:w="0" w:type="auto"/>
            <w:shd w:val="clear" w:color="auto" w:fill="auto"/>
          </w:tcPr>
          <w:p w14:paraId="3CB64BBE" w14:textId="5FACDFF9" w:rsidR="00A44538" w:rsidRPr="00FE7622" w:rsidRDefault="00E038BF" w:rsidP="00AF19CC">
            <w:pPr>
              <w:pStyle w:val="710TableheadTablesTableFigureBoxstyles"/>
              <w:rPr>
                <w:rFonts w:eastAsia="Calibri"/>
              </w:rPr>
            </w:pPr>
            <w:r w:rsidRPr="00FE7622">
              <w:rPr>
                <w:rFonts w:eastAsia="Calibri"/>
              </w:rPr>
              <w:t>Change in leg strength 0 vs. 6 months</w:t>
            </w:r>
          </w:p>
        </w:tc>
        <w:tc>
          <w:tcPr>
            <w:tcW w:w="0" w:type="auto"/>
            <w:shd w:val="clear" w:color="auto" w:fill="auto"/>
          </w:tcPr>
          <w:p w14:paraId="51133A80" w14:textId="06193D69" w:rsidR="00A44538" w:rsidRPr="00FE7622" w:rsidRDefault="00E038BF" w:rsidP="00AF19CC">
            <w:pPr>
              <w:pStyle w:val="710TableheadTablesTableFigureBoxstyles"/>
              <w:rPr>
                <w:rFonts w:eastAsia="Calibri"/>
              </w:rPr>
            </w:pPr>
            <w:r w:rsidRPr="00FE7622">
              <w:rPr>
                <w:rFonts w:eastAsia="Calibri"/>
              </w:rPr>
              <w:t>Change in leg strength 0 vs. 12 months</w:t>
            </w:r>
          </w:p>
        </w:tc>
        <w:tc>
          <w:tcPr>
            <w:tcW w:w="0" w:type="auto"/>
            <w:shd w:val="clear" w:color="auto" w:fill="auto"/>
          </w:tcPr>
          <w:p w14:paraId="5689B0C5" w14:textId="1155927B" w:rsidR="00A44538" w:rsidRPr="00FE7622" w:rsidRDefault="00E038BF" w:rsidP="00AF19CC">
            <w:pPr>
              <w:pStyle w:val="710TableheadTablesTableFigureBoxstyles"/>
              <w:rPr>
                <w:rFonts w:eastAsia="Calibri"/>
              </w:rPr>
            </w:pPr>
            <w:r w:rsidRPr="00FE7622">
              <w:rPr>
                <w:rFonts w:eastAsia="Calibri"/>
              </w:rPr>
              <w:t>Change in 6MW 0 vs. 6 months</w:t>
            </w:r>
          </w:p>
        </w:tc>
        <w:tc>
          <w:tcPr>
            <w:tcW w:w="0" w:type="auto"/>
            <w:shd w:val="clear" w:color="auto" w:fill="auto"/>
          </w:tcPr>
          <w:p w14:paraId="2C0241D4" w14:textId="1AE1280A" w:rsidR="00A44538" w:rsidRPr="00FE7622" w:rsidRDefault="00E038BF" w:rsidP="00AF19CC">
            <w:pPr>
              <w:pStyle w:val="710TableheadTablesTableFigureBoxstyles"/>
              <w:rPr>
                <w:rFonts w:eastAsia="Calibri"/>
              </w:rPr>
            </w:pPr>
            <w:r w:rsidRPr="00FE7622">
              <w:rPr>
                <w:rFonts w:eastAsia="Calibri"/>
              </w:rPr>
              <w:t>Change in 6MW 0 vs. 12 months</w:t>
            </w:r>
          </w:p>
        </w:tc>
        <w:tc>
          <w:tcPr>
            <w:tcW w:w="0" w:type="auto"/>
            <w:shd w:val="clear" w:color="auto" w:fill="auto"/>
          </w:tcPr>
          <w:p w14:paraId="0A7D7077" w14:textId="4AC9D9AE" w:rsidR="00A44538" w:rsidRPr="00FE7622" w:rsidRDefault="00E038BF" w:rsidP="00AF19CC">
            <w:pPr>
              <w:pStyle w:val="710TableheadTablesTableFigureBoxstyles"/>
              <w:rPr>
                <w:rFonts w:eastAsia="Calibri"/>
              </w:rPr>
            </w:pPr>
            <w:r w:rsidRPr="00FE7622">
              <w:rPr>
                <w:rFonts w:eastAsia="Calibri"/>
              </w:rPr>
              <w:t>Change in muscle mass 0 vs. 12 months</w:t>
            </w:r>
          </w:p>
        </w:tc>
      </w:tr>
      <w:tr w:rsidR="009C6086" w:rsidRPr="00FE7622" w14:paraId="1C025124" w14:textId="77777777" w:rsidTr="00AF19CC">
        <w:trPr>
          <w:cantSplit/>
        </w:trPr>
        <w:tc>
          <w:tcPr>
            <w:tcW w:w="0" w:type="auto"/>
            <w:shd w:val="clear" w:color="auto" w:fill="auto"/>
          </w:tcPr>
          <w:p w14:paraId="672057F7" w14:textId="77777777" w:rsidR="00A44538" w:rsidRPr="00FE7622" w:rsidRDefault="00A44538" w:rsidP="00AF19CC">
            <w:pPr>
              <w:pStyle w:val="72TabletextTablesTableFigureBoxstyles"/>
              <w:rPr>
                <w:rFonts w:eastAsia="Calibri"/>
              </w:rPr>
            </w:pPr>
            <w:r w:rsidRPr="00FE7622">
              <w:rPr>
                <w:rFonts w:eastAsia="Calibri"/>
                <w:color w:val="auto"/>
              </w:rPr>
              <w:t>GDF-15</w:t>
            </w:r>
          </w:p>
        </w:tc>
        <w:tc>
          <w:tcPr>
            <w:tcW w:w="0" w:type="auto"/>
            <w:shd w:val="clear" w:color="auto" w:fill="FF33CC"/>
          </w:tcPr>
          <w:p w14:paraId="5EDB8B3A" w14:textId="77777777" w:rsidR="00A44538" w:rsidRPr="00FE7622" w:rsidRDefault="00A44538" w:rsidP="00AF19CC">
            <w:pPr>
              <w:pStyle w:val="72TabletextTablesTableFigureBoxstyles"/>
              <w:rPr>
                <w:rFonts w:eastAsia="Calibri"/>
              </w:rPr>
            </w:pPr>
            <w:r w:rsidRPr="00FE7622">
              <w:rPr>
                <w:rFonts w:eastAsia="Calibri"/>
                <w:color w:val="auto"/>
              </w:rPr>
              <w:t>0.101</w:t>
            </w:r>
          </w:p>
        </w:tc>
        <w:tc>
          <w:tcPr>
            <w:tcW w:w="0" w:type="auto"/>
            <w:shd w:val="clear" w:color="auto" w:fill="FF0000"/>
          </w:tcPr>
          <w:p w14:paraId="27790A83" w14:textId="77777777" w:rsidR="00A44538" w:rsidRPr="00FE7622" w:rsidRDefault="00A44538" w:rsidP="00AF19CC">
            <w:pPr>
              <w:pStyle w:val="72TabletextTablesTableFigureBoxstyles"/>
              <w:rPr>
                <w:rFonts w:eastAsia="Calibri"/>
                <w:color w:val="auto"/>
              </w:rPr>
            </w:pPr>
            <w:r w:rsidRPr="00FE7622">
              <w:rPr>
                <w:rFonts w:eastAsia="Calibri"/>
                <w:color w:val="auto"/>
              </w:rPr>
              <w:t>0.030</w:t>
            </w:r>
          </w:p>
        </w:tc>
        <w:tc>
          <w:tcPr>
            <w:tcW w:w="0" w:type="auto"/>
            <w:shd w:val="clear" w:color="auto" w:fill="FF0000"/>
          </w:tcPr>
          <w:p w14:paraId="69950048" w14:textId="77777777" w:rsidR="00A44538" w:rsidRPr="00FE7622" w:rsidRDefault="00A44538" w:rsidP="00AF19CC">
            <w:pPr>
              <w:pStyle w:val="72TabletextTablesTableFigureBoxstyles"/>
              <w:rPr>
                <w:rFonts w:eastAsia="Calibri"/>
              </w:rPr>
            </w:pPr>
            <w:r w:rsidRPr="00FE7622">
              <w:rPr>
                <w:rFonts w:eastAsia="Calibri"/>
                <w:color w:val="auto"/>
              </w:rPr>
              <w:t>–0.024</w:t>
            </w:r>
          </w:p>
        </w:tc>
        <w:tc>
          <w:tcPr>
            <w:tcW w:w="0" w:type="auto"/>
            <w:shd w:val="clear" w:color="auto" w:fill="FF0000"/>
          </w:tcPr>
          <w:p w14:paraId="1438A8F2" w14:textId="77777777" w:rsidR="00A44538" w:rsidRPr="00FE7622" w:rsidRDefault="00A44538" w:rsidP="00AF19CC">
            <w:pPr>
              <w:pStyle w:val="72TabletextTablesTableFigureBoxstyles"/>
              <w:rPr>
                <w:rFonts w:eastAsia="Calibri"/>
                <w:color w:val="auto"/>
              </w:rPr>
            </w:pPr>
            <w:r w:rsidRPr="00FE7622">
              <w:rPr>
                <w:rFonts w:eastAsia="Calibri"/>
                <w:color w:val="auto"/>
              </w:rPr>
              <w:t>0.034</w:t>
            </w:r>
          </w:p>
        </w:tc>
        <w:tc>
          <w:tcPr>
            <w:tcW w:w="0" w:type="auto"/>
            <w:shd w:val="clear" w:color="auto" w:fill="92D050"/>
          </w:tcPr>
          <w:p w14:paraId="5CB5F6C6" w14:textId="3CB0BE14" w:rsidR="00A44538" w:rsidRPr="00FE7622" w:rsidRDefault="00E038BF" w:rsidP="00AF19CC">
            <w:pPr>
              <w:pStyle w:val="72TabletextTablesTableFigureBoxstyles"/>
              <w:rPr>
                <w:rFonts w:eastAsia="Calibri"/>
                <w:color w:val="auto"/>
              </w:rPr>
            </w:pPr>
            <w:r w:rsidRPr="00FE7622">
              <w:rPr>
                <w:rFonts w:eastAsia="Calibri"/>
                <w:b/>
                <w:bCs/>
                <w:color w:val="auto"/>
              </w:rPr>
              <w:t>–0.227</w:t>
            </w:r>
          </w:p>
        </w:tc>
        <w:tc>
          <w:tcPr>
            <w:tcW w:w="0" w:type="auto"/>
            <w:shd w:val="clear" w:color="auto" w:fill="FFFF00"/>
          </w:tcPr>
          <w:p w14:paraId="4BC8DFDF" w14:textId="77777777" w:rsidR="00A44538" w:rsidRPr="00FE7622" w:rsidRDefault="00A44538" w:rsidP="00AF19CC">
            <w:pPr>
              <w:pStyle w:val="72TabletextTablesTableFigureBoxstyles"/>
              <w:rPr>
                <w:rFonts w:eastAsia="Calibri"/>
                <w:color w:val="auto"/>
              </w:rPr>
            </w:pPr>
            <w:r w:rsidRPr="00FE7622">
              <w:rPr>
                <w:rFonts w:eastAsia="Calibri"/>
                <w:color w:val="auto"/>
              </w:rPr>
              <w:t>–0.119</w:t>
            </w:r>
          </w:p>
        </w:tc>
        <w:tc>
          <w:tcPr>
            <w:tcW w:w="0" w:type="auto"/>
            <w:shd w:val="clear" w:color="auto" w:fill="FF0000"/>
          </w:tcPr>
          <w:p w14:paraId="744154F6" w14:textId="77777777" w:rsidR="00A44538" w:rsidRPr="00FE7622" w:rsidRDefault="00A44538" w:rsidP="00AF19CC">
            <w:pPr>
              <w:pStyle w:val="72TabletextTablesTableFigureBoxstyles"/>
              <w:rPr>
                <w:rFonts w:eastAsia="Calibri"/>
                <w:color w:val="auto"/>
              </w:rPr>
            </w:pPr>
            <w:r w:rsidRPr="00FE7622">
              <w:rPr>
                <w:rFonts w:eastAsia="Calibri"/>
                <w:color w:val="auto"/>
              </w:rPr>
              <w:t>–0.027</w:t>
            </w:r>
          </w:p>
        </w:tc>
        <w:tc>
          <w:tcPr>
            <w:tcW w:w="0" w:type="auto"/>
            <w:shd w:val="clear" w:color="auto" w:fill="FF0000"/>
          </w:tcPr>
          <w:p w14:paraId="0965513D" w14:textId="77777777" w:rsidR="00A44538" w:rsidRPr="00FE7622" w:rsidRDefault="00A44538" w:rsidP="00AF19CC">
            <w:pPr>
              <w:pStyle w:val="72TabletextTablesTableFigureBoxstyles"/>
              <w:rPr>
                <w:rFonts w:eastAsia="Calibri"/>
                <w:color w:val="auto"/>
              </w:rPr>
            </w:pPr>
            <w:r w:rsidRPr="00FE7622">
              <w:rPr>
                <w:rFonts w:eastAsia="Calibri"/>
                <w:color w:val="auto"/>
              </w:rPr>
              <w:t>–0.076</w:t>
            </w:r>
          </w:p>
        </w:tc>
        <w:tc>
          <w:tcPr>
            <w:tcW w:w="0" w:type="auto"/>
            <w:shd w:val="clear" w:color="auto" w:fill="FFFF00"/>
          </w:tcPr>
          <w:p w14:paraId="4D71A636" w14:textId="77777777" w:rsidR="00A44538" w:rsidRPr="00FE7622" w:rsidRDefault="00A44538" w:rsidP="00AF19CC">
            <w:pPr>
              <w:pStyle w:val="72TabletextTablesTableFigureBoxstyles"/>
              <w:rPr>
                <w:rFonts w:eastAsia="Calibri"/>
                <w:color w:val="auto"/>
              </w:rPr>
            </w:pPr>
            <w:r w:rsidRPr="00FE7622">
              <w:rPr>
                <w:rFonts w:eastAsia="Calibri"/>
                <w:color w:val="auto"/>
              </w:rPr>
              <w:t>–0.181</w:t>
            </w:r>
          </w:p>
        </w:tc>
      </w:tr>
      <w:tr w:rsidR="009C6086" w:rsidRPr="00FE7622" w14:paraId="2D66A115" w14:textId="77777777" w:rsidTr="00AF19CC">
        <w:trPr>
          <w:cantSplit/>
        </w:trPr>
        <w:tc>
          <w:tcPr>
            <w:tcW w:w="0" w:type="auto"/>
            <w:shd w:val="clear" w:color="auto" w:fill="auto"/>
          </w:tcPr>
          <w:p w14:paraId="1FEF9EA8" w14:textId="77777777" w:rsidR="00A44538" w:rsidRPr="00FE7622" w:rsidRDefault="00A44538" w:rsidP="00AF19CC">
            <w:pPr>
              <w:pStyle w:val="72TabletextTablesTableFigureBoxstyles"/>
              <w:rPr>
                <w:rFonts w:eastAsia="Calibri"/>
              </w:rPr>
            </w:pPr>
            <w:r w:rsidRPr="00FE7622">
              <w:rPr>
                <w:rFonts w:eastAsia="Calibri"/>
                <w:color w:val="auto"/>
              </w:rPr>
              <w:t>Renin</w:t>
            </w:r>
          </w:p>
        </w:tc>
        <w:tc>
          <w:tcPr>
            <w:tcW w:w="0" w:type="auto"/>
            <w:shd w:val="clear" w:color="auto" w:fill="FF0000"/>
          </w:tcPr>
          <w:p w14:paraId="46A65EEF" w14:textId="77777777" w:rsidR="00A44538" w:rsidRPr="00FE7622" w:rsidRDefault="00A44538" w:rsidP="00AF19CC">
            <w:pPr>
              <w:pStyle w:val="72TabletextTablesTableFigureBoxstyles"/>
              <w:rPr>
                <w:rFonts w:eastAsia="Calibri"/>
                <w:color w:val="auto"/>
              </w:rPr>
            </w:pPr>
            <w:r w:rsidRPr="00FE7622">
              <w:rPr>
                <w:rFonts w:eastAsia="Calibri"/>
                <w:color w:val="auto"/>
              </w:rPr>
              <w:t>0.023</w:t>
            </w:r>
          </w:p>
        </w:tc>
        <w:tc>
          <w:tcPr>
            <w:tcW w:w="0" w:type="auto"/>
            <w:shd w:val="clear" w:color="auto" w:fill="FF0000"/>
          </w:tcPr>
          <w:p w14:paraId="7794D0BC" w14:textId="77777777" w:rsidR="00A44538" w:rsidRPr="00FE7622" w:rsidRDefault="00A44538" w:rsidP="00AF19CC">
            <w:pPr>
              <w:pStyle w:val="72TabletextTablesTableFigureBoxstyles"/>
              <w:rPr>
                <w:rFonts w:eastAsia="Calibri"/>
                <w:color w:val="auto"/>
              </w:rPr>
            </w:pPr>
            <w:r w:rsidRPr="00FE7622">
              <w:rPr>
                <w:rFonts w:eastAsia="Calibri"/>
                <w:color w:val="auto"/>
              </w:rPr>
              <w:t>–0.001</w:t>
            </w:r>
          </w:p>
        </w:tc>
        <w:tc>
          <w:tcPr>
            <w:tcW w:w="0" w:type="auto"/>
            <w:shd w:val="clear" w:color="auto" w:fill="FF0000"/>
          </w:tcPr>
          <w:p w14:paraId="2318BB4D" w14:textId="77777777" w:rsidR="00A44538" w:rsidRPr="00FE7622" w:rsidRDefault="00A44538" w:rsidP="00AF19CC">
            <w:pPr>
              <w:pStyle w:val="72TabletextTablesTableFigureBoxstyles"/>
              <w:rPr>
                <w:rFonts w:eastAsia="Calibri"/>
                <w:color w:val="auto"/>
              </w:rPr>
            </w:pPr>
            <w:r w:rsidRPr="00FE7622">
              <w:rPr>
                <w:rFonts w:eastAsia="Calibri"/>
                <w:color w:val="auto"/>
              </w:rPr>
              <w:t>–0.067</w:t>
            </w:r>
          </w:p>
        </w:tc>
        <w:tc>
          <w:tcPr>
            <w:tcW w:w="0" w:type="auto"/>
            <w:shd w:val="clear" w:color="auto" w:fill="FF0000"/>
          </w:tcPr>
          <w:p w14:paraId="06D64E52" w14:textId="77777777" w:rsidR="00A44538" w:rsidRPr="00FE7622" w:rsidRDefault="00A44538" w:rsidP="00AF19CC">
            <w:pPr>
              <w:pStyle w:val="72TabletextTablesTableFigureBoxstyles"/>
              <w:rPr>
                <w:rFonts w:eastAsia="Calibri"/>
                <w:color w:val="auto"/>
              </w:rPr>
            </w:pPr>
            <w:r w:rsidRPr="00FE7622">
              <w:rPr>
                <w:rFonts w:eastAsia="Calibri"/>
                <w:color w:val="auto"/>
              </w:rPr>
              <w:t>–0.031</w:t>
            </w:r>
          </w:p>
        </w:tc>
        <w:tc>
          <w:tcPr>
            <w:tcW w:w="0" w:type="auto"/>
            <w:shd w:val="clear" w:color="auto" w:fill="FF0000"/>
          </w:tcPr>
          <w:p w14:paraId="66874EFE" w14:textId="77777777" w:rsidR="00A44538" w:rsidRPr="00FE7622" w:rsidRDefault="00A44538" w:rsidP="00AF19CC">
            <w:pPr>
              <w:pStyle w:val="72TabletextTablesTableFigureBoxstyles"/>
              <w:rPr>
                <w:rFonts w:eastAsia="Calibri"/>
                <w:color w:val="auto"/>
              </w:rPr>
            </w:pPr>
            <w:r w:rsidRPr="00FE7622">
              <w:rPr>
                <w:rFonts w:eastAsia="Calibri"/>
                <w:color w:val="auto"/>
              </w:rPr>
              <w:t>–0.084</w:t>
            </w:r>
          </w:p>
        </w:tc>
        <w:tc>
          <w:tcPr>
            <w:tcW w:w="0" w:type="auto"/>
            <w:shd w:val="clear" w:color="auto" w:fill="FF33CC"/>
          </w:tcPr>
          <w:p w14:paraId="6FEE50BE" w14:textId="77777777" w:rsidR="00A44538" w:rsidRPr="00FE7622" w:rsidRDefault="00A44538" w:rsidP="00AF19CC">
            <w:pPr>
              <w:pStyle w:val="72TabletextTablesTableFigureBoxstyles"/>
              <w:rPr>
                <w:rFonts w:eastAsia="Calibri"/>
              </w:rPr>
            </w:pPr>
            <w:r w:rsidRPr="00FE7622">
              <w:rPr>
                <w:rFonts w:eastAsia="Calibri"/>
                <w:color w:val="auto"/>
              </w:rPr>
              <w:t>–0.133</w:t>
            </w:r>
          </w:p>
        </w:tc>
        <w:tc>
          <w:tcPr>
            <w:tcW w:w="0" w:type="auto"/>
            <w:shd w:val="clear" w:color="auto" w:fill="FF0000"/>
          </w:tcPr>
          <w:p w14:paraId="249C8D80" w14:textId="77777777" w:rsidR="00A44538" w:rsidRPr="00FE7622" w:rsidRDefault="00A44538" w:rsidP="00AF19CC">
            <w:pPr>
              <w:pStyle w:val="72TabletextTablesTableFigureBoxstyles"/>
              <w:rPr>
                <w:rFonts w:eastAsia="Calibri"/>
                <w:color w:val="auto"/>
              </w:rPr>
            </w:pPr>
            <w:r w:rsidRPr="00FE7622">
              <w:rPr>
                <w:rFonts w:eastAsia="Calibri"/>
                <w:color w:val="auto"/>
              </w:rPr>
              <w:t>0.034</w:t>
            </w:r>
          </w:p>
        </w:tc>
        <w:tc>
          <w:tcPr>
            <w:tcW w:w="0" w:type="auto"/>
            <w:shd w:val="clear" w:color="auto" w:fill="FF0000"/>
          </w:tcPr>
          <w:p w14:paraId="24ED205F" w14:textId="77777777" w:rsidR="00A44538" w:rsidRPr="00FE7622" w:rsidRDefault="00A44538" w:rsidP="00AF19CC">
            <w:pPr>
              <w:pStyle w:val="72TabletextTablesTableFigureBoxstyles"/>
              <w:rPr>
                <w:rFonts w:eastAsia="Calibri"/>
                <w:color w:val="auto"/>
              </w:rPr>
            </w:pPr>
            <w:r w:rsidRPr="00FE7622">
              <w:rPr>
                <w:rFonts w:eastAsia="Calibri"/>
                <w:color w:val="auto"/>
              </w:rPr>
              <w:t>–0.066</w:t>
            </w:r>
          </w:p>
        </w:tc>
        <w:tc>
          <w:tcPr>
            <w:tcW w:w="0" w:type="auto"/>
            <w:shd w:val="clear" w:color="auto" w:fill="FF0000"/>
          </w:tcPr>
          <w:p w14:paraId="673D154A" w14:textId="77777777" w:rsidR="00A44538" w:rsidRPr="00FE7622" w:rsidRDefault="00A44538" w:rsidP="00AF19CC">
            <w:pPr>
              <w:pStyle w:val="72TabletextTablesTableFigureBoxstyles"/>
              <w:rPr>
                <w:rFonts w:eastAsia="Calibri"/>
                <w:color w:val="auto"/>
              </w:rPr>
            </w:pPr>
            <w:r w:rsidRPr="00FE7622">
              <w:rPr>
                <w:rFonts w:eastAsia="Calibri"/>
                <w:color w:val="auto"/>
              </w:rPr>
              <w:t>–0.093</w:t>
            </w:r>
          </w:p>
        </w:tc>
      </w:tr>
      <w:tr w:rsidR="009C6086" w:rsidRPr="00FE7622" w14:paraId="42CB0881" w14:textId="77777777" w:rsidTr="00AF19CC">
        <w:trPr>
          <w:cantSplit/>
        </w:trPr>
        <w:tc>
          <w:tcPr>
            <w:tcW w:w="0" w:type="auto"/>
            <w:shd w:val="clear" w:color="auto" w:fill="auto"/>
          </w:tcPr>
          <w:p w14:paraId="553E7D5E" w14:textId="77777777" w:rsidR="00A44538" w:rsidRPr="00FE7622" w:rsidRDefault="00A44538" w:rsidP="00AF19CC">
            <w:pPr>
              <w:pStyle w:val="72TabletextTablesTableFigureBoxstyles"/>
              <w:rPr>
                <w:rFonts w:eastAsia="Calibri"/>
                <w:color w:val="auto"/>
              </w:rPr>
            </w:pPr>
            <w:r w:rsidRPr="00842651">
              <w:rPr>
                <w:rFonts w:eastAsia="Calibri"/>
                <w:color w:val="auto"/>
              </w:rPr>
              <w:t>IGF-1</w:t>
            </w:r>
          </w:p>
        </w:tc>
        <w:tc>
          <w:tcPr>
            <w:tcW w:w="0" w:type="auto"/>
            <w:shd w:val="clear" w:color="auto" w:fill="FF0000"/>
          </w:tcPr>
          <w:p w14:paraId="595C57B6" w14:textId="77777777" w:rsidR="00A44538" w:rsidRPr="00FE7622" w:rsidRDefault="00A44538" w:rsidP="00AF19CC">
            <w:pPr>
              <w:pStyle w:val="72TabletextTablesTableFigureBoxstyles"/>
              <w:rPr>
                <w:rFonts w:eastAsia="Calibri"/>
              </w:rPr>
            </w:pPr>
            <w:r w:rsidRPr="00FE7622">
              <w:rPr>
                <w:rFonts w:eastAsia="Calibri"/>
                <w:color w:val="auto"/>
              </w:rPr>
              <w:t>–0.011</w:t>
            </w:r>
          </w:p>
        </w:tc>
        <w:tc>
          <w:tcPr>
            <w:tcW w:w="0" w:type="auto"/>
            <w:shd w:val="clear" w:color="auto" w:fill="FFFF00"/>
          </w:tcPr>
          <w:p w14:paraId="469DD5C8" w14:textId="77777777" w:rsidR="00A44538" w:rsidRPr="00FE7622" w:rsidRDefault="00A44538" w:rsidP="00AF19CC">
            <w:pPr>
              <w:pStyle w:val="72TabletextTablesTableFigureBoxstyles"/>
              <w:rPr>
                <w:rFonts w:eastAsia="Calibri"/>
                <w:color w:val="auto"/>
              </w:rPr>
            </w:pPr>
            <w:r w:rsidRPr="00FE7622">
              <w:rPr>
                <w:rFonts w:eastAsia="Calibri"/>
                <w:color w:val="auto"/>
              </w:rPr>
              <w:t>0.102</w:t>
            </w:r>
          </w:p>
        </w:tc>
        <w:tc>
          <w:tcPr>
            <w:tcW w:w="0" w:type="auto"/>
            <w:shd w:val="clear" w:color="auto" w:fill="FF0000"/>
          </w:tcPr>
          <w:p w14:paraId="301F2C61" w14:textId="77777777" w:rsidR="00A44538" w:rsidRPr="00FE7622" w:rsidRDefault="00A44538" w:rsidP="00AF19CC">
            <w:pPr>
              <w:pStyle w:val="72TabletextTablesTableFigureBoxstyles"/>
              <w:rPr>
                <w:rFonts w:eastAsia="Calibri"/>
              </w:rPr>
            </w:pPr>
            <w:r w:rsidRPr="00FE7622">
              <w:rPr>
                <w:rFonts w:eastAsia="Calibri"/>
                <w:color w:val="auto"/>
              </w:rPr>
              <w:t>–0.041</w:t>
            </w:r>
          </w:p>
        </w:tc>
        <w:tc>
          <w:tcPr>
            <w:tcW w:w="0" w:type="auto"/>
            <w:shd w:val="clear" w:color="auto" w:fill="FF0000"/>
          </w:tcPr>
          <w:p w14:paraId="36F64D18" w14:textId="77777777" w:rsidR="00A44538" w:rsidRPr="00FE7622" w:rsidRDefault="00A44538" w:rsidP="00AF19CC">
            <w:pPr>
              <w:pStyle w:val="72TabletextTablesTableFigureBoxstyles"/>
              <w:rPr>
                <w:rFonts w:eastAsia="Calibri"/>
              </w:rPr>
            </w:pPr>
            <w:r w:rsidRPr="00FE7622">
              <w:rPr>
                <w:rFonts w:eastAsia="Calibri"/>
                <w:color w:val="auto"/>
              </w:rPr>
              <w:t>0.000</w:t>
            </w:r>
          </w:p>
        </w:tc>
        <w:tc>
          <w:tcPr>
            <w:tcW w:w="0" w:type="auto"/>
            <w:shd w:val="clear" w:color="auto" w:fill="FF0000"/>
          </w:tcPr>
          <w:p w14:paraId="21F872FA" w14:textId="77777777" w:rsidR="00A44538" w:rsidRPr="00FE7622" w:rsidRDefault="00A44538" w:rsidP="00AF19CC">
            <w:pPr>
              <w:pStyle w:val="72TabletextTablesTableFigureBoxstyles"/>
              <w:rPr>
                <w:rFonts w:eastAsia="Calibri"/>
                <w:color w:val="auto"/>
              </w:rPr>
            </w:pPr>
            <w:r w:rsidRPr="00FE7622">
              <w:rPr>
                <w:rFonts w:eastAsia="Calibri"/>
                <w:color w:val="auto"/>
              </w:rPr>
              <w:t>0.047</w:t>
            </w:r>
          </w:p>
        </w:tc>
        <w:tc>
          <w:tcPr>
            <w:tcW w:w="0" w:type="auto"/>
            <w:shd w:val="clear" w:color="auto" w:fill="FF0000"/>
          </w:tcPr>
          <w:p w14:paraId="535FB1D1" w14:textId="77777777" w:rsidR="00A44538" w:rsidRPr="00FE7622" w:rsidRDefault="00A44538" w:rsidP="00AF19CC">
            <w:pPr>
              <w:pStyle w:val="72TabletextTablesTableFigureBoxstyles"/>
              <w:rPr>
                <w:rFonts w:eastAsia="Calibri"/>
              </w:rPr>
            </w:pPr>
            <w:r w:rsidRPr="00FE7622">
              <w:rPr>
                <w:rFonts w:eastAsia="Calibri"/>
                <w:color w:val="auto"/>
              </w:rPr>
              <w:t>–0.007</w:t>
            </w:r>
          </w:p>
        </w:tc>
        <w:tc>
          <w:tcPr>
            <w:tcW w:w="0" w:type="auto"/>
            <w:shd w:val="clear" w:color="auto" w:fill="FF0000"/>
          </w:tcPr>
          <w:p w14:paraId="19358654" w14:textId="77777777" w:rsidR="00A44538" w:rsidRPr="00FE7622" w:rsidRDefault="00A44538" w:rsidP="00AF19CC">
            <w:pPr>
              <w:pStyle w:val="72TabletextTablesTableFigureBoxstyles"/>
              <w:rPr>
                <w:rFonts w:eastAsia="Calibri"/>
                <w:color w:val="auto"/>
              </w:rPr>
            </w:pPr>
            <w:r w:rsidRPr="00FE7622">
              <w:rPr>
                <w:rFonts w:eastAsia="Calibri"/>
                <w:color w:val="auto"/>
              </w:rPr>
              <w:t>0.001</w:t>
            </w:r>
          </w:p>
        </w:tc>
        <w:tc>
          <w:tcPr>
            <w:tcW w:w="0" w:type="auto"/>
            <w:shd w:val="clear" w:color="auto" w:fill="FF0000"/>
          </w:tcPr>
          <w:p w14:paraId="356F1178" w14:textId="77777777" w:rsidR="00A44538" w:rsidRPr="00FE7622" w:rsidRDefault="00A44538" w:rsidP="00AF19CC">
            <w:pPr>
              <w:pStyle w:val="72TabletextTablesTableFigureBoxstyles"/>
              <w:rPr>
                <w:rFonts w:eastAsia="Calibri"/>
                <w:color w:val="auto"/>
              </w:rPr>
            </w:pPr>
            <w:r w:rsidRPr="00FE7622">
              <w:rPr>
                <w:rFonts w:eastAsia="Calibri"/>
                <w:color w:val="auto"/>
              </w:rPr>
              <w:t>–0.012</w:t>
            </w:r>
          </w:p>
        </w:tc>
        <w:tc>
          <w:tcPr>
            <w:tcW w:w="0" w:type="auto"/>
            <w:shd w:val="clear" w:color="auto" w:fill="FF33CC"/>
          </w:tcPr>
          <w:p w14:paraId="29126C21" w14:textId="77777777" w:rsidR="00A44538" w:rsidRPr="00FE7622" w:rsidRDefault="00A44538" w:rsidP="00AF19CC">
            <w:pPr>
              <w:pStyle w:val="72TabletextTablesTableFigureBoxstyles"/>
              <w:rPr>
                <w:rFonts w:eastAsia="Calibri"/>
                <w:color w:val="auto"/>
              </w:rPr>
            </w:pPr>
            <w:r w:rsidRPr="00FE7622">
              <w:rPr>
                <w:rFonts w:eastAsia="Calibri"/>
                <w:color w:val="auto"/>
              </w:rPr>
              <w:t>–0.154</w:t>
            </w:r>
          </w:p>
        </w:tc>
      </w:tr>
      <w:tr w:rsidR="009C6086" w:rsidRPr="00FE7622" w14:paraId="4DFE9685" w14:textId="77777777" w:rsidTr="00AF19CC">
        <w:trPr>
          <w:cantSplit/>
        </w:trPr>
        <w:tc>
          <w:tcPr>
            <w:tcW w:w="0" w:type="auto"/>
            <w:shd w:val="clear" w:color="auto" w:fill="auto"/>
          </w:tcPr>
          <w:p w14:paraId="02120C07" w14:textId="77777777" w:rsidR="00A44538" w:rsidRPr="00FE7622" w:rsidRDefault="00A44538" w:rsidP="00AF19CC">
            <w:pPr>
              <w:pStyle w:val="72TabletextTablesTableFigureBoxstyles"/>
              <w:rPr>
                <w:rFonts w:eastAsia="Calibri"/>
              </w:rPr>
            </w:pPr>
            <w:r w:rsidRPr="00FE7622">
              <w:rPr>
                <w:rFonts w:eastAsia="Calibri"/>
                <w:color w:val="auto"/>
              </w:rPr>
              <w:t>ACE</w:t>
            </w:r>
          </w:p>
        </w:tc>
        <w:tc>
          <w:tcPr>
            <w:tcW w:w="0" w:type="auto"/>
            <w:shd w:val="clear" w:color="auto" w:fill="FF0000"/>
          </w:tcPr>
          <w:p w14:paraId="09642B88" w14:textId="77777777" w:rsidR="00A44538" w:rsidRPr="00FE7622" w:rsidRDefault="00A44538" w:rsidP="00AF19CC">
            <w:pPr>
              <w:pStyle w:val="72TabletextTablesTableFigureBoxstyles"/>
              <w:rPr>
                <w:rFonts w:eastAsia="Calibri"/>
              </w:rPr>
            </w:pPr>
            <w:r w:rsidRPr="00FE7622">
              <w:rPr>
                <w:rFonts w:eastAsia="Calibri"/>
                <w:color w:val="auto"/>
              </w:rPr>
              <w:t>0.017</w:t>
            </w:r>
          </w:p>
        </w:tc>
        <w:tc>
          <w:tcPr>
            <w:tcW w:w="0" w:type="auto"/>
            <w:shd w:val="clear" w:color="auto" w:fill="FF33CC"/>
          </w:tcPr>
          <w:p w14:paraId="62E6C2B8" w14:textId="77777777" w:rsidR="00A44538" w:rsidRPr="00FE7622" w:rsidRDefault="00A44538" w:rsidP="00AF19CC">
            <w:pPr>
              <w:pStyle w:val="72TabletextTablesTableFigureBoxstyles"/>
              <w:rPr>
                <w:rFonts w:eastAsia="Calibri"/>
                <w:color w:val="auto"/>
              </w:rPr>
            </w:pPr>
            <w:r w:rsidRPr="00FE7622">
              <w:rPr>
                <w:rFonts w:eastAsia="Calibri"/>
                <w:color w:val="auto"/>
              </w:rPr>
              <w:t>0.127</w:t>
            </w:r>
          </w:p>
        </w:tc>
        <w:tc>
          <w:tcPr>
            <w:tcW w:w="0" w:type="auto"/>
            <w:shd w:val="clear" w:color="auto" w:fill="FF0000"/>
          </w:tcPr>
          <w:p w14:paraId="49C8F429" w14:textId="77777777" w:rsidR="00A44538" w:rsidRPr="00FE7622" w:rsidRDefault="00A44538" w:rsidP="00AF19CC">
            <w:pPr>
              <w:pStyle w:val="72TabletextTablesTableFigureBoxstyles"/>
              <w:rPr>
                <w:rFonts w:eastAsia="Calibri"/>
                <w:color w:val="auto"/>
              </w:rPr>
            </w:pPr>
            <w:r w:rsidRPr="00FE7622">
              <w:rPr>
                <w:rFonts w:eastAsia="Calibri"/>
                <w:color w:val="auto"/>
              </w:rPr>
              <w:t>–0.048</w:t>
            </w:r>
          </w:p>
        </w:tc>
        <w:tc>
          <w:tcPr>
            <w:tcW w:w="0" w:type="auto"/>
            <w:shd w:val="clear" w:color="auto" w:fill="FF0000"/>
          </w:tcPr>
          <w:p w14:paraId="3D4BA5F5" w14:textId="77777777" w:rsidR="00A44538" w:rsidRPr="00FE7622" w:rsidRDefault="00A44538" w:rsidP="00AF19CC">
            <w:pPr>
              <w:pStyle w:val="72TabletextTablesTableFigureBoxstyles"/>
              <w:rPr>
                <w:rFonts w:eastAsia="Calibri"/>
              </w:rPr>
            </w:pPr>
            <w:r w:rsidRPr="00FE7622">
              <w:rPr>
                <w:rFonts w:eastAsia="Calibri"/>
                <w:color w:val="auto"/>
              </w:rPr>
              <w:t>–0.021</w:t>
            </w:r>
          </w:p>
        </w:tc>
        <w:tc>
          <w:tcPr>
            <w:tcW w:w="0" w:type="auto"/>
            <w:shd w:val="clear" w:color="auto" w:fill="FF0000"/>
          </w:tcPr>
          <w:p w14:paraId="1A2A7269" w14:textId="77777777" w:rsidR="00A44538" w:rsidRPr="00FE7622" w:rsidRDefault="00A44538" w:rsidP="00AF19CC">
            <w:pPr>
              <w:pStyle w:val="72TabletextTablesTableFigureBoxstyles"/>
              <w:rPr>
                <w:rFonts w:eastAsia="Calibri"/>
                <w:color w:val="auto"/>
              </w:rPr>
            </w:pPr>
            <w:r w:rsidRPr="00FE7622">
              <w:rPr>
                <w:rFonts w:eastAsia="Calibri"/>
                <w:color w:val="auto"/>
              </w:rPr>
              <w:t>0.064</w:t>
            </w:r>
          </w:p>
        </w:tc>
        <w:tc>
          <w:tcPr>
            <w:tcW w:w="0" w:type="auto"/>
            <w:shd w:val="clear" w:color="auto" w:fill="FFFF00"/>
          </w:tcPr>
          <w:p w14:paraId="6973E7C8" w14:textId="77777777" w:rsidR="00A44538" w:rsidRPr="00FE7622" w:rsidRDefault="00A44538" w:rsidP="00AF19CC">
            <w:pPr>
              <w:pStyle w:val="72TabletextTablesTableFigureBoxstyles"/>
              <w:rPr>
                <w:rFonts w:eastAsia="Calibri"/>
                <w:color w:val="auto"/>
              </w:rPr>
            </w:pPr>
            <w:r w:rsidRPr="00FE7622">
              <w:rPr>
                <w:rFonts w:eastAsia="Calibri"/>
                <w:color w:val="auto"/>
              </w:rPr>
              <w:t>–0.199</w:t>
            </w:r>
          </w:p>
        </w:tc>
        <w:tc>
          <w:tcPr>
            <w:tcW w:w="0" w:type="auto"/>
            <w:shd w:val="clear" w:color="auto" w:fill="FF0000"/>
          </w:tcPr>
          <w:p w14:paraId="1E8FC1FE" w14:textId="77777777" w:rsidR="00A44538" w:rsidRPr="00FE7622" w:rsidRDefault="00A44538" w:rsidP="00AF19CC">
            <w:pPr>
              <w:pStyle w:val="72TabletextTablesTableFigureBoxstyles"/>
              <w:rPr>
                <w:rFonts w:eastAsia="Calibri"/>
              </w:rPr>
            </w:pPr>
            <w:r w:rsidRPr="00FE7622">
              <w:rPr>
                <w:rFonts w:eastAsia="Calibri"/>
                <w:color w:val="auto"/>
              </w:rPr>
              <w:t>–0.050</w:t>
            </w:r>
          </w:p>
        </w:tc>
        <w:tc>
          <w:tcPr>
            <w:tcW w:w="0" w:type="auto"/>
            <w:shd w:val="clear" w:color="auto" w:fill="FF0000"/>
          </w:tcPr>
          <w:p w14:paraId="0C11FB0D" w14:textId="77777777" w:rsidR="00A44538" w:rsidRPr="00FE7622" w:rsidRDefault="00A44538" w:rsidP="00AF19CC">
            <w:pPr>
              <w:pStyle w:val="72TabletextTablesTableFigureBoxstyles"/>
              <w:rPr>
                <w:rFonts w:eastAsia="Calibri"/>
                <w:color w:val="auto"/>
              </w:rPr>
            </w:pPr>
            <w:r w:rsidRPr="00FE7622">
              <w:rPr>
                <w:rFonts w:eastAsia="Calibri"/>
                <w:color w:val="auto"/>
              </w:rPr>
              <w:t>0.050</w:t>
            </w:r>
          </w:p>
        </w:tc>
        <w:tc>
          <w:tcPr>
            <w:tcW w:w="0" w:type="auto"/>
            <w:shd w:val="clear" w:color="auto" w:fill="FF0000"/>
          </w:tcPr>
          <w:p w14:paraId="2496F340" w14:textId="77777777" w:rsidR="00A44538" w:rsidRPr="00FE7622" w:rsidRDefault="00A44538" w:rsidP="00AF19CC">
            <w:pPr>
              <w:pStyle w:val="72TabletextTablesTableFigureBoxstyles"/>
              <w:rPr>
                <w:rFonts w:eastAsia="Calibri"/>
                <w:color w:val="auto"/>
              </w:rPr>
            </w:pPr>
            <w:r w:rsidRPr="00FE7622">
              <w:rPr>
                <w:rFonts w:eastAsia="Calibri"/>
                <w:color w:val="auto"/>
              </w:rPr>
              <w:t>–0.082</w:t>
            </w:r>
          </w:p>
        </w:tc>
      </w:tr>
      <w:tr w:rsidR="009C6086" w:rsidRPr="00FE7622" w14:paraId="684B3513" w14:textId="77777777" w:rsidTr="00AF19CC">
        <w:trPr>
          <w:cantSplit/>
        </w:trPr>
        <w:tc>
          <w:tcPr>
            <w:tcW w:w="0" w:type="auto"/>
            <w:shd w:val="clear" w:color="auto" w:fill="auto"/>
          </w:tcPr>
          <w:p w14:paraId="3AE155F7" w14:textId="6F9EE92D" w:rsidR="00A44538" w:rsidRPr="00FE7622" w:rsidRDefault="00A44538" w:rsidP="00AF19CC">
            <w:pPr>
              <w:pStyle w:val="72TabletextTablesTableFigureBoxstyles"/>
              <w:rPr>
                <w:rFonts w:eastAsia="Calibri"/>
                <w:color w:val="auto"/>
              </w:rPr>
            </w:pPr>
            <w:r w:rsidRPr="00FE7622">
              <w:rPr>
                <w:rFonts w:eastAsia="Calibri"/>
                <w:color w:val="auto"/>
              </w:rPr>
              <w:t>TNF</w:t>
            </w:r>
            <w:r w:rsidR="00C44919" w:rsidRPr="00FE7622">
              <w:rPr>
                <w:rFonts w:eastAsia="Calibri"/>
                <w:color w:val="auto"/>
              </w:rPr>
              <w:t>-</w:t>
            </w:r>
            <w:r w:rsidRPr="00FE7622">
              <w:rPr>
                <w:rFonts w:eastAsia="Calibri"/>
                <w:color w:val="auto"/>
              </w:rPr>
              <w:t>a</w:t>
            </w:r>
          </w:p>
        </w:tc>
        <w:tc>
          <w:tcPr>
            <w:tcW w:w="0" w:type="auto"/>
            <w:shd w:val="clear" w:color="auto" w:fill="92D050"/>
          </w:tcPr>
          <w:p w14:paraId="71ABC2EA" w14:textId="6378E53F" w:rsidR="00A44538" w:rsidRPr="00FE7622" w:rsidRDefault="00E038BF" w:rsidP="00AF19CC">
            <w:pPr>
              <w:pStyle w:val="72TabletextTablesTableFigureBoxstyles"/>
              <w:rPr>
                <w:rFonts w:eastAsia="Calibri"/>
                <w:color w:val="auto"/>
              </w:rPr>
            </w:pPr>
            <w:r w:rsidRPr="00FE7622">
              <w:rPr>
                <w:rFonts w:eastAsia="Calibri"/>
                <w:b/>
                <w:bCs/>
                <w:color w:val="auto"/>
              </w:rPr>
              <w:t>–0.281</w:t>
            </w:r>
          </w:p>
        </w:tc>
        <w:tc>
          <w:tcPr>
            <w:tcW w:w="0" w:type="auto"/>
            <w:shd w:val="clear" w:color="auto" w:fill="92D050"/>
          </w:tcPr>
          <w:p w14:paraId="65617135" w14:textId="77777777" w:rsidR="00A44538" w:rsidRPr="00FE7622" w:rsidRDefault="00A44538" w:rsidP="00AF19CC">
            <w:pPr>
              <w:pStyle w:val="72TabletextTablesTableFigureBoxstyles"/>
              <w:rPr>
                <w:rFonts w:eastAsia="Calibri"/>
                <w:color w:val="auto"/>
              </w:rPr>
            </w:pPr>
            <w:r w:rsidRPr="00FE7622">
              <w:rPr>
                <w:rFonts w:eastAsia="Calibri"/>
                <w:color w:val="auto"/>
              </w:rPr>
              <w:t>–0.252</w:t>
            </w:r>
          </w:p>
        </w:tc>
        <w:tc>
          <w:tcPr>
            <w:tcW w:w="0" w:type="auto"/>
            <w:shd w:val="clear" w:color="auto" w:fill="FF0000"/>
          </w:tcPr>
          <w:p w14:paraId="6640F52A" w14:textId="77777777" w:rsidR="00A44538" w:rsidRPr="00FE7622" w:rsidRDefault="00A44538" w:rsidP="00AF19CC">
            <w:pPr>
              <w:pStyle w:val="72TabletextTablesTableFigureBoxstyles"/>
              <w:rPr>
                <w:rFonts w:eastAsia="Calibri"/>
              </w:rPr>
            </w:pPr>
            <w:r w:rsidRPr="00FE7622">
              <w:rPr>
                <w:rFonts w:eastAsia="Calibri"/>
                <w:color w:val="auto"/>
              </w:rPr>
              <w:t>–0.054</w:t>
            </w:r>
          </w:p>
        </w:tc>
        <w:tc>
          <w:tcPr>
            <w:tcW w:w="0" w:type="auto"/>
            <w:shd w:val="clear" w:color="auto" w:fill="FF0000"/>
          </w:tcPr>
          <w:p w14:paraId="650A3036" w14:textId="77777777" w:rsidR="00A44538" w:rsidRPr="00FE7622" w:rsidRDefault="00A44538" w:rsidP="00AF19CC">
            <w:pPr>
              <w:pStyle w:val="72TabletextTablesTableFigureBoxstyles"/>
              <w:rPr>
                <w:rFonts w:eastAsia="Calibri"/>
              </w:rPr>
            </w:pPr>
            <w:r w:rsidRPr="00FE7622">
              <w:rPr>
                <w:rFonts w:eastAsia="Calibri"/>
                <w:color w:val="auto"/>
              </w:rPr>
              <w:t>0.100</w:t>
            </w:r>
          </w:p>
        </w:tc>
        <w:tc>
          <w:tcPr>
            <w:tcW w:w="0" w:type="auto"/>
            <w:shd w:val="clear" w:color="auto" w:fill="FF0000"/>
          </w:tcPr>
          <w:p w14:paraId="52E86D4B" w14:textId="77777777" w:rsidR="00A44538" w:rsidRPr="00FE7622" w:rsidRDefault="00A44538" w:rsidP="00AF19CC">
            <w:pPr>
              <w:pStyle w:val="72TabletextTablesTableFigureBoxstyles"/>
              <w:rPr>
                <w:rFonts w:eastAsia="Calibri"/>
                <w:color w:val="auto"/>
              </w:rPr>
            </w:pPr>
            <w:r w:rsidRPr="00FE7622">
              <w:rPr>
                <w:rFonts w:eastAsia="Calibri"/>
                <w:color w:val="auto"/>
              </w:rPr>
              <w:t>0.018</w:t>
            </w:r>
          </w:p>
        </w:tc>
        <w:tc>
          <w:tcPr>
            <w:tcW w:w="0" w:type="auto"/>
            <w:shd w:val="clear" w:color="auto" w:fill="FF0000"/>
          </w:tcPr>
          <w:p w14:paraId="39B5C2BE" w14:textId="77777777" w:rsidR="00A44538" w:rsidRPr="00FE7622" w:rsidRDefault="00A44538" w:rsidP="00AF19CC">
            <w:pPr>
              <w:pStyle w:val="72TabletextTablesTableFigureBoxstyles"/>
              <w:rPr>
                <w:rFonts w:eastAsia="Calibri"/>
              </w:rPr>
            </w:pPr>
            <w:r w:rsidRPr="00FE7622">
              <w:rPr>
                <w:rFonts w:eastAsia="Calibri"/>
                <w:color w:val="auto"/>
              </w:rPr>
              <w:t>–0.068</w:t>
            </w:r>
          </w:p>
        </w:tc>
        <w:tc>
          <w:tcPr>
            <w:tcW w:w="0" w:type="auto"/>
            <w:shd w:val="clear" w:color="auto" w:fill="FF0000"/>
          </w:tcPr>
          <w:p w14:paraId="0CFCCD77" w14:textId="77777777" w:rsidR="00A44538" w:rsidRPr="00FE7622" w:rsidRDefault="00A44538" w:rsidP="00AF19CC">
            <w:pPr>
              <w:pStyle w:val="72TabletextTablesTableFigureBoxstyles"/>
              <w:rPr>
                <w:rFonts w:eastAsia="Calibri"/>
                <w:color w:val="auto"/>
              </w:rPr>
            </w:pPr>
            <w:r w:rsidRPr="00FE7622">
              <w:rPr>
                <w:rFonts w:eastAsia="Calibri"/>
                <w:color w:val="auto"/>
              </w:rPr>
              <w:t>0.057</w:t>
            </w:r>
          </w:p>
        </w:tc>
        <w:tc>
          <w:tcPr>
            <w:tcW w:w="0" w:type="auto"/>
            <w:shd w:val="clear" w:color="auto" w:fill="FFFF00"/>
          </w:tcPr>
          <w:p w14:paraId="59630AEC" w14:textId="77777777" w:rsidR="00A44538" w:rsidRPr="00FE7622" w:rsidRDefault="00A44538" w:rsidP="00AF19CC">
            <w:pPr>
              <w:pStyle w:val="72TabletextTablesTableFigureBoxstyles"/>
              <w:rPr>
                <w:rFonts w:eastAsia="Calibri"/>
              </w:rPr>
            </w:pPr>
            <w:r w:rsidRPr="00FE7622">
              <w:rPr>
                <w:rFonts w:eastAsia="Calibri"/>
                <w:color w:val="auto"/>
              </w:rPr>
              <w:t>–0.131</w:t>
            </w:r>
          </w:p>
        </w:tc>
        <w:tc>
          <w:tcPr>
            <w:tcW w:w="0" w:type="auto"/>
            <w:shd w:val="clear" w:color="auto" w:fill="FF0000"/>
          </w:tcPr>
          <w:p w14:paraId="67B36589" w14:textId="77777777" w:rsidR="00A44538" w:rsidRPr="00FE7622" w:rsidRDefault="00A44538" w:rsidP="00AF19CC">
            <w:pPr>
              <w:pStyle w:val="72TabletextTablesTableFigureBoxstyles"/>
              <w:rPr>
                <w:rFonts w:eastAsia="Calibri"/>
                <w:color w:val="auto"/>
              </w:rPr>
            </w:pPr>
            <w:r w:rsidRPr="00FE7622">
              <w:rPr>
                <w:rFonts w:eastAsia="Calibri"/>
                <w:color w:val="auto"/>
              </w:rPr>
              <w:t>0.045</w:t>
            </w:r>
          </w:p>
        </w:tc>
      </w:tr>
      <w:tr w:rsidR="009C6086" w:rsidRPr="00FE7622" w14:paraId="3C4DCD8E" w14:textId="77777777" w:rsidTr="00AF19CC">
        <w:trPr>
          <w:cantSplit/>
        </w:trPr>
        <w:tc>
          <w:tcPr>
            <w:tcW w:w="0" w:type="auto"/>
            <w:shd w:val="clear" w:color="auto" w:fill="auto"/>
          </w:tcPr>
          <w:p w14:paraId="284000DB" w14:textId="77777777" w:rsidR="00A44538" w:rsidRPr="00FE7622" w:rsidRDefault="00A44538" w:rsidP="00AF19CC">
            <w:pPr>
              <w:pStyle w:val="72TabletextTablesTableFigureBoxstyles"/>
              <w:rPr>
                <w:rFonts w:eastAsia="Calibri"/>
              </w:rPr>
            </w:pPr>
            <w:r w:rsidRPr="00842651">
              <w:rPr>
                <w:rFonts w:eastAsia="Calibri"/>
                <w:color w:val="auto"/>
              </w:rPr>
              <w:t>IL</w:t>
            </w:r>
            <w:r w:rsidRPr="00FE7622">
              <w:rPr>
                <w:rFonts w:eastAsia="Calibri"/>
                <w:color w:val="auto"/>
              </w:rPr>
              <w:t>-6</w:t>
            </w:r>
          </w:p>
        </w:tc>
        <w:tc>
          <w:tcPr>
            <w:tcW w:w="0" w:type="auto"/>
            <w:shd w:val="clear" w:color="auto" w:fill="FF0000"/>
          </w:tcPr>
          <w:p w14:paraId="3A6D9B10" w14:textId="77777777" w:rsidR="00A44538" w:rsidRPr="00FE7622" w:rsidRDefault="00A44538" w:rsidP="00AF19CC">
            <w:pPr>
              <w:pStyle w:val="72TabletextTablesTableFigureBoxstyles"/>
              <w:rPr>
                <w:rFonts w:eastAsia="Calibri"/>
              </w:rPr>
            </w:pPr>
            <w:r w:rsidRPr="00FE7622">
              <w:rPr>
                <w:rFonts w:eastAsia="Calibri"/>
                <w:color w:val="auto"/>
              </w:rPr>
              <w:t>0.014</w:t>
            </w:r>
          </w:p>
        </w:tc>
        <w:tc>
          <w:tcPr>
            <w:tcW w:w="0" w:type="auto"/>
            <w:shd w:val="clear" w:color="auto" w:fill="FF33CC"/>
          </w:tcPr>
          <w:p w14:paraId="19E295EC" w14:textId="77777777" w:rsidR="00A44538" w:rsidRPr="00FE7622" w:rsidRDefault="00A44538" w:rsidP="00AF19CC">
            <w:pPr>
              <w:pStyle w:val="72TabletextTablesTableFigureBoxstyles"/>
              <w:rPr>
                <w:rFonts w:eastAsia="Calibri"/>
                <w:color w:val="auto"/>
              </w:rPr>
            </w:pPr>
            <w:r w:rsidRPr="00FE7622">
              <w:rPr>
                <w:rFonts w:eastAsia="Calibri"/>
                <w:color w:val="auto"/>
              </w:rPr>
              <w:t>0.164</w:t>
            </w:r>
          </w:p>
        </w:tc>
        <w:tc>
          <w:tcPr>
            <w:tcW w:w="0" w:type="auto"/>
            <w:shd w:val="clear" w:color="auto" w:fill="FFFF00"/>
          </w:tcPr>
          <w:p w14:paraId="249E41CC" w14:textId="77777777" w:rsidR="00A44538" w:rsidRPr="00FE7622" w:rsidRDefault="00A44538" w:rsidP="00AF19CC">
            <w:pPr>
              <w:pStyle w:val="72TabletextTablesTableFigureBoxstyles"/>
              <w:rPr>
                <w:rFonts w:eastAsia="Calibri"/>
              </w:rPr>
            </w:pPr>
            <w:r w:rsidRPr="00FE7622">
              <w:rPr>
                <w:rFonts w:eastAsia="Calibri"/>
                <w:color w:val="auto"/>
              </w:rPr>
              <w:t>–0.162</w:t>
            </w:r>
          </w:p>
        </w:tc>
        <w:tc>
          <w:tcPr>
            <w:tcW w:w="0" w:type="auto"/>
            <w:shd w:val="clear" w:color="auto" w:fill="FF0000"/>
          </w:tcPr>
          <w:p w14:paraId="664EF863" w14:textId="77777777" w:rsidR="00A44538" w:rsidRPr="00FE7622" w:rsidRDefault="00A44538" w:rsidP="00AF19CC">
            <w:pPr>
              <w:pStyle w:val="72TabletextTablesTableFigureBoxstyles"/>
              <w:rPr>
                <w:rFonts w:eastAsia="Calibri"/>
                <w:color w:val="auto"/>
              </w:rPr>
            </w:pPr>
            <w:r w:rsidRPr="00FE7622">
              <w:rPr>
                <w:rFonts w:eastAsia="Calibri"/>
                <w:color w:val="auto"/>
              </w:rPr>
              <w:t>0.081</w:t>
            </w:r>
          </w:p>
        </w:tc>
        <w:tc>
          <w:tcPr>
            <w:tcW w:w="0" w:type="auto"/>
            <w:shd w:val="clear" w:color="auto" w:fill="FF0000"/>
          </w:tcPr>
          <w:p w14:paraId="7E9BE087" w14:textId="77777777" w:rsidR="00A44538" w:rsidRPr="00FE7622" w:rsidRDefault="00A44538" w:rsidP="00AF19CC">
            <w:pPr>
              <w:pStyle w:val="72TabletextTablesTableFigureBoxstyles"/>
              <w:rPr>
                <w:rFonts w:eastAsia="Calibri"/>
                <w:color w:val="auto"/>
              </w:rPr>
            </w:pPr>
            <w:r w:rsidRPr="00FE7622">
              <w:rPr>
                <w:rFonts w:eastAsia="Calibri"/>
                <w:color w:val="auto"/>
              </w:rPr>
              <w:t>–0.021</w:t>
            </w:r>
          </w:p>
        </w:tc>
        <w:tc>
          <w:tcPr>
            <w:tcW w:w="0" w:type="auto"/>
            <w:shd w:val="clear" w:color="auto" w:fill="FF0000"/>
          </w:tcPr>
          <w:p w14:paraId="3D0190D5" w14:textId="77777777" w:rsidR="00A44538" w:rsidRPr="00FE7622" w:rsidRDefault="00A44538" w:rsidP="00AF19CC">
            <w:pPr>
              <w:pStyle w:val="72TabletextTablesTableFigureBoxstyles"/>
              <w:rPr>
                <w:rFonts w:eastAsia="Calibri"/>
                <w:color w:val="auto"/>
              </w:rPr>
            </w:pPr>
            <w:r w:rsidRPr="00FE7622">
              <w:rPr>
                <w:rFonts w:eastAsia="Calibri"/>
                <w:color w:val="auto"/>
              </w:rPr>
              <w:t>–0.047</w:t>
            </w:r>
          </w:p>
        </w:tc>
        <w:tc>
          <w:tcPr>
            <w:tcW w:w="0" w:type="auto"/>
            <w:shd w:val="clear" w:color="auto" w:fill="FF0000"/>
          </w:tcPr>
          <w:p w14:paraId="001E038A" w14:textId="77777777" w:rsidR="00A44538" w:rsidRPr="00FE7622" w:rsidRDefault="00A44538" w:rsidP="00AF19CC">
            <w:pPr>
              <w:pStyle w:val="72TabletextTablesTableFigureBoxstyles"/>
              <w:rPr>
                <w:rFonts w:eastAsia="Calibri"/>
                <w:color w:val="auto"/>
              </w:rPr>
            </w:pPr>
            <w:r w:rsidRPr="00FE7622">
              <w:rPr>
                <w:rFonts w:eastAsia="Calibri"/>
                <w:color w:val="auto"/>
              </w:rPr>
              <w:t>–0.014</w:t>
            </w:r>
          </w:p>
        </w:tc>
        <w:tc>
          <w:tcPr>
            <w:tcW w:w="0" w:type="auto"/>
            <w:shd w:val="clear" w:color="auto" w:fill="FF0000"/>
          </w:tcPr>
          <w:p w14:paraId="1A7A758A" w14:textId="77777777" w:rsidR="00A44538" w:rsidRPr="00FE7622" w:rsidRDefault="00A44538" w:rsidP="00AF19CC">
            <w:pPr>
              <w:pStyle w:val="72TabletextTablesTableFigureBoxstyles"/>
              <w:rPr>
                <w:rFonts w:eastAsia="Calibri"/>
              </w:rPr>
            </w:pPr>
            <w:r w:rsidRPr="00FE7622">
              <w:rPr>
                <w:rFonts w:eastAsia="Calibri"/>
                <w:color w:val="auto"/>
              </w:rPr>
              <w:t>–0.017</w:t>
            </w:r>
          </w:p>
        </w:tc>
        <w:tc>
          <w:tcPr>
            <w:tcW w:w="0" w:type="auto"/>
            <w:shd w:val="clear" w:color="auto" w:fill="FF33CC"/>
          </w:tcPr>
          <w:p w14:paraId="6A258435" w14:textId="77777777" w:rsidR="00A44538" w:rsidRPr="00FE7622" w:rsidRDefault="00A44538" w:rsidP="00AF19CC">
            <w:pPr>
              <w:pStyle w:val="72TabletextTablesTableFigureBoxstyles"/>
              <w:rPr>
                <w:rFonts w:eastAsia="Calibri"/>
                <w:color w:val="auto"/>
              </w:rPr>
            </w:pPr>
            <w:r w:rsidRPr="00FE7622">
              <w:rPr>
                <w:rFonts w:eastAsia="Calibri"/>
                <w:color w:val="auto"/>
              </w:rPr>
              <w:t>0.109</w:t>
            </w:r>
          </w:p>
        </w:tc>
      </w:tr>
      <w:tr w:rsidR="009C6086" w:rsidRPr="00FE7622" w14:paraId="130CDA3F" w14:textId="77777777" w:rsidTr="00AF19CC">
        <w:trPr>
          <w:cantSplit/>
        </w:trPr>
        <w:tc>
          <w:tcPr>
            <w:tcW w:w="0" w:type="auto"/>
            <w:shd w:val="clear" w:color="auto" w:fill="auto"/>
          </w:tcPr>
          <w:p w14:paraId="0FD3946F" w14:textId="77777777" w:rsidR="00A44538" w:rsidRPr="00FE7622" w:rsidRDefault="00A44538" w:rsidP="00AF19CC">
            <w:pPr>
              <w:pStyle w:val="72TabletextTablesTableFigureBoxstyles"/>
              <w:rPr>
                <w:rFonts w:eastAsia="Calibri"/>
              </w:rPr>
            </w:pPr>
            <w:r w:rsidRPr="00FE7622">
              <w:rPr>
                <w:rFonts w:eastAsia="Calibri"/>
                <w:color w:val="auto"/>
              </w:rPr>
              <w:t>Resistin</w:t>
            </w:r>
          </w:p>
        </w:tc>
        <w:tc>
          <w:tcPr>
            <w:tcW w:w="0" w:type="auto"/>
            <w:shd w:val="clear" w:color="auto" w:fill="FF0000"/>
          </w:tcPr>
          <w:p w14:paraId="42F2239E" w14:textId="77777777" w:rsidR="00A44538" w:rsidRPr="00FE7622" w:rsidRDefault="00A44538" w:rsidP="00AF19CC">
            <w:pPr>
              <w:pStyle w:val="72TabletextTablesTableFigureBoxstyles"/>
              <w:rPr>
                <w:rFonts w:eastAsia="Calibri"/>
              </w:rPr>
            </w:pPr>
            <w:r w:rsidRPr="00FE7622">
              <w:rPr>
                <w:rFonts w:eastAsia="Calibri"/>
                <w:color w:val="auto"/>
              </w:rPr>
              <w:t>0.036</w:t>
            </w:r>
          </w:p>
        </w:tc>
        <w:tc>
          <w:tcPr>
            <w:tcW w:w="0" w:type="auto"/>
            <w:shd w:val="clear" w:color="auto" w:fill="FF0000"/>
          </w:tcPr>
          <w:p w14:paraId="5E4D2E34" w14:textId="77777777" w:rsidR="00A44538" w:rsidRPr="00FE7622" w:rsidRDefault="00A44538" w:rsidP="00AF19CC">
            <w:pPr>
              <w:pStyle w:val="72TabletextTablesTableFigureBoxstyles"/>
              <w:rPr>
                <w:rFonts w:eastAsia="Calibri"/>
              </w:rPr>
            </w:pPr>
            <w:r w:rsidRPr="00FE7622">
              <w:rPr>
                <w:rFonts w:eastAsia="Calibri"/>
                <w:color w:val="auto"/>
              </w:rPr>
              <w:t>0.087</w:t>
            </w:r>
          </w:p>
        </w:tc>
        <w:tc>
          <w:tcPr>
            <w:tcW w:w="0" w:type="auto"/>
            <w:shd w:val="clear" w:color="auto" w:fill="FF0000"/>
          </w:tcPr>
          <w:p w14:paraId="51F25782" w14:textId="77777777" w:rsidR="00A44538" w:rsidRPr="00FE7622" w:rsidRDefault="00A44538" w:rsidP="00AF19CC">
            <w:pPr>
              <w:pStyle w:val="72TabletextTablesTableFigureBoxstyles"/>
              <w:rPr>
                <w:rFonts w:eastAsia="Calibri"/>
                <w:color w:val="auto"/>
              </w:rPr>
            </w:pPr>
            <w:r w:rsidRPr="00FE7622">
              <w:rPr>
                <w:rFonts w:eastAsia="Calibri"/>
                <w:color w:val="auto"/>
              </w:rPr>
              <w:t>0.050</w:t>
            </w:r>
          </w:p>
        </w:tc>
        <w:tc>
          <w:tcPr>
            <w:tcW w:w="0" w:type="auto"/>
            <w:shd w:val="clear" w:color="auto" w:fill="FFFF00"/>
          </w:tcPr>
          <w:p w14:paraId="5913EF2A" w14:textId="77777777" w:rsidR="00A44538" w:rsidRPr="00FE7622" w:rsidRDefault="00A44538" w:rsidP="00AF19CC">
            <w:pPr>
              <w:pStyle w:val="72TabletextTablesTableFigureBoxstyles"/>
              <w:rPr>
                <w:rFonts w:eastAsia="Calibri"/>
                <w:color w:val="auto"/>
              </w:rPr>
            </w:pPr>
            <w:r w:rsidRPr="00FE7622">
              <w:rPr>
                <w:rFonts w:eastAsia="Calibri"/>
                <w:color w:val="auto"/>
              </w:rPr>
              <w:t>–0.159</w:t>
            </w:r>
          </w:p>
        </w:tc>
        <w:tc>
          <w:tcPr>
            <w:tcW w:w="0" w:type="auto"/>
            <w:shd w:val="clear" w:color="auto" w:fill="92D050"/>
          </w:tcPr>
          <w:p w14:paraId="6CCB0F66" w14:textId="2FFF95E1" w:rsidR="00A44538" w:rsidRPr="00FE7622" w:rsidRDefault="00E038BF" w:rsidP="00AF19CC">
            <w:pPr>
              <w:pStyle w:val="72TabletextTablesTableFigureBoxstyles"/>
              <w:rPr>
                <w:rFonts w:eastAsia="Calibri"/>
                <w:color w:val="auto"/>
              </w:rPr>
            </w:pPr>
            <w:r w:rsidRPr="00FE7622">
              <w:rPr>
                <w:rFonts w:eastAsia="Calibri"/>
                <w:b/>
                <w:bCs/>
                <w:color w:val="auto"/>
              </w:rPr>
              <w:t>–0.330</w:t>
            </w:r>
          </w:p>
        </w:tc>
        <w:tc>
          <w:tcPr>
            <w:tcW w:w="0" w:type="auto"/>
            <w:shd w:val="clear" w:color="auto" w:fill="FFFF00"/>
          </w:tcPr>
          <w:p w14:paraId="451AA089" w14:textId="77777777" w:rsidR="00A44538" w:rsidRPr="00FE7622" w:rsidRDefault="00A44538" w:rsidP="00AF19CC">
            <w:pPr>
              <w:pStyle w:val="72TabletextTablesTableFigureBoxstyles"/>
              <w:rPr>
                <w:rFonts w:eastAsia="Calibri"/>
              </w:rPr>
            </w:pPr>
            <w:r w:rsidRPr="00FE7622">
              <w:rPr>
                <w:rFonts w:eastAsia="Calibri"/>
                <w:color w:val="auto"/>
              </w:rPr>
              <w:t>–0.148</w:t>
            </w:r>
          </w:p>
        </w:tc>
        <w:tc>
          <w:tcPr>
            <w:tcW w:w="0" w:type="auto"/>
            <w:shd w:val="clear" w:color="auto" w:fill="FF0000"/>
          </w:tcPr>
          <w:p w14:paraId="298D7193" w14:textId="77777777" w:rsidR="00A44538" w:rsidRPr="00FE7622" w:rsidRDefault="00A44538" w:rsidP="00AF19CC">
            <w:pPr>
              <w:pStyle w:val="72TabletextTablesTableFigureBoxstyles"/>
              <w:rPr>
                <w:rFonts w:eastAsia="Calibri"/>
                <w:color w:val="auto"/>
              </w:rPr>
            </w:pPr>
            <w:r w:rsidRPr="00FE7622">
              <w:rPr>
                <w:rFonts w:eastAsia="Calibri"/>
                <w:color w:val="auto"/>
              </w:rPr>
              <w:t>0.092</w:t>
            </w:r>
          </w:p>
        </w:tc>
        <w:tc>
          <w:tcPr>
            <w:tcW w:w="0" w:type="auto"/>
            <w:shd w:val="clear" w:color="auto" w:fill="FF0000"/>
          </w:tcPr>
          <w:p w14:paraId="324AEB05" w14:textId="77777777" w:rsidR="00A44538" w:rsidRPr="00FE7622" w:rsidRDefault="00A44538" w:rsidP="00AF19CC">
            <w:pPr>
              <w:pStyle w:val="72TabletextTablesTableFigureBoxstyles"/>
              <w:rPr>
                <w:rFonts w:eastAsia="Calibri"/>
                <w:color w:val="auto"/>
              </w:rPr>
            </w:pPr>
            <w:r w:rsidRPr="00FE7622">
              <w:rPr>
                <w:rFonts w:eastAsia="Calibri"/>
                <w:color w:val="auto"/>
              </w:rPr>
              <w:t>–0.006</w:t>
            </w:r>
          </w:p>
        </w:tc>
        <w:tc>
          <w:tcPr>
            <w:tcW w:w="0" w:type="auto"/>
            <w:shd w:val="clear" w:color="auto" w:fill="FFFF00"/>
          </w:tcPr>
          <w:p w14:paraId="14FB9842" w14:textId="77777777" w:rsidR="00A44538" w:rsidRPr="00FE7622" w:rsidRDefault="00A44538" w:rsidP="00AF19CC">
            <w:pPr>
              <w:pStyle w:val="72TabletextTablesTableFigureBoxstyles"/>
              <w:rPr>
                <w:rFonts w:eastAsia="Calibri"/>
                <w:color w:val="auto"/>
              </w:rPr>
            </w:pPr>
            <w:r w:rsidRPr="00FE7622">
              <w:rPr>
                <w:rFonts w:eastAsia="Calibri"/>
                <w:color w:val="auto"/>
              </w:rPr>
              <w:t>–0.185</w:t>
            </w:r>
          </w:p>
        </w:tc>
      </w:tr>
      <w:tr w:rsidR="009C6086" w:rsidRPr="00FE7622" w14:paraId="2027BC12" w14:textId="77777777" w:rsidTr="00AF19CC">
        <w:trPr>
          <w:cantSplit/>
        </w:trPr>
        <w:tc>
          <w:tcPr>
            <w:tcW w:w="0" w:type="auto"/>
            <w:shd w:val="clear" w:color="auto" w:fill="auto"/>
          </w:tcPr>
          <w:p w14:paraId="6F1D5430" w14:textId="77777777" w:rsidR="00A44538" w:rsidRPr="00FE7622" w:rsidRDefault="00A44538" w:rsidP="00AF19CC">
            <w:pPr>
              <w:pStyle w:val="72TabletextTablesTableFigureBoxstyles"/>
              <w:rPr>
                <w:rFonts w:eastAsia="Calibri"/>
              </w:rPr>
            </w:pPr>
            <w:r w:rsidRPr="00FE7622">
              <w:rPr>
                <w:rFonts w:eastAsia="Calibri"/>
                <w:color w:val="auto"/>
              </w:rPr>
              <w:t>Insulin</w:t>
            </w:r>
          </w:p>
        </w:tc>
        <w:tc>
          <w:tcPr>
            <w:tcW w:w="0" w:type="auto"/>
            <w:shd w:val="clear" w:color="auto" w:fill="FFFF00"/>
          </w:tcPr>
          <w:p w14:paraId="5333A335" w14:textId="77777777" w:rsidR="00A44538" w:rsidRPr="00FE7622" w:rsidRDefault="00A44538" w:rsidP="00AF19CC">
            <w:pPr>
              <w:pStyle w:val="72TabletextTablesTableFigureBoxstyles"/>
              <w:rPr>
                <w:rFonts w:eastAsia="Calibri"/>
              </w:rPr>
            </w:pPr>
            <w:r w:rsidRPr="00FE7622">
              <w:rPr>
                <w:rFonts w:eastAsia="Calibri"/>
                <w:color w:val="auto"/>
              </w:rPr>
              <w:t>0.124</w:t>
            </w:r>
          </w:p>
        </w:tc>
        <w:tc>
          <w:tcPr>
            <w:tcW w:w="0" w:type="auto"/>
            <w:shd w:val="clear" w:color="auto" w:fill="FFFF00"/>
          </w:tcPr>
          <w:p w14:paraId="7F090623" w14:textId="77777777" w:rsidR="00A44538" w:rsidRPr="00FE7622" w:rsidRDefault="00A44538" w:rsidP="00AF19CC">
            <w:pPr>
              <w:pStyle w:val="72TabletextTablesTableFigureBoxstyles"/>
              <w:rPr>
                <w:rFonts w:eastAsia="Calibri"/>
              </w:rPr>
            </w:pPr>
            <w:r w:rsidRPr="00FE7622">
              <w:rPr>
                <w:rFonts w:eastAsia="Calibri"/>
                <w:color w:val="auto"/>
              </w:rPr>
              <w:t>0.150</w:t>
            </w:r>
          </w:p>
        </w:tc>
        <w:tc>
          <w:tcPr>
            <w:tcW w:w="0" w:type="auto"/>
            <w:shd w:val="clear" w:color="auto" w:fill="FF0000"/>
          </w:tcPr>
          <w:p w14:paraId="183D5D69" w14:textId="77777777" w:rsidR="00A44538" w:rsidRPr="00FE7622" w:rsidRDefault="00A44538" w:rsidP="00AF19CC">
            <w:pPr>
              <w:pStyle w:val="72TabletextTablesTableFigureBoxstyles"/>
              <w:rPr>
                <w:rFonts w:eastAsia="Calibri"/>
              </w:rPr>
            </w:pPr>
            <w:r w:rsidRPr="00FE7622">
              <w:rPr>
                <w:rFonts w:eastAsia="Calibri"/>
                <w:color w:val="auto"/>
              </w:rPr>
              <w:t>0.090</w:t>
            </w:r>
          </w:p>
        </w:tc>
        <w:tc>
          <w:tcPr>
            <w:tcW w:w="0" w:type="auto"/>
            <w:shd w:val="clear" w:color="auto" w:fill="FF0000"/>
          </w:tcPr>
          <w:p w14:paraId="05353FD1" w14:textId="77777777" w:rsidR="00A44538" w:rsidRPr="00FE7622" w:rsidRDefault="00A44538" w:rsidP="00AF19CC">
            <w:pPr>
              <w:pStyle w:val="72TabletextTablesTableFigureBoxstyles"/>
              <w:rPr>
                <w:rFonts w:eastAsia="Calibri"/>
              </w:rPr>
            </w:pPr>
            <w:r w:rsidRPr="00FE7622">
              <w:rPr>
                <w:rFonts w:eastAsia="Calibri"/>
                <w:color w:val="auto"/>
              </w:rPr>
              <w:t>0.048</w:t>
            </w:r>
          </w:p>
        </w:tc>
        <w:tc>
          <w:tcPr>
            <w:tcW w:w="0" w:type="auto"/>
            <w:shd w:val="clear" w:color="auto" w:fill="FF0000"/>
          </w:tcPr>
          <w:p w14:paraId="66DDF104" w14:textId="77777777" w:rsidR="00A44538" w:rsidRPr="00FE7622" w:rsidRDefault="00A44538" w:rsidP="00AF19CC">
            <w:pPr>
              <w:pStyle w:val="72TabletextTablesTableFigureBoxstyles"/>
              <w:rPr>
                <w:rFonts w:eastAsia="Calibri"/>
              </w:rPr>
            </w:pPr>
            <w:r w:rsidRPr="00FE7622">
              <w:rPr>
                <w:rFonts w:eastAsia="Calibri"/>
                <w:color w:val="auto"/>
              </w:rPr>
              <w:t>0.038</w:t>
            </w:r>
          </w:p>
        </w:tc>
        <w:tc>
          <w:tcPr>
            <w:tcW w:w="0" w:type="auto"/>
            <w:shd w:val="clear" w:color="auto" w:fill="FF0000"/>
          </w:tcPr>
          <w:p w14:paraId="6B741A37" w14:textId="77777777" w:rsidR="00A44538" w:rsidRPr="00FE7622" w:rsidRDefault="00A44538" w:rsidP="00AF19CC">
            <w:pPr>
              <w:pStyle w:val="72TabletextTablesTableFigureBoxstyles"/>
              <w:rPr>
                <w:rFonts w:eastAsia="Calibri"/>
                <w:color w:val="auto"/>
              </w:rPr>
            </w:pPr>
            <w:r w:rsidRPr="00FE7622">
              <w:rPr>
                <w:rFonts w:eastAsia="Calibri"/>
                <w:color w:val="auto"/>
              </w:rPr>
              <w:t>0.049</w:t>
            </w:r>
          </w:p>
        </w:tc>
        <w:tc>
          <w:tcPr>
            <w:tcW w:w="0" w:type="auto"/>
            <w:shd w:val="clear" w:color="auto" w:fill="FF0000"/>
          </w:tcPr>
          <w:p w14:paraId="601EA22B" w14:textId="77777777" w:rsidR="00A44538" w:rsidRPr="00FE7622" w:rsidRDefault="00A44538" w:rsidP="00AF19CC">
            <w:pPr>
              <w:pStyle w:val="72TabletextTablesTableFigureBoxstyles"/>
              <w:rPr>
                <w:rFonts w:eastAsia="Calibri"/>
                <w:color w:val="auto"/>
              </w:rPr>
            </w:pPr>
            <w:r w:rsidRPr="00FE7622">
              <w:rPr>
                <w:rFonts w:eastAsia="Calibri"/>
                <w:color w:val="auto"/>
              </w:rPr>
              <w:t>–0.072</w:t>
            </w:r>
          </w:p>
        </w:tc>
        <w:tc>
          <w:tcPr>
            <w:tcW w:w="0" w:type="auto"/>
            <w:shd w:val="clear" w:color="auto" w:fill="FF0000"/>
          </w:tcPr>
          <w:p w14:paraId="124044EF" w14:textId="77777777" w:rsidR="00A44538" w:rsidRPr="00FE7622" w:rsidRDefault="00A44538" w:rsidP="00AF19CC">
            <w:pPr>
              <w:pStyle w:val="72TabletextTablesTableFigureBoxstyles"/>
              <w:rPr>
                <w:rFonts w:eastAsia="Calibri"/>
              </w:rPr>
            </w:pPr>
            <w:r w:rsidRPr="00FE7622">
              <w:rPr>
                <w:rFonts w:eastAsia="Calibri"/>
                <w:color w:val="auto"/>
              </w:rPr>
              <w:t>–0.073</w:t>
            </w:r>
          </w:p>
        </w:tc>
        <w:tc>
          <w:tcPr>
            <w:tcW w:w="0" w:type="auto"/>
            <w:shd w:val="clear" w:color="auto" w:fill="FFFF00"/>
          </w:tcPr>
          <w:p w14:paraId="3269CE9A" w14:textId="77777777" w:rsidR="00A44538" w:rsidRPr="00FE7622" w:rsidRDefault="00A44538" w:rsidP="00AF19CC">
            <w:pPr>
              <w:pStyle w:val="72TabletextTablesTableFigureBoxstyles"/>
              <w:rPr>
                <w:rFonts w:eastAsia="Calibri"/>
                <w:color w:val="auto"/>
              </w:rPr>
            </w:pPr>
            <w:r w:rsidRPr="00FE7622">
              <w:rPr>
                <w:rFonts w:eastAsia="Calibri"/>
                <w:color w:val="auto"/>
              </w:rPr>
              <w:t>0.112</w:t>
            </w:r>
          </w:p>
        </w:tc>
      </w:tr>
      <w:tr w:rsidR="009C6086" w:rsidRPr="00FE7622" w14:paraId="7725BD82" w14:textId="77777777" w:rsidTr="00AF19CC">
        <w:trPr>
          <w:cantSplit/>
        </w:trPr>
        <w:tc>
          <w:tcPr>
            <w:tcW w:w="0" w:type="auto"/>
            <w:shd w:val="clear" w:color="auto" w:fill="auto"/>
          </w:tcPr>
          <w:p w14:paraId="2F66B503" w14:textId="57F218F2" w:rsidR="00A44538" w:rsidRPr="00FE7622" w:rsidRDefault="00A44538" w:rsidP="00AF19CC">
            <w:pPr>
              <w:pStyle w:val="72TabletextTablesTableFigureBoxstyles"/>
              <w:rPr>
                <w:rFonts w:eastAsia="Calibri"/>
              </w:rPr>
            </w:pPr>
            <w:r w:rsidRPr="00842651">
              <w:rPr>
                <w:rFonts w:eastAsia="Calibri"/>
                <w:color w:val="auto"/>
              </w:rPr>
              <w:t>LCN2</w:t>
            </w:r>
          </w:p>
        </w:tc>
        <w:tc>
          <w:tcPr>
            <w:tcW w:w="0" w:type="auto"/>
            <w:shd w:val="clear" w:color="auto" w:fill="FF0000"/>
          </w:tcPr>
          <w:p w14:paraId="123B0FF4" w14:textId="77777777" w:rsidR="00A44538" w:rsidRPr="00FE7622" w:rsidRDefault="00A44538" w:rsidP="00AF19CC">
            <w:pPr>
              <w:pStyle w:val="72TabletextTablesTableFigureBoxstyles"/>
              <w:rPr>
                <w:rFonts w:eastAsia="Calibri"/>
              </w:rPr>
            </w:pPr>
            <w:r w:rsidRPr="00FE7622">
              <w:rPr>
                <w:rFonts w:eastAsia="Calibri"/>
                <w:color w:val="auto"/>
              </w:rPr>
              <w:t>0.035</w:t>
            </w:r>
          </w:p>
        </w:tc>
        <w:tc>
          <w:tcPr>
            <w:tcW w:w="0" w:type="auto"/>
            <w:shd w:val="clear" w:color="auto" w:fill="FF0000"/>
          </w:tcPr>
          <w:p w14:paraId="7EDFD1A3" w14:textId="77777777" w:rsidR="00A44538" w:rsidRPr="00FE7622" w:rsidRDefault="00A44538" w:rsidP="00AF19CC">
            <w:pPr>
              <w:pStyle w:val="72TabletextTablesTableFigureBoxstyles"/>
              <w:rPr>
                <w:rFonts w:eastAsia="Calibri"/>
              </w:rPr>
            </w:pPr>
            <w:r w:rsidRPr="00FE7622">
              <w:rPr>
                <w:rFonts w:eastAsia="Calibri"/>
                <w:color w:val="auto"/>
              </w:rPr>
              <w:t>0.087</w:t>
            </w:r>
          </w:p>
        </w:tc>
        <w:tc>
          <w:tcPr>
            <w:tcW w:w="0" w:type="auto"/>
            <w:shd w:val="clear" w:color="auto" w:fill="FF0000"/>
          </w:tcPr>
          <w:p w14:paraId="6B7A5DC9" w14:textId="77777777" w:rsidR="00A44538" w:rsidRPr="00FE7622" w:rsidRDefault="00A44538" w:rsidP="00AF19CC">
            <w:pPr>
              <w:pStyle w:val="72TabletextTablesTableFigureBoxstyles"/>
              <w:rPr>
                <w:rFonts w:eastAsia="Calibri"/>
                <w:color w:val="auto"/>
              </w:rPr>
            </w:pPr>
            <w:r w:rsidRPr="00FE7622">
              <w:rPr>
                <w:rFonts w:eastAsia="Calibri"/>
                <w:color w:val="auto"/>
              </w:rPr>
              <w:t>0.097</w:t>
            </w:r>
          </w:p>
        </w:tc>
        <w:tc>
          <w:tcPr>
            <w:tcW w:w="0" w:type="auto"/>
            <w:shd w:val="clear" w:color="auto" w:fill="FFFF00"/>
          </w:tcPr>
          <w:p w14:paraId="506CE6B9" w14:textId="77777777" w:rsidR="00A44538" w:rsidRPr="00FE7622" w:rsidRDefault="00A44538" w:rsidP="00AF19CC">
            <w:pPr>
              <w:pStyle w:val="72TabletextTablesTableFigureBoxstyles"/>
              <w:rPr>
                <w:rFonts w:eastAsia="Calibri"/>
              </w:rPr>
            </w:pPr>
            <w:r w:rsidRPr="00FE7622">
              <w:rPr>
                <w:rFonts w:eastAsia="Calibri"/>
                <w:color w:val="auto"/>
              </w:rPr>
              <w:t>–0.122</w:t>
            </w:r>
          </w:p>
        </w:tc>
        <w:tc>
          <w:tcPr>
            <w:tcW w:w="0" w:type="auto"/>
            <w:shd w:val="clear" w:color="auto" w:fill="FF0000"/>
          </w:tcPr>
          <w:p w14:paraId="7CDC2709" w14:textId="77777777" w:rsidR="00A44538" w:rsidRPr="00FE7622" w:rsidRDefault="00A44538" w:rsidP="00AF19CC">
            <w:pPr>
              <w:pStyle w:val="72TabletextTablesTableFigureBoxstyles"/>
              <w:rPr>
                <w:rFonts w:eastAsia="Calibri"/>
              </w:rPr>
            </w:pPr>
            <w:r w:rsidRPr="00FE7622">
              <w:rPr>
                <w:rFonts w:eastAsia="Calibri"/>
                <w:color w:val="auto"/>
              </w:rPr>
              <w:t>0.006</w:t>
            </w:r>
          </w:p>
        </w:tc>
        <w:tc>
          <w:tcPr>
            <w:tcW w:w="0" w:type="auto"/>
            <w:shd w:val="clear" w:color="auto" w:fill="FF0000"/>
          </w:tcPr>
          <w:p w14:paraId="24D290B0" w14:textId="77777777" w:rsidR="00A44538" w:rsidRPr="00FE7622" w:rsidRDefault="00A44538" w:rsidP="00AF19CC">
            <w:pPr>
              <w:pStyle w:val="72TabletextTablesTableFigureBoxstyles"/>
              <w:rPr>
                <w:rFonts w:eastAsia="Calibri"/>
                <w:color w:val="auto"/>
              </w:rPr>
            </w:pPr>
            <w:r w:rsidRPr="00FE7622">
              <w:rPr>
                <w:rFonts w:eastAsia="Calibri"/>
                <w:color w:val="auto"/>
              </w:rPr>
              <w:t>0.004</w:t>
            </w:r>
          </w:p>
        </w:tc>
        <w:tc>
          <w:tcPr>
            <w:tcW w:w="0" w:type="auto"/>
            <w:shd w:val="clear" w:color="auto" w:fill="FF0000"/>
          </w:tcPr>
          <w:p w14:paraId="3D0572B3" w14:textId="77777777" w:rsidR="00A44538" w:rsidRPr="00FE7622" w:rsidRDefault="00A44538" w:rsidP="00AF19CC">
            <w:pPr>
              <w:pStyle w:val="72TabletextTablesTableFigureBoxstyles"/>
              <w:rPr>
                <w:rFonts w:eastAsia="Calibri"/>
                <w:b/>
                <w:bCs/>
                <w:color w:val="auto"/>
              </w:rPr>
            </w:pPr>
            <w:r w:rsidRPr="00FE7622">
              <w:rPr>
                <w:rFonts w:eastAsia="Calibri"/>
                <w:color w:val="auto"/>
              </w:rPr>
              <w:t>–0.099</w:t>
            </w:r>
          </w:p>
        </w:tc>
        <w:tc>
          <w:tcPr>
            <w:tcW w:w="0" w:type="auto"/>
            <w:shd w:val="clear" w:color="auto" w:fill="92D050"/>
          </w:tcPr>
          <w:p w14:paraId="150E10CD" w14:textId="7B25931B" w:rsidR="00A44538" w:rsidRPr="00FE7622" w:rsidRDefault="00E038BF" w:rsidP="00AF19CC">
            <w:pPr>
              <w:pStyle w:val="72TabletextTablesTableFigureBoxstyles"/>
              <w:rPr>
                <w:rFonts w:eastAsia="Calibri"/>
                <w:b/>
                <w:bCs/>
                <w:color w:val="auto"/>
              </w:rPr>
            </w:pPr>
            <w:r w:rsidRPr="00FE7622">
              <w:rPr>
                <w:rFonts w:eastAsia="Calibri"/>
                <w:b/>
                <w:bCs/>
                <w:color w:val="auto"/>
              </w:rPr>
              <w:t>–0.250</w:t>
            </w:r>
          </w:p>
        </w:tc>
        <w:tc>
          <w:tcPr>
            <w:tcW w:w="0" w:type="auto"/>
            <w:shd w:val="clear" w:color="auto" w:fill="FF0000"/>
          </w:tcPr>
          <w:p w14:paraId="4620E609" w14:textId="77777777" w:rsidR="00A44538" w:rsidRPr="00FE7622" w:rsidRDefault="00A44538" w:rsidP="00AF19CC">
            <w:pPr>
              <w:pStyle w:val="72TabletextTablesTableFigureBoxstyles"/>
              <w:rPr>
                <w:rFonts w:eastAsia="Calibri"/>
                <w:color w:val="auto"/>
              </w:rPr>
            </w:pPr>
            <w:r w:rsidRPr="00FE7622">
              <w:rPr>
                <w:rFonts w:eastAsia="Calibri"/>
                <w:color w:val="auto"/>
              </w:rPr>
              <w:t>–0.011</w:t>
            </w:r>
          </w:p>
        </w:tc>
      </w:tr>
      <w:tr w:rsidR="009C6086" w:rsidRPr="00FE7622" w14:paraId="1934079B" w14:textId="77777777" w:rsidTr="00AF19CC">
        <w:trPr>
          <w:cantSplit/>
        </w:trPr>
        <w:tc>
          <w:tcPr>
            <w:tcW w:w="0" w:type="auto"/>
            <w:shd w:val="clear" w:color="auto" w:fill="auto"/>
          </w:tcPr>
          <w:p w14:paraId="7DE4270C" w14:textId="77777777" w:rsidR="00A44538" w:rsidRPr="00FE7622" w:rsidRDefault="00A44538" w:rsidP="00AF19CC">
            <w:pPr>
              <w:pStyle w:val="72TabletextTablesTableFigureBoxstyles"/>
              <w:rPr>
                <w:rFonts w:eastAsia="Calibri"/>
              </w:rPr>
            </w:pPr>
            <w:r w:rsidRPr="00842651">
              <w:rPr>
                <w:rFonts w:eastAsia="Calibri"/>
                <w:color w:val="auto"/>
              </w:rPr>
              <w:t>IL</w:t>
            </w:r>
            <w:r w:rsidRPr="00FE7622">
              <w:rPr>
                <w:rFonts w:eastAsia="Calibri"/>
                <w:color w:val="auto"/>
              </w:rPr>
              <w:t>-18BP</w:t>
            </w:r>
          </w:p>
        </w:tc>
        <w:tc>
          <w:tcPr>
            <w:tcW w:w="0" w:type="auto"/>
            <w:shd w:val="clear" w:color="auto" w:fill="FF0000"/>
          </w:tcPr>
          <w:p w14:paraId="34BAFD42" w14:textId="77777777" w:rsidR="00A44538" w:rsidRPr="00FE7622" w:rsidRDefault="00A44538" w:rsidP="00AF19CC">
            <w:pPr>
              <w:pStyle w:val="72TabletextTablesTableFigureBoxstyles"/>
              <w:rPr>
                <w:rFonts w:eastAsia="Calibri"/>
                <w:color w:val="auto"/>
              </w:rPr>
            </w:pPr>
            <w:r w:rsidRPr="00FE7622">
              <w:rPr>
                <w:rFonts w:eastAsia="Calibri"/>
                <w:color w:val="auto"/>
              </w:rPr>
              <w:t>0.007</w:t>
            </w:r>
          </w:p>
        </w:tc>
        <w:tc>
          <w:tcPr>
            <w:tcW w:w="0" w:type="auto"/>
            <w:shd w:val="clear" w:color="auto" w:fill="FF0000"/>
          </w:tcPr>
          <w:p w14:paraId="0492973C" w14:textId="77777777" w:rsidR="00A44538" w:rsidRPr="00FE7622" w:rsidRDefault="00A44538" w:rsidP="00AF19CC">
            <w:pPr>
              <w:pStyle w:val="72TabletextTablesTableFigureBoxstyles"/>
              <w:rPr>
                <w:rFonts w:eastAsia="Calibri"/>
                <w:color w:val="auto"/>
              </w:rPr>
            </w:pPr>
            <w:r w:rsidRPr="00FE7622">
              <w:rPr>
                <w:rFonts w:eastAsia="Calibri"/>
                <w:color w:val="auto"/>
              </w:rPr>
              <w:t>–0.002</w:t>
            </w:r>
          </w:p>
        </w:tc>
        <w:tc>
          <w:tcPr>
            <w:tcW w:w="0" w:type="auto"/>
            <w:shd w:val="clear" w:color="auto" w:fill="FFFF00"/>
          </w:tcPr>
          <w:p w14:paraId="06C08C80" w14:textId="77777777" w:rsidR="00A44538" w:rsidRPr="00FE7622" w:rsidRDefault="00A44538" w:rsidP="00AF19CC">
            <w:pPr>
              <w:pStyle w:val="72TabletextTablesTableFigureBoxstyles"/>
              <w:rPr>
                <w:rFonts w:eastAsia="Calibri"/>
                <w:color w:val="auto"/>
              </w:rPr>
            </w:pPr>
            <w:r w:rsidRPr="00FE7622">
              <w:rPr>
                <w:rFonts w:eastAsia="Calibri"/>
                <w:color w:val="auto"/>
              </w:rPr>
              <w:t>–0.156</w:t>
            </w:r>
          </w:p>
        </w:tc>
        <w:tc>
          <w:tcPr>
            <w:tcW w:w="0" w:type="auto"/>
            <w:shd w:val="clear" w:color="auto" w:fill="FF0000"/>
          </w:tcPr>
          <w:p w14:paraId="23DACAB7" w14:textId="77777777" w:rsidR="00A44538" w:rsidRPr="00FE7622" w:rsidRDefault="00A44538" w:rsidP="00AF19CC">
            <w:pPr>
              <w:pStyle w:val="72TabletextTablesTableFigureBoxstyles"/>
              <w:rPr>
                <w:rFonts w:eastAsia="Calibri"/>
              </w:rPr>
            </w:pPr>
            <w:r w:rsidRPr="00FE7622">
              <w:rPr>
                <w:rFonts w:eastAsia="Calibri"/>
                <w:color w:val="auto"/>
              </w:rPr>
              <w:t>–0.042</w:t>
            </w:r>
          </w:p>
        </w:tc>
        <w:tc>
          <w:tcPr>
            <w:tcW w:w="0" w:type="auto"/>
            <w:shd w:val="clear" w:color="auto" w:fill="FF0000"/>
          </w:tcPr>
          <w:p w14:paraId="1B9F9B82" w14:textId="77777777" w:rsidR="00A44538" w:rsidRPr="00FE7622" w:rsidRDefault="00A44538" w:rsidP="00AF19CC">
            <w:pPr>
              <w:pStyle w:val="72TabletextTablesTableFigureBoxstyles"/>
              <w:rPr>
                <w:rFonts w:eastAsia="Calibri"/>
              </w:rPr>
            </w:pPr>
            <w:r w:rsidRPr="00FE7622">
              <w:rPr>
                <w:rFonts w:eastAsia="Calibri"/>
                <w:color w:val="auto"/>
              </w:rPr>
              <w:t>0.084</w:t>
            </w:r>
          </w:p>
        </w:tc>
        <w:tc>
          <w:tcPr>
            <w:tcW w:w="0" w:type="auto"/>
            <w:shd w:val="clear" w:color="auto" w:fill="FF0000"/>
          </w:tcPr>
          <w:p w14:paraId="551D9993" w14:textId="77777777" w:rsidR="00A44538" w:rsidRPr="00FE7622" w:rsidRDefault="00A44538" w:rsidP="00AF19CC">
            <w:pPr>
              <w:pStyle w:val="72TabletextTablesTableFigureBoxstyles"/>
              <w:rPr>
                <w:rFonts w:eastAsia="Calibri"/>
              </w:rPr>
            </w:pPr>
            <w:r w:rsidRPr="00FE7622">
              <w:rPr>
                <w:rFonts w:eastAsia="Calibri"/>
                <w:color w:val="auto"/>
              </w:rPr>
              <w:t>0.092</w:t>
            </w:r>
          </w:p>
        </w:tc>
        <w:tc>
          <w:tcPr>
            <w:tcW w:w="0" w:type="auto"/>
            <w:shd w:val="clear" w:color="auto" w:fill="FF33CC"/>
          </w:tcPr>
          <w:p w14:paraId="6B9983F3" w14:textId="77777777" w:rsidR="00A44538" w:rsidRPr="00FE7622" w:rsidRDefault="00A44538" w:rsidP="00AF19CC">
            <w:pPr>
              <w:pStyle w:val="72TabletextTablesTableFigureBoxstyles"/>
              <w:rPr>
                <w:rFonts w:eastAsia="Calibri"/>
              </w:rPr>
            </w:pPr>
            <w:r w:rsidRPr="00FE7622">
              <w:rPr>
                <w:rFonts w:eastAsia="Calibri"/>
                <w:color w:val="auto"/>
              </w:rPr>
              <w:t>0.159</w:t>
            </w:r>
          </w:p>
        </w:tc>
        <w:tc>
          <w:tcPr>
            <w:tcW w:w="0" w:type="auto"/>
            <w:shd w:val="clear" w:color="auto" w:fill="FF0000"/>
          </w:tcPr>
          <w:p w14:paraId="7B680286" w14:textId="77777777" w:rsidR="00A44538" w:rsidRPr="00FE7622" w:rsidRDefault="00A44538" w:rsidP="00AF19CC">
            <w:pPr>
              <w:pStyle w:val="72TabletextTablesTableFigureBoxstyles"/>
              <w:rPr>
                <w:rFonts w:eastAsia="Calibri"/>
              </w:rPr>
            </w:pPr>
            <w:r w:rsidRPr="00FE7622">
              <w:rPr>
                <w:rFonts w:eastAsia="Calibri"/>
                <w:color w:val="auto"/>
              </w:rPr>
              <w:t>0.039</w:t>
            </w:r>
          </w:p>
        </w:tc>
        <w:tc>
          <w:tcPr>
            <w:tcW w:w="0" w:type="auto"/>
            <w:shd w:val="clear" w:color="auto" w:fill="FF0000"/>
          </w:tcPr>
          <w:p w14:paraId="0D372FDE" w14:textId="77777777" w:rsidR="00A44538" w:rsidRPr="00FE7622" w:rsidRDefault="00A44538" w:rsidP="00AF19CC">
            <w:pPr>
              <w:pStyle w:val="72TabletextTablesTableFigureBoxstyles"/>
              <w:rPr>
                <w:rFonts w:eastAsia="Calibri"/>
                <w:color w:val="auto"/>
              </w:rPr>
            </w:pPr>
            <w:r w:rsidRPr="00FE7622">
              <w:rPr>
                <w:rFonts w:eastAsia="Calibri"/>
                <w:color w:val="auto"/>
              </w:rPr>
              <w:t>0.054</w:t>
            </w:r>
          </w:p>
        </w:tc>
      </w:tr>
      <w:tr w:rsidR="00A44538" w:rsidRPr="00FE7622" w14:paraId="178A8D9C" w14:textId="77777777" w:rsidTr="00AF19CC">
        <w:trPr>
          <w:cantSplit/>
        </w:trPr>
        <w:tc>
          <w:tcPr>
            <w:tcW w:w="0" w:type="auto"/>
            <w:gridSpan w:val="10"/>
            <w:shd w:val="clear" w:color="auto" w:fill="auto"/>
          </w:tcPr>
          <w:p w14:paraId="2A74D838" w14:textId="01715E6B" w:rsidR="007B7D5B" w:rsidRPr="00FE7622" w:rsidRDefault="007B7D5B" w:rsidP="00AF19CC">
            <w:pPr>
              <w:pStyle w:val="75TablenotesTablesTableFigureBoxstyles"/>
              <w:rPr>
                <w:lang w:val="en-GB"/>
              </w:rPr>
            </w:pPr>
            <w:r w:rsidRPr="00FE7622">
              <w:rPr>
                <w:lang w:val="en-GB"/>
              </w:rPr>
              <w:t>ACE</w:t>
            </w:r>
            <w:r w:rsidR="00551872" w:rsidRPr="00FE7622">
              <w:rPr>
                <w:lang w:val="en-GB"/>
              </w:rPr>
              <w:t>,</w:t>
            </w:r>
            <w:r w:rsidRPr="00FE7622">
              <w:rPr>
                <w:lang w:val="en-GB"/>
              </w:rPr>
              <w:t xml:space="preserve"> serum </w:t>
            </w:r>
            <w:r w:rsidR="00551872" w:rsidRPr="00FE7622">
              <w:rPr>
                <w:lang w:val="en-GB"/>
              </w:rPr>
              <w:t>a</w:t>
            </w:r>
            <w:r w:rsidRPr="00FE7622">
              <w:rPr>
                <w:lang w:val="en-GB"/>
              </w:rPr>
              <w:t>ngiotensin-converting enzyme</w:t>
            </w:r>
            <w:r w:rsidR="00551872" w:rsidRPr="00FE7622">
              <w:rPr>
                <w:lang w:val="en-GB"/>
              </w:rPr>
              <w:t>;</w:t>
            </w:r>
            <w:r w:rsidRPr="00FE7622">
              <w:rPr>
                <w:lang w:val="en-GB"/>
              </w:rPr>
              <w:t xml:space="preserve"> </w:t>
            </w:r>
            <w:r w:rsidR="00A53687" w:rsidRPr="00FE7622">
              <w:rPr>
                <w:lang w:val="en-GB"/>
              </w:rPr>
              <w:t xml:space="preserve">BP, binding protein; GDF, growth differentiation factor;  </w:t>
            </w:r>
            <w:r w:rsidRPr="00842651">
              <w:rPr>
                <w:lang w:val="en-GB"/>
              </w:rPr>
              <w:t>IL</w:t>
            </w:r>
            <w:r w:rsidR="00551872" w:rsidRPr="00FE7622">
              <w:rPr>
                <w:lang w:val="en-GB"/>
              </w:rPr>
              <w:t>,</w:t>
            </w:r>
            <w:r w:rsidRPr="00FE7622">
              <w:rPr>
                <w:lang w:val="en-GB"/>
              </w:rPr>
              <w:t xml:space="preserve"> </w:t>
            </w:r>
            <w:r w:rsidR="00551872" w:rsidRPr="00FE7622">
              <w:rPr>
                <w:lang w:val="en-GB"/>
              </w:rPr>
              <w:t>i</w:t>
            </w:r>
            <w:r w:rsidRPr="00FE7622">
              <w:rPr>
                <w:lang w:val="en-GB"/>
              </w:rPr>
              <w:t>nterleukin.</w:t>
            </w:r>
          </w:p>
          <w:p w14:paraId="2E776875" w14:textId="7D42EF29" w:rsidR="00A44538" w:rsidRPr="00FE7622" w:rsidRDefault="00A44538" w:rsidP="00AF19CC">
            <w:pPr>
              <w:pStyle w:val="75TablenotesTablesTableFigureBoxstyles"/>
              <w:rPr>
                <w:lang w:val="en-GB"/>
              </w:rPr>
            </w:pPr>
            <w:r w:rsidRPr="00FE7622">
              <w:rPr>
                <w:lang w:val="en-GB"/>
              </w:rPr>
              <w:t>Red</w:t>
            </w:r>
            <w:r w:rsidR="001C5350" w:rsidRPr="00FE7622">
              <w:rPr>
                <w:lang w:val="en-GB"/>
              </w:rPr>
              <w:t>,</w:t>
            </w:r>
            <w:r w:rsidRPr="00FE7622">
              <w:rPr>
                <w:lang w:val="en-GB"/>
              </w:rPr>
              <w:t xml:space="preserve"> </w:t>
            </w:r>
            <w:r w:rsidR="00E038BF" w:rsidRPr="00FE7622">
              <w:rPr>
                <w:i/>
                <w:iCs/>
                <w:lang w:val="en-GB"/>
              </w:rPr>
              <w:t>r</w:t>
            </w:r>
            <w:r w:rsidR="00F34065" w:rsidRPr="00FE7622">
              <w:rPr>
                <w:lang w:val="en-GB"/>
              </w:rPr>
              <w:t> </w:t>
            </w:r>
            <w:r w:rsidRPr="00FE7622">
              <w:rPr>
                <w:lang w:val="en-GB"/>
              </w:rPr>
              <w:t xml:space="preserve">&lt; 0.100; </w:t>
            </w:r>
            <w:r w:rsidR="00F34065" w:rsidRPr="00FE7622">
              <w:rPr>
                <w:lang w:val="en-GB"/>
              </w:rPr>
              <w:t>y</w:t>
            </w:r>
            <w:r w:rsidRPr="00FE7622">
              <w:rPr>
                <w:lang w:val="en-GB"/>
              </w:rPr>
              <w:t>ellow</w:t>
            </w:r>
            <w:r w:rsidR="001C5350" w:rsidRPr="00FE7622">
              <w:rPr>
                <w:lang w:val="en-GB"/>
              </w:rPr>
              <w:t>,</w:t>
            </w:r>
            <w:r w:rsidRPr="00FE7622">
              <w:rPr>
                <w:lang w:val="en-GB"/>
              </w:rPr>
              <w:t xml:space="preserve"> </w:t>
            </w:r>
            <w:r w:rsidR="00E038BF" w:rsidRPr="00FE7622">
              <w:rPr>
                <w:i/>
                <w:iCs/>
                <w:lang w:val="en-GB"/>
              </w:rPr>
              <w:t>r</w:t>
            </w:r>
            <w:r w:rsidRPr="00FE7622">
              <w:rPr>
                <w:lang w:val="en-GB"/>
              </w:rPr>
              <w:t xml:space="preserve"> = 0.100 to 0.199; </w:t>
            </w:r>
            <w:r w:rsidR="00F34065" w:rsidRPr="00FE7622">
              <w:rPr>
                <w:lang w:val="en-GB"/>
              </w:rPr>
              <w:t>g</w:t>
            </w:r>
            <w:r w:rsidRPr="00FE7622">
              <w:rPr>
                <w:lang w:val="en-GB"/>
              </w:rPr>
              <w:t>reen</w:t>
            </w:r>
            <w:r w:rsidR="00136281" w:rsidRPr="00FE7622">
              <w:rPr>
                <w:lang w:val="en-GB"/>
              </w:rPr>
              <w:t>,</w:t>
            </w:r>
            <w:r w:rsidRPr="00FE7622">
              <w:rPr>
                <w:lang w:val="en-GB"/>
              </w:rPr>
              <w:t xml:space="preserve"> </w:t>
            </w:r>
            <w:r w:rsidR="00E038BF" w:rsidRPr="00FE7622">
              <w:rPr>
                <w:i/>
                <w:iCs/>
                <w:lang w:val="en-GB"/>
              </w:rPr>
              <w:t>r</w:t>
            </w:r>
            <w:r w:rsidR="00F34065" w:rsidRPr="00FE7622">
              <w:rPr>
                <w:lang w:val="en-GB"/>
              </w:rPr>
              <w:t> </w:t>
            </w:r>
            <w:r w:rsidRPr="00FE7622">
              <w:rPr>
                <w:lang w:val="en-GB"/>
              </w:rPr>
              <w:t>&gt; 0.200</w:t>
            </w:r>
            <w:bookmarkStart w:id="138" w:name="_Hlk70401625"/>
            <w:r w:rsidR="00F34065" w:rsidRPr="00FE7622">
              <w:rPr>
                <w:lang w:val="en-GB"/>
              </w:rPr>
              <w:t>; p</w:t>
            </w:r>
            <w:r w:rsidRPr="00FE7622">
              <w:rPr>
                <w:lang w:val="en-GB"/>
              </w:rPr>
              <w:t xml:space="preserve">urple: </w:t>
            </w:r>
            <w:r w:rsidR="00F34065" w:rsidRPr="00FE7622">
              <w:rPr>
                <w:lang w:val="en-GB"/>
              </w:rPr>
              <w:t>d</w:t>
            </w:r>
            <w:r w:rsidRPr="00FE7622">
              <w:rPr>
                <w:lang w:val="en-GB"/>
              </w:rPr>
              <w:t xml:space="preserve">irection of association opposite </w:t>
            </w:r>
            <w:r w:rsidR="007D388B" w:rsidRPr="00FE7622">
              <w:rPr>
                <w:lang w:val="en-GB"/>
              </w:rPr>
              <w:t>of that</w:t>
            </w:r>
            <w:r w:rsidRPr="00FE7622">
              <w:rPr>
                <w:lang w:val="en-GB"/>
              </w:rPr>
              <w:t xml:space="preserve"> expected (</w:t>
            </w:r>
            <w:r w:rsidR="00E038BF" w:rsidRPr="00FE7622">
              <w:rPr>
                <w:i/>
                <w:iCs/>
                <w:lang w:val="en-GB"/>
              </w:rPr>
              <w:t>r</w:t>
            </w:r>
            <w:r w:rsidR="00F34065" w:rsidRPr="00FE7622">
              <w:rPr>
                <w:lang w:val="en-GB"/>
              </w:rPr>
              <w:t> </w:t>
            </w:r>
            <w:r w:rsidR="007E0BC0" w:rsidRPr="00FE7622">
              <w:rPr>
                <w:lang w:val="en-GB"/>
              </w:rPr>
              <w:t>≥ </w:t>
            </w:r>
            <w:r w:rsidRPr="00FE7622">
              <w:rPr>
                <w:lang w:val="en-GB"/>
              </w:rPr>
              <w:t>0.100).</w:t>
            </w:r>
          </w:p>
          <w:p w14:paraId="28F0E5AE" w14:textId="31AFAE3E" w:rsidR="00E425FC" w:rsidRPr="00FE7622" w:rsidRDefault="00E425FC" w:rsidP="00AF19CC">
            <w:pPr>
              <w:pStyle w:val="75TablenotesTablesTableFigureBoxstyles"/>
              <w:rPr>
                <w:lang w:val="en-GB"/>
              </w:rPr>
            </w:pPr>
            <w:r w:rsidRPr="00FE7622">
              <w:rPr>
                <w:lang w:val="en-GB"/>
              </w:rPr>
              <w:t>All numbers are correlation coefficients.</w:t>
            </w:r>
          </w:p>
          <w:bookmarkEnd w:id="138"/>
          <w:p w14:paraId="1E2549BD" w14:textId="08870CB5" w:rsidR="00A44538" w:rsidRPr="00FE7622" w:rsidRDefault="00A44538" w:rsidP="00AF19CC">
            <w:pPr>
              <w:pStyle w:val="75TablenotesTablesTableFigureBoxstyles"/>
              <w:rPr>
                <w:lang w:val="en-GB"/>
              </w:rPr>
            </w:pPr>
            <w:r w:rsidRPr="00FE7622">
              <w:rPr>
                <w:lang w:val="en-GB"/>
              </w:rPr>
              <w:t>Bold</w:t>
            </w:r>
            <w:r w:rsidR="007B7D5B" w:rsidRPr="00FE7622">
              <w:rPr>
                <w:lang w:val="en-GB"/>
              </w:rPr>
              <w:t xml:space="preserve"> denotes a </w:t>
            </w:r>
            <w:r w:rsidR="00E038BF" w:rsidRPr="00FE7622">
              <w:rPr>
                <w:i/>
                <w:lang w:val="en-GB"/>
              </w:rPr>
              <w:t>p</w:t>
            </w:r>
            <w:r w:rsidR="007B7D5B" w:rsidRPr="00FE7622">
              <w:rPr>
                <w:iCs/>
                <w:lang w:val="en-GB"/>
              </w:rPr>
              <w:t xml:space="preserve">-value of </w:t>
            </w:r>
            <w:r w:rsidRPr="00FE7622">
              <w:rPr>
                <w:lang w:val="en-GB"/>
              </w:rPr>
              <w:t>&lt; 0.05.</w:t>
            </w:r>
          </w:p>
        </w:tc>
      </w:tr>
    </w:tbl>
    <w:p w14:paraId="7DAEB336" w14:textId="0301579E" w:rsidR="00E038BF" w:rsidRPr="00FE7622" w:rsidRDefault="00F026E8" w:rsidP="00A44538">
      <w:pPr>
        <w:pStyle w:val="602TextfoTextstylesTextstyles"/>
        <w:rPr>
          <w:rFonts w:ascii="Calibri Light" w:hAnsi="Calibri Light"/>
          <w:b/>
          <w:bCs/>
          <w:color w:val="2E74B5"/>
          <w:sz w:val="32"/>
          <w:szCs w:val="32"/>
        </w:rPr>
      </w:pPr>
      <w:r w:rsidRPr="00FE7622">
        <w:rPr>
          <w:color w:val="auto"/>
        </w:rPr>
        <w:t>In summary, none of the biomarkers tested showed consistent or strong associations with either baseline muscle mass or physical performance, either in cross-sectional analyses at baseline, using baseline biomarkers to predict change in mass and performance over time, or using change in biomarkers to predict longer-term change in mass and performance.</w:t>
      </w:r>
    </w:p>
    <w:p w14:paraId="321E1BE6" w14:textId="77777777" w:rsidR="00E038BF" w:rsidRPr="00FE7622" w:rsidRDefault="00E038BF" w:rsidP="00A44538">
      <w:pPr>
        <w:pStyle w:val="43ChaptertitleHeadingsHeadingstyles"/>
      </w:pPr>
      <w:bookmarkStart w:id="139" w:name="_Toc79684551"/>
      <w:r w:rsidRPr="00FE7622">
        <w:t>Chapter 8</w:t>
      </w:r>
      <w:r w:rsidRPr="00FE7622">
        <w:t> </w:t>
      </w:r>
      <w:r w:rsidRPr="00FE7622">
        <w:t>Discussion</w:t>
      </w:r>
      <w:bookmarkEnd w:id="139"/>
    </w:p>
    <w:p w14:paraId="48211501" w14:textId="77777777" w:rsidR="00E038BF" w:rsidRPr="00FE7622" w:rsidRDefault="00E038BF" w:rsidP="00A44538">
      <w:pPr>
        <w:pStyle w:val="52AheadHeadingsHeadingstyles"/>
      </w:pPr>
      <w:bookmarkStart w:id="140" w:name="_Toc79684552"/>
      <w:r w:rsidRPr="00FE7622">
        <w:t>Key findings</w:t>
      </w:r>
      <w:bookmarkEnd w:id="140"/>
    </w:p>
    <w:p w14:paraId="070718DE" w14:textId="6B895FC1" w:rsidR="00F026E8" w:rsidRPr="00FE7622" w:rsidRDefault="00F026E8" w:rsidP="00A44538">
      <w:pPr>
        <w:pStyle w:val="602TextfoTextstylesTextstyles"/>
        <w:rPr>
          <w:color w:val="auto"/>
        </w:rPr>
      </w:pPr>
      <w:r w:rsidRPr="00FE7622">
        <w:rPr>
          <w:color w:val="auto"/>
        </w:rPr>
        <w:t xml:space="preserve">The </w:t>
      </w:r>
      <w:r w:rsidRPr="00842651">
        <w:rPr>
          <w:color w:val="auto"/>
        </w:rPr>
        <w:t>LACE</w:t>
      </w:r>
      <w:r w:rsidRPr="00FE7622">
        <w:rPr>
          <w:color w:val="auto"/>
        </w:rPr>
        <w:t xml:space="preserve"> randomised controlled trial found no evidence that perindopril improved physical performance, muscle mass or quality of life in older people with sarcopenia</w:t>
      </w:r>
      <w:r w:rsidR="005D4FEB" w:rsidRPr="00FE7622">
        <w:rPr>
          <w:color w:val="auto"/>
        </w:rPr>
        <w:t>,</w:t>
      </w:r>
      <w:r w:rsidRPr="00FE7622">
        <w:rPr>
          <w:color w:val="auto"/>
        </w:rPr>
        <w:t xml:space="preserve"> and the evidence from </w:t>
      </w:r>
      <w:r w:rsidR="009C5D04" w:rsidRPr="00FE7622">
        <w:rPr>
          <w:color w:val="auto"/>
        </w:rPr>
        <w:t xml:space="preserve">a </w:t>
      </w:r>
      <w:r w:rsidRPr="00FE7622">
        <w:rPr>
          <w:color w:val="auto"/>
        </w:rPr>
        <w:t xml:space="preserve">meta-analysis of the </w:t>
      </w:r>
      <w:r w:rsidRPr="00842651">
        <w:rPr>
          <w:color w:val="auto"/>
        </w:rPr>
        <w:t>LACE</w:t>
      </w:r>
      <w:r w:rsidRPr="00FE7622">
        <w:rPr>
          <w:color w:val="auto"/>
        </w:rPr>
        <w:t xml:space="preserve"> trial and other trials of </w:t>
      </w:r>
      <w:r w:rsidRPr="00842651">
        <w:rPr>
          <w:color w:val="auto"/>
        </w:rPr>
        <w:t>ACEi</w:t>
      </w:r>
      <w:r w:rsidRPr="00FE7622">
        <w:rPr>
          <w:color w:val="auto"/>
        </w:rPr>
        <w:t>/</w:t>
      </w:r>
      <w:r w:rsidRPr="00842651">
        <w:rPr>
          <w:color w:val="auto"/>
        </w:rPr>
        <w:t>ARBs</w:t>
      </w:r>
      <w:r w:rsidRPr="00FE7622">
        <w:rPr>
          <w:color w:val="auto"/>
        </w:rPr>
        <w:t xml:space="preserve"> excludes a clinically meaningful improvement in physical performance with these agents. Similarly, the trial found no evidence that leucine improved physical performance, muscle mass or quality of life in older people with sarcopenia and</w:t>
      </w:r>
      <w:r w:rsidR="00D409BB" w:rsidRPr="00FE7622">
        <w:rPr>
          <w:color w:val="auto"/>
        </w:rPr>
        <w:t>,</w:t>
      </w:r>
      <w:r w:rsidRPr="00FE7622">
        <w:rPr>
          <w:color w:val="auto"/>
        </w:rPr>
        <w:t xml:space="preserve"> again</w:t>
      </w:r>
      <w:r w:rsidR="00D409BB" w:rsidRPr="00FE7622">
        <w:rPr>
          <w:color w:val="auto"/>
        </w:rPr>
        <w:t>, a</w:t>
      </w:r>
      <w:r w:rsidRPr="00FE7622">
        <w:rPr>
          <w:color w:val="auto"/>
        </w:rPr>
        <w:t xml:space="preserve"> meta-analysis combining these results with previous trials did not support a clinically important beneficial effect of leucine supplementation. This was despite adequate adherence to both perindopril and leucine. Although no excess of adverse events was noted with leucine use, perindopril was associated with a higher rate of adverse events than placebo</w:t>
      </w:r>
      <w:r w:rsidR="00703A86" w:rsidRPr="00FE7622">
        <w:rPr>
          <w:color w:val="auto"/>
        </w:rPr>
        <w:t>,</w:t>
      </w:r>
      <w:r w:rsidRPr="00FE7622">
        <w:rPr>
          <w:color w:val="auto"/>
        </w:rPr>
        <w:t xml:space="preserve"> as would be expected </w:t>
      </w:r>
      <w:r w:rsidR="00935624" w:rsidRPr="00FE7622">
        <w:rPr>
          <w:color w:val="auto"/>
        </w:rPr>
        <w:t>given</w:t>
      </w:r>
      <w:r w:rsidRPr="00FE7622">
        <w:rPr>
          <w:color w:val="auto"/>
        </w:rPr>
        <w:t xml:space="preserve"> the known side effects of </w:t>
      </w:r>
      <w:r w:rsidRPr="00842651">
        <w:rPr>
          <w:color w:val="auto"/>
        </w:rPr>
        <w:t>ACEi</w:t>
      </w:r>
      <w:r w:rsidRPr="00FE7622">
        <w:rPr>
          <w:color w:val="auto"/>
        </w:rPr>
        <w:t xml:space="preserve">. Biomarker studies showed no strong or consistent associations between baseline biomarkers or short-term change in biomarkers and either baseline measures of physical performance and muscle mass or change in these outcomes over time. Neither perindopril nor leucine significantly improved insulin resistance measured by </w:t>
      </w:r>
      <w:r w:rsidRPr="00842651">
        <w:rPr>
          <w:color w:val="auto"/>
        </w:rPr>
        <w:t>HOMA-IR</w:t>
      </w:r>
      <w:r w:rsidRPr="00FE7622">
        <w:rPr>
          <w:color w:val="auto"/>
        </w:rPr>
        <w:t xml:space="preserve"> in this trial.</w:t>
      </w:r>
    </w:p>
    <w:p w14:paraId="1F088412" w14:textId="658AFE92" w:rsidR="00E038BF" w:rsidRPr="00FE7622" w:rsidRDefault="00E038BF" w:rsidP="00FB20FE">
      <w:pPr>
        <w:pStyle w:val="52AheadHeadingsHeadingstyles"/>
      </w:pPr>
      <w:bookmarkStart w:id="141" w:name="_Toc79684553"/>
      <w:r w:rsidRPr="00FE7622">
        <w:t>Results in context</w:t>
      </w:r>
      <w:bookmarkEnd w:id="141"/>
    </w:p>
    <w:p w14:paraId="7842FD42" w14:textId="102B4D27" w:rsidR="00F026E8" w:rsidRPr="00FE7622" w:rsidRDefault="00D973F5" w:rsidP="00FB20FE">
      <w:pPr>
        <w:pStyle w:val="602TextfoTextstylesTextstyles"/>
        <w:rPr>
          <w:color w:val="auto"/>
        </w:rPr>
      </w:pPr>
      <w:r w:rsidRPr="00FE7622">
        <w:rPr>
          <w:color w:val="auto"/>
        </w:rPr>
        <w:t>The i</w:t>
      </w:r>
      <w:r w:rsidR="00F026E8" w:rsidRPr="00FE7622">
        <w:rPr>
          <w:color w:val="auto"/>
        </w:rPr>
        <w:t>nformation available whe</w:t>
      </w:r>
      <w:r w:rsidR="00302DEC" w:rsidRPr="00FE7622">
        <w:rPr>
          <w:color w:val="auto"/>
        </w:rPr>
        <w:t>n</w:t>
      </w:r>
      <w:r w:rsidR="00F026E8" w:rsidRPr="00FE7622">
        <w:rPr>
          <w:color w:val="auto"/>
        </w:rPr>
        <w:t xml:space="preserve"> the </w:t>
      </w:r>
      <w:r w:rsidR="00F026E8" w:rsidRPr="00842651">
        <w:rPr>
          <w:color w:val="auto"/>
        </w:rPr>
        <w:t>LACE</w:t>
      </w:r>
      <w:r w:rsidR="00F026E8" w:rsidRPr="00FE7622">
        <w:rPr>
          <w:color w:val="auto"/>
        </w:rPr>
        <w:t xml:space="preserve"> trial was designed in response to a </w:t>
      </w:r>
      <w:r w:rsidR="00F026E8" w:rsidRPr="00842651">
        <w:rPr>
          <w:color w:val="auto"/>
        </w:rPr>
        <w:t>NIHR</w:t>
      </w:r>
      <w:r w:rsidR="00F026E8" w:rsidRPr="00FE7622">
        <w:rPr>
          <w:color w:val="auto"/>
        </w:rPr>
        <w:t xml:space="preserve"> commissioning call supported conducting an efficacy trial both for </w:t>
      </w:r>
      <w:r w:rsidR="00F026E8" w:rsidRPr="00842651">
        <w:rPr>
          <w:color w:val="auto"/>
        </w:rPr>
        <w:t>ACEi</w:t>
      </w:r>
      <w:r w:rsidR="00F026E8" w:rsidRPr="00FE7622">
        <w:rPr>
          <w:color w:val="auto"/>
        </w:rPr>
        <w:t xml:space="preserve"> and for leucine. For both agents, preclinical and mechanistic clinical data supported potential beneficial modes of action for these agents and for both interventions, some clinical trial data suggesting </w:t>
      </w:r>
      <w:r w:rsidR="00D97CA7" w:rsidRPr="00FE7622">
        <w:rPr>
          <w:color w:val="auto"/>
        </w:rPr>
        <w:t xml:space="preserve">that </w:t>
      </w:r>
      <w:r w:rsidR="00F026E8" w:rsidRPr="00FE7622">
        <w:rPr>
          <w:color w:val="auto"/>
        </w:rPr>
        <w:t xml:space="preserve">efficacy also existed. However, the evidence base has developed further in the </w:t>
      </w:r>
      <w:r w:rsidR="00866064" w:rsidRPr="00FE7622">
        <w:rPr>
          <w:color w:val="auto"/>
        </w:rPr>
        <w:t>8</w:t>
      </w:r>
      <w:r w:rsidR="00F026E8" w:rsidRPr="00FE7622">
        <w:rPr>
          <w:color w:val="auto"/>
        </w:rPr>
        <w:t xml:space="preserve"> years since the </w:t>
      </w:r>
      <w:r w:rsidR="00F026E8" w:rsidRPr="00842651">
        <w:rPr>
          <w:color w:val="auto"/>
        </w:rPr>
        <w:t>LACE</w:t>
      </w:r>
      <w:r w:rsidR="00F026E8" w:rsidRPr="00FE7622">
        <w:rPr>
          <w:color w:val="auto"/>
        </w:rPr>
        <w:t xml:space="preserve"> trial was designed. Given that neither of these agents showed efficacy in the </w:t>
      </w:r>
      <w:r w:rsidR="00F026E8" w:rsidRPr="00842651">
        <w:rPr>
          <w:color w:val="auto"/>
        </w:rPr>
        <w:t>LACE</w:t>
      </w:r>
      <w:r w:rsidR="00F026E8" w:rsidRPr="00FE7622">
        <w:rPr>
          <w:color w:val="auto"/>
        </w:rPr>
        <w:t xml:space="preserve"> trial, there are a number of reasons to consider </w:t>
      </w:r>
      <w:r w:rsidR="00981E6C" w:rsidRPr="00FE7622">
        <w:rPr>
          <w:color w:val="auto"/>
        </w:rPr>
        <w:t>for</w:t>
      </w:r>
      <w:r w:rsidR="00F026E8" w:rsidRPr="00FE7622">
        <w:rPr>
          <w:color w:val="auto"/>
        </w:rPr>
        <w:t xml:space="preserve"> why this might be.</w:t>
      </w:r>
    </w:p>
    <w:p w14:paraId="3CFAC071" w14:textId="3E589A04" w:rsidR="00F026E8" w:rsidRPr="00FE7622" w:rsidRDefault="00F026E8" w:rsidP="00FB20FE">
      <w:pPr>
        <w:pStyle w:val="602TextfoTextstylesTextstyles"/>
        <w:rPr>
          <w:color w:val="auto"/>
        </w:rPr>
      </w:pPr>
      <w:r w:rsidRPr="00FE7622">
        <w:rPr>
          <w:color w:val="auto"/>
        </w:rPr>
        <w:t xml:space="preserve">First, it is possible that the doses of the agents used </w:t>
      </w:r>
      <w:r w:rsidR="009D34B8" w:rsidRPr="00FE7622">
        <w:rPr>
          <w:color w:val="auto"/>
        </w:rPr>
        <w:t>were</w:t>
      </w:r>
      <w:r w:rsidRPr="00FE7622">
        <w:rPr>
          <w:color w:val="auto"/>
        </w:rPr>
        <w:t xml:space="preserve"> not adequate to provide a clinically important response. The dose of perindopril selected was similar to that used in a previous trial that showed a clinically important improvement in both </w:t>
      </w:r>
      <w:r w:rsidR="00302DEC" w:rsidRPr="00FE7622">
        <w:rPr>
          <w:color w:val="auto"/>
        </w:rPr>
        <w:t>6</w:t>
      </w:r>
      <w:r w:rsidRPr="00FE7622">
        <w:rPr>
          <w:color w:val="auto"/>
        </w:rPr>
        <w:t>-minute walk distance and quality of life.</w:t>
      </w:r>
      <w:r w:rsidR="00E038BF" w:rsidRPr="00FE7622">
        <w:rPr>
          <w:color w:val="auto"/>
          <w:vertAlign w:val="superscript"/>
        </w:rPr>
        <w:t>30</w:t>
      </w:r>
      <w:r w:rsidRPr="00FE7622">
        <w:rPr>
          <w:color w:val="auto"/>
        </w:rPr>
        <w:t xml:space="preserve"> The </w:t>
      </w:r>
      <w:r w:rsidR="00C44919" w:rsidRPr="00FE7622">
        <w:rPr>
          <w:color w:val="auto"/>
        </w:rPr>
        <w:t>1</w:t>
      </w:r>
      <w:r w:rsidRPr="00FE7622">
        <w:rPr>
          <w:color w:val="auto"/>
        </w:rPr>
        <w:t xml:space="preserve">-year treatment duration used in the </w:t>
      </w:r>
      <w:r w:rsidRPr="00842651">
        <w:rPr>
          <w:color w:val="auto"/>
        </w:rPr>
        <w:t>LACE</w:t>
      </w:r>
      <w:r w:rsidRPr="00FE7622">
        <w:rPr>
          <w:color w:val="auto"/>
        </w:rPr>
        <w:t xml:space="preserve"> trial was longer than that used in previous trials and it is</w:t>
      </w:r>
      <w:r w:rsidR="009D34B8" w:rsidRPr="00FE7622">
        <w:rPr>
          <w:color w:val="auto"/>
        </w:rPr>
        <w:t>,</w:t>
      </w:r>
      <w:r w:rsidRPr="00FE7622">
        <w:rPr>
          <w:color w:val="auto"/>
        </w:rPr>
        <w:t xml:space="preserve"> therefore</w:t>
      </w:r>
      <w:r w:rsidR="009D34B8" w:rsidRPr="00FE7622">
        <w:rPr>
          <w:color w:val="auto"/>
        </w:rPr>
        <w:t>,</w:t>
      </w:r>
      <w:r w:rsidRPr="00FE7622">
        <w:rPr>
          <w:color w:val="auto"/>
        </w:rPr>
        <w:t xml:space="preserve"> unlikely that the duration of therapy was too short to provide a clinically important effect. Recent observational data suggest that </w:t>
      </w:r>
      <w:r w:rsidRPr="00842651">
        <w:rPr>
          <w:color w:val="auto"/>
        </w:rPr>
        <w:t>ARB</w:t>
      </w:r>
      <w:r w:rsidRPr="00FE7622">
        <w:rPr>
          <w:color w:val="auto"/>
        </w:rPr>
        <w:t xml:space="preserve"> use, but not </w:t>
      </w:r>
      <w:r w:rsidRPr="00842651">
        <w:rPr>
          <w:color w:val="auto"/>
        </w:rPr>
        <w:t>ACEi</w:t>
      </w:r>
      <w:r w:rsidRPr="00FE7622">
        <w:rPr>
          <w:color w:val="auto"/>
        </w:rPr>
        <w:t xml:space="preserve"> use, is associated </w:t>
      </w:r>
      <w:r w:rsidR="00E038BF" w:rsidRPr="00E038BF">
        <w:rPr>
          <w:color w:val="FF00FF"/>
          <w:sz w:val="24"/>
        </w:rPr>
        <w:t>[26]</w:t>
      </w:r>
      <w:commentRangeStart w:id="142"/>
      <w:r w:rsidRPr="00FE7622">
        <w:rPr>
          <w:color w:val="auto"/>
        </w:rPr>
        <w:t>with better muscle strength and muscle mass in older Singaporeans</w:t>
      </w:r>
      <w:commentRangeEnd w:id="142"/>
      <w:r w:rsidR="00E256FB" w:rsidRPr="00FE7622">
        <w:rPr>
          <w:rStyle w:val="CommentReference"/>
          <w:rFonts w:ascii="Times New Roman" w:hAnsi="Times New Roman" w:cs="Times New Roman"/>
          <w:color w:val="auto"/>
          <w:lang w:val="en-US"/>
        </w:rPr>
        <w:commentReference w:id="142"/>
      </w:r>
      <w:r w:rsidRPr="00FE7622">
        <w:rPr>
          <w:color w:val="auto"/>
        </w:rPr>
        <w:t>.</w:t>
      </w:r>
      <w:r w:rsidR="00E038BF" w:rsidRPr="00FE7622">
        <w:rPr>
          <w:color w:val="auto"/>
          <w:vertAlign w:val="superscript"/>
        </w:rPr>
        <w:t>32</w:t>
      </w:r>
      <w:r w:rsidRPr="00FE7622">
        <w:rPr>
          <w:color w:val="auto"/>
        </w:rPr>
        <w:t xml:space="preserve"> It is therefore still possible that </w:t>
      </w:r>
      <w:r w:rsidRPr="00842651">
        <w:rPr>
          <w:color w:val="auto"/>
        </w:rPr>
        <w:t>ARBs</w:t>
      </w:r>
      <w:r w:rsidRPr="00FE7622">
        <w:rPr>
          <w:color w:val="auto"/>
        </w:rPr>
        <w:t xml:space="preserve"> could produce a beneficial effect on muscle mass and strength where </w:t>
      </w:r>
      <w:r w:rsidRPr="00842651">
        <w:rPr>
          <w:color w:val="auto"/>
        </w:rPr>
        <w:t>ACEi</w:t>
      </w:r>
      <w:r w:rsidRPr="00FE7622">
        <w:rPr>
          <w:color w:val="auto"/>
        </w:rPr>
        <w:t xml:space="preserve"> have failed to do so. Although only two trials have examined the effects of </w:t>
      </w:r>
      <w:r w:rsidRPr="00842651">
        <w:rPr>
          <w:color w:val="auto"/>
        </w:rPr>
        <w:t>ARBs</w:t>
      </w:r>
      <w:r w:rsidRPr="00FE7622">
        <w:rPr>
          <w:color w:val="auto"/>
        </w:rPr>
        <w:t>,</w:t>
      </w:r>
      <w:r w:rsidR="00E038BF" w:rsidRPr="00FE7622">
        <w:rPr>
          <w:color w:val="auto"/>
          <w:vertAlign w:val="superscript"/>
        </w:rPr>
        <w:t>81,85</w:t>
      </w:r>
      <w:r w:rsidRPr="00FE7622">
        <w:rPr>
          <w:color w:val="auto"/>
        </w:rPr>
        <w:t xml:space="preserve"> both</w:t>
      </w:r>
      <w:r w:rsidR="00F06295" w:rsidRPr="00FE7622">
        <w:rPr>
          <w:color w:val="auto"/>
        </w:rPr>
        <w:t xml:space="preserve"> of these trials</w:t>
      </w:r>
      <w:r w:rsidRPr="00FE7622">
        <w:rPr>
          <w:color w:val="auto"/>
        </w:rPr>
        <w:t xml:space="preserve"> failed to show significant improvements in muscle function with </w:t>
      </w:r>
      <w:r w:rsidRPr="00842651">
        <w:rPr>
          <w:color w:val="auto"/>
        </w:rPr>
        <w:t>ARB</w:t>
      </w:r>
      <w:r w:rsidRPr="00FE7622">
        <w:rPr>
          <w:color w:val="auto"/>
        </w:rPr>
        <w:t xml:space="preserve"> compared </w:t>
      </w:r>
      <w:r w:rsidR="00302DEC" w:rsidRPr="00FE7622">
        <w:rPr>
          <w:color w:val="auto"/>
        </w:rPr>
        <w:t>with</w:t>
      </w:r>
      <w:r w:rsidRPr="00FE7622">
        <w:rPr>
          <w:color w:val="auto"/>
        </w:rPr>
        <w:t xml:space="preserve"> controls.</w:t>
      </w:r>
    </w:p>
    <w:p w14:paraId="7AB58571" w14:textId="68196464" w:rsidR="00F026E8" w:rsidRPr="00FE7622" w:rsidRDefault="00CF3240" w:rsidP="00FB20FE">
      <w:pPr>
        <w:pStyle w:val="602TextfoTextstylesTextstyles"/>
        <w:rPr>
          <w:color w:val="auto"/>
        </w:rPr>
      </w:pPr>
      <w:r w:rsidRPr="00FE7622">
        <w:rPr>
          <w:color w:val="auto"/>
        </w:rPr>
        <w:t>T</w:t>
      </w:r>
      <w:r w:rsidR="00F026E8" w:rsidRPr="00FE7622">
        <w:rPr>
          <w:color w:val="auto"/>
        </w:rPr>
        <w:t>he dose</w:t>
      </w:r>
      <w:r w:rsidRPr="00FE7622">
        <w:rPr>
          <w:color w:val="auto"/>
        </w:rPr>
        <w:t xml:space="preserve"> of leucine</w:t>
      </w:r>
      <w:r w:rsidR="00F026E8" w:rsidRPr="00FE7622">
        <w:rPr>
          <w:color w:val="auto"/>
        </w:rPr>
        <w:t xml:space="preserve"> selected was based on previous studies </w:t>
      </w:r>
      <w:r w:rsidRPr="00FE7622">
        <w:rPr>
          <w:color w:val="auto"/>
        </w:rPr>
        <w:t>showing</w:t>
      </w:r>
      <w:r w:rsidR="00F026E8" w:rsidRPr="00FE7622">
        <w:rPr>
          <w:color w:val="auto"/>
        </w:rPr>
        <w:t xml:space="preserve"> that 2.5 g per meal was sufficient to improve muscle protein synthesis in healthy older people.</w:t>
      </w:r>
      <w:r w:rsidR="00E038BF" w:rsidRPr="00FE7622">
        <w:rPr>
          <w:color w:val="auto"/>
          <w:vertAlign w:val="superscript"/>
        </w:rPr>
        <w:t>19</w:t>
      </w:r>
      <w:r w:rsidR="00F026E8" w:rsidRPr="00FE7622">
        <w:rPr>
          <w:color w:val="auto"/>
        </w:rPr>
        <w:t xml:space="preserve"> It is still possible</w:t>
      </w:r>
      <w:r w:rsidR="004E5991" w:rsidRPr="00FE7622">
        <w:rPr>
          <w:color w:val="auto"/>
        </w:rPr>
        <w:t>,</w:t>
      </w:r>
      <w:r w:rsidR="00F026E8" w:rsidRPr="00FE7622">
        <w:rPr>
          <w:color w:val="auto"/>
        </w:rPr>
        <w:t xml:space="preserve"> however</w:t>
      </w:r>
      <w:r w:rsidR="004E5991" w:rsidRPr="00FE7622">
        <w:rPr>
          <w:color w:val="auto"/>
        </w:rPr>
        <w:t>,</w:t>
      </w:r>
      <w:r w:rsidR="00F026E8" w:rsidRPr="00FE7622">
        <w:rPr>
          <w:color w:val="auto"/>
        </w:rPr>
        <w:t xml:space="preserve"> that a higher dose is required to overcome anabolic resistance in older people with sarcopenia. Again, the </w:t>
      </w:r>
      <w:r w:rsidR="004E5991" w:rsidRPr="00FE7622">
        <w:rPr>
          <w:color w:val="auto"/>
        </w:rPr>
        <w:t>1</w:t>
      </w:r>
      <w:r w:rsidR="00F026E8" w:rsidRPr="00FE7622">
        <w:rPr>
          <w:color w:val="auto"/>
        </w:rPr>
        <w:t xml:space="preserve">-year duration of treatment is longer than that used in most leucine trials to date and it is unlikely that the duration of therapy can explain the lack of effect. Although adherence to treatment was less than 100% </w:t>
      </w:r>
      <w:r w:rsidR="004E5991" w:rsidRPr="00FE7622">
        <w:rPr>
          <w:color w:val="auto"/>
        </w:rPr>
        <w:t>with</w:t>
      </w:r>
      <w:r w:rsidR="00F026E8" w:rsidRPr="00FE7622">
        <w:rPr>
          <w:color w:val="auto"/>
        </w:rPr>
        <w:t xml:space="preserve"> both agents, </w:t>
      </w:r>
      <w:r w:rsidR="004E5991" w:rsidRPr="00FE7622">
        <w:rPr>
          <w:color w:val="auto"/>
        </w:rPr>
        <w:t>it</w:t>
      </w:r>
      <w:r w:rsidR="00F026E8" w:rsidRPr="00FE7622">
        <w:rPr>
          <w:color w:val="auto"/>
        </w:rPr>
        <w:t xml:space="preserve"> was not low enough to explain the lack of efficacy; no relationship was evident between adherence and treatment effect </w:t>
      </w:r>
      <w:r w:rsidR="00336D06" w:rsidRPr="00FE7622">
        <w:rPr>
          <w:color w:val="auto"/>
        </w:rPr>
        <w:t>in terms of</w:t>
      </w:r>
      <w:r w:rsidR="00F026E8" w:rsidRPr="00FE7622">
        <w:rPr>
          <w:color w:val="auto"/>
        </w:rPr>
        <w:t xml:space="preserve"> the primary outcome for either perindopril or leucine.</w:t>
      </w:r>
    </w:p>
    <w:p w14:paraId="20CD2A74" w14:textId="30357D13" w:rsidR="00F026E8" w:rsidRPr="00FE7622" w:rsidRDefault="00F026E8" w:rsidP="00FB20FE">
      <w:pPr>
        <w:pStyle w:val="602TextfoTextstylesTextstyles"/>
        <w:rPr>
          <w:color w:val="auto"/>
        </w:rPr>
      </w:pPr>
      <w:r w:rsidRPr="00FE7622">
        <w:rPr>
          <w:color w:val="auto"/>
        </w:rPr>
        <w:t xml:space="preserve">Second, it is possible that </w:t>
      </w:r>
      <w:r w:rsidRPr="00842651">
        <w:rPr>
          <w:color w:val="auto"/>
        </w:rPr>
        <w:t>ACEi</w:t>
      </w:r>
      <w:r w:rsidRPr="00FE7622">
        <w:rPr>
          <w:color w:val="auto"/>
        </w:rPr>
        <w:t xml:space="preserve"> or leucine </w:t>
      </w:r>
      <w:r w:rsidR="00E927BD" w:rsidRPr="00FE7622">
        <w:rPr>
          <w:color w:val="auto"/>
        </w:rPr>
        <w:t>is</w:t>
      </w:r>
      <w:r w:rsidRPr="00FE7622">
        <w:rPr>
          <w:color w:val="auto"/>
        </w:rPr>
        <w:t xml:space="preserve"> efficacious only when used in combination with resistance training for sarcopenia. At the </w:t>
      </w:r>
      <w:r w:rsidR="004578F1" w:rsidRPr="00FE7622">
        <w:rPr>
          <w:color w:val="auto"/>
        </w:rPr>
        <w:t>time</w:t>
      </w:r>
      <w:r w:rsidRPr="00FE7622">
        <w:rPr>
          <w:color w:val="auto"/>
        </w:rPr>
        <w:t xml:space="preserve"> the </w:t>
      </w:r>
      <w:r w:rsidRPr="00842651">
        <w:rPr>
          <w:color w:val="auto"/>
        </w:rPr>
        <w:t>LACE</w:t>
      </w:r>
      <w:r w:rsidRPr="00FE7622">
        <w:rPr>
          <w:color w:val="auto"/>
        </w:rPr>
        <w:t xml:space="preserve"> trial</w:t>
      </w:r>
      <w:r w:rsidR="004578F1" w:rsidRPr="00FE7622">
        <w:rPr>
          <w:color w:val="auto"/>
        </w:rPr>
        <w:t xml:space="preserve"> was designed</w:t>
      </w:r>
      <w:r w:rsidRPr="00FE7622">
        <w:rPr>
          <w:color w:val="auto"/>
        </w:rPr>
        <w:t>, the existing evidence suggested that the opposite might be true</w:t>
      </w:r>
      <w:r w:rsidR="004578F1" w:rsidRPr="00FE7622">
        <w:rPr>
          <w:color w:val="auto"/>
        </w:rPr>
        <w:t>:</w:t>
      </w:r>
      <w:r w:rsidRPr="00FE7622">
        <w:rPr>
          <w:color w:val="auto"/>
        </w:rPr>
        <w:t xml:space="preserve"> that these agents were efficacious only in those not already undertaking resistance training. Data from a previous trial</w:t>
      </w:r>
      <w:r w:rsidR="00E038BF" w:rsidRPr="00FE7622">
        <w:rPr>
          <w:color w:val="auto"/>
          <w:vertAlign w:val="superscript"/>
        </w:rPr>
        <w:t>34</w:t>
      </w:r>
      <w:r w:rsidR="00E162C1" w:rsidRPr="00FE7622">
        <w:rPr>
          <w:color w:val="auto"/>
        </w:rPr>
        <w:t xml:space="preserve"> </w:t>
      </w:r>
      <w:r w:rsidRPr="00FE7622">
        <w:rPr>
          <w:color w:val="auto"/>
        </w:rPr>
        <w:t>comparing perindopril and placebo in patients already undergoing exercise training showed no additional benefit of perindopril on top of the improvement in physical function seen from exercise. A similar trial</w:t>
      </w:r>
      <w:r w:rsidR="00E038BF" w:rsidRPr="00FE7622">
        <w:rPr>
          <w:color w:val="auto"/>
          <w:vertAlign w:val="superscript"/>
        </w:rPr>
        <w:t>85</w:t>
      </w:r>
      <w:r w:rsidR="00E162C1" w:rsidRPr="00FE7622">
        <w:rPr>
          <w:color w:val="auto"/>
        </w:rPr>
        <w:t xml:space="preserve"> </w:t>
      </w:r>
      <w:r w:rsidRPr="00FE7622">
        <w:rPr>
          <w:color w:val="auto"/>
        </w:rPr>
        <w:t xml:space="preserve">highlighted in our recent systematic review </w:t>
      </w:r>
      <w:r w:rsidR="00C97BC3" w:rsidRPr="00FE7622">
        <w:rPr>
          <w:color w:val="auto"/>
        </w:rPr>
        <w:t>found</w:t>
      </w:r>
      <w:r w:rsidRPr="00FE7622">
        <w:rPr>
          <w:color w:val="auto"/>
        </w:rPr>
        <w:t xml:space="preserve"> no effect of the </w:t>
      </w:r>
      <w:r w:rsidRPr="00842651">
        <w:rPr>
          <w:color w:val="auto"/>
        </w:rPr>
        <w:t>ARB</w:t>
      </w:r>
      <w:r w:rsidRPr="00FE7622">
        <w:rPr>
          <w:color w:val="auto"/>
        </w:rPr>
        <w:t xml:space="preserve"> </w:t>
      </w:r>
      <w:r w:rsidR="004578F1" w:rsidRPr="00FE7622">
        <w:rPr>
          <w:color w:val="auto"/>
        </w:rPr>
        <w:t>l</w:t>
      </w:r>
      <w:r w:rsidRPr="00FE7622">
        <w:rPr>
          <w:color w:val="auto"/>
        </w:rPr>
        <w:t xml:space="preserve">osartan when </w:t>
      </w:r>
      <w:r w:rsidR="004578F1" w:rsidRPr="00FE7622">
        <w:rPr>
          <w:color w:val="auto"/>
        </w:rPr>
        <w:t xml:space="preserve">it was </w:t>
      </w:r>
      <w:r w:rsidRPr="00FE7622">
        <w:rPr>
          <w:color w:val="auto"/>
        </w:rPr>
        <w:t>added to resistance training in older people. It is</w:t>
      </w:r>
      <w:r w:rsidR="00E20133" w:rsidRPr="00FE7622">
        <w:rPr>
          <w:color w:val="auto"/>
        </w:rPr>
        <w:t>,</w:t>
      </w:r>
      <w:r w:rsidRPr="00FE7622">
        <w:rPr>
          <w:color w:val="auto"/>
        </w:rPr>
        <w:t xml:space="preserve"> therefore</w:t>
      </w:r>
      <w:r w:rsidR="00E20133" w:rsidRPr="00FE7622">
        <w:rPr>
          <w:color w:val="auto"/>
        </w:rPr>
        <w:t>,</w:t>
      </w:r>
      <w:r w:rsidRPr="00FE7622">
        <w:rPr>
          <w:color w:val="auto"/>
        </w:rPr>
        <w:t xml:space="preserve"> unlikely that the absence of exercise training was responsible for the null result with perindopril in the current trial. The case for leucine as an adjunct to resistance training is less clear-cut.</w:t>
      </w:r>
    </w:p>
    <w:p w14:paraId="79E254EA" w14:textId="0F0C0BA3" w:rsidR="00F026E8" w:rsidRPr="00FE7622" w:rsidRDefault="00F026E8" w:rsidP="00FB20FE">
      <w:pPr>
        <w:pStyle w:val="602TextfoTextstylesTextstyles"/>
        <w:rPr>
          <w:color w:val="auto"/>
        </w:rPr>
      </w:pPr>
      <w:r w:rsidRPr="00FE7622">
        <w:rPr>
          <w:color w:val="auto"/>
        </w:rPr>
        <w:t>Third, it is possible that</w:t>
      </w:r>
      <w:r w:rsidR="00CA3DE7" w:rsidRPr="00FE7622">
        <w:rPr>
          <w:color w:val="auto"/>
        </w:rPr>
        <w:t>,</w:t>
      </w:r>
      <w:r w:rsidRPr="00FE7622">
        <w:rPr>
          <w:color w:val="auto"/>
        </w:rPr>
        <w:t xml:space="preserve"> </w:t>
      </w:r>
      <w:r w:rsidR="00CA3DE7" w:rsidRPr="00FE7622">
        <w:rPr>
          <w:color w:val="auto"/>
        </w:rPr>
        <w:t>with</w:t>
      </w:r>
      <w:r w:rsidRPr="00FE7622">
        <w:rPr>
          <w:color w:val="auto"/>
        </w:rPr>
        <w:t xml:space="preserve"> leucine, efficacy is achievable only as part of a more complex nutritional intervention. Some previous interventions have combined leucine with additional protein or amino acid supplements and with other nutrients such as vitamin D.</w:t>
      </w:r>
      <w:r w:rsidR="00E038BF" w:rsidRPr="00FE7622">
        <w:rPr>
          <w:color w:val="auto"/>
          <w:vertAlign w:val="superscript"/>
        </w:rPr>
        <w:t>75,92</w:t>
      </w:r>
      <w:r w:rsidRPr="00FE7622">
        <w:rPr>
          <w:color w:val="auto"/>
        </w:rPr>
        <w:t xml:space="preserve"> Some</w:t>
      </w:r>
      <w:r w:rsidR="004578F1" w:rsidRPr="00FE7622">
        <w:rPr>
          <w:color w:val="auto"/>
        </w:rPr>
        <w:t>,</w:t>
      </w:r>
      <w:r w:rsidRPr="00FE7622">
        <w:rPr>
          <w:color w:val="auto"/>
        </w:rPr>
        <w:t xml:space="preserve"> but not all</w:t>
      </w:r>
      <w:r w:rsidR="004578F1" w:rsidRPr="00FE7622">
        <w:rPr>
          <w:color w:val="auto"/>
        </w:rPr>
        <w:t>,</w:t>
      </w:r>
      <w:r w:rsidRPr="00FE7622">
        <w:rPr>
          <w:color w:val="auto"/>
        </w:rPr>
        <w:t xml:space="preserve"> of these trials have suggested improvements </w:t>
      </w:r>
      <w:r w:rsidR="004578F1" w:rsidRPr="00FE7622">
        <w:rPr>
          <w:color w:val="auto"/>
        </w:rPr>
        <w:t>in</w:t>
      </w:r>
      <w:r w:rsidRPr="00FE7622">
        <w:rPr>
          <w:color w:val="auto"/>
        </w:rPr>
        <w:t xml:space="preserve"> muscle mass, although the effect on muscle strength has been less convincing. Current evidence is insufficient to indicate whether </w:t>
      </w:r>
      <w:r w:rsidR="004578F1" w:rsidRPr="00FE7622">
        <w:rPr>
          <w:color w:val="auto"/>
        </w:rPr>
        <w:t xml:space="preserve">or not </w:t>
      </w:r>
      <w:r w:rsidRPr="00FE7622">
        <w:rPr>
          <w:color w:val="auto"/>
        </w:rPr>
        <w:t>leucine is an effective intervention when given in addition to generic protein or amino acid supplementation.</w:t>
      </w:r>
    </w:p>
    <w:p w14:paraId="7AE09EB9" w14:textId="53D7E338" w:rsidR="00F026E8" w:rsidRPr="00FE7622" w:rsidRDefault="00F026E8" w:rsidP="00FB20FE">
      <w:pPr>
        <w:pStyle w:val="602TextfoTextstylesTextstyles"/>
        <w:rPr>
          <w:color w:val="auto"/>
        </w:rPr>
      </w:pPr>
      <w:r w:rsidRPr="00FE7622">
        <w:rPr>
          <w:color w:val="auto"/>
        </w:rPr>
        <w:t>It is noteworthy that the point estimate for the benefit of leucine in patients with a baseline protein intake below the median (approximately 1</w:t>
      </w:r>
      <w:r w:rsidR="00C44919" w:rsidRPr="00FE7622">
        <w:rPr>
          <w:color w:val="auto"/>
        </w:rPr>
        <w:t> </w:t>
      </w:r>
      <w:r w:rsidRPr="00FE7622">
        <w:rPr>
          <w:color w:val="auto"/>
        </w:rPr>
        <w:t>g/kg/day) was much higher than for</w:t>
      </w:r>
      <w:r w:rsidR="007E37B7" w:rsidRPr="00FE7622">
        <w:rPr>
          <w:color w:val="auto"/>
        </w:rPr>
        <w:t xml:space="preserve"> that in</w:t>
      </w:r>
      <w:r w:rsidRPr="00FE7622">
        <w:rPr>
          <w:color w:val="auto"/>
        </w:rPr>
        <w:t xml:space="preserve"> those with higher baseline protein intakes. This finding requires further exploration; it is possible that it was a chance finding due to multiple testing, but it is also plausible that older people with low protein intake might benefit more from leucine to overcome anabolic resistance and improve </w:t>
      </w:r>
      <w:r w:rsidR="00B42CD5" w:rsidRPr="00FE7622">
        <w:rPr>
          <w:color w:val="auto"/>
        </w:rPr>
        <w:t xml:space="preserve">the </w:t>
      </w:r>
      <w:r w:rsidRPr="00FE7622">
        <w:rPr>
          <w:color w:val="auto"/>
        </w:rPr>
        <w:t xml:space="preserve">uptake of protein into cells. Previous trials of leucine enrolled participants with a similar mean daily protein intake to </w:t>
      </w:r>
      <w:r w:rsidR="00CA3DE7" w:rsidRPr="00FE7622">
        <w:rPr>
          <w:color w:val="auto"/>
        </w:rPr>
        <w:t xml:space="preserve">participants in </w:t>
      </w:r>
      <w:r w:rsidRPr="00FE7622">
        <w:rPr>
          <w:color w:val="auto"/>
        </w:rPr>
        <w:t xml:space="preserve">the </w:t>
      </w:r>
      <w:r w:rsidRPr="00842651">
        <w:rPr>
          <w:color w:val="auto"/>
        </w:rPr>
        <w:t>LACE</w:t>
      </w:r>
      <w:r w:rsidRPr="00FE7622">
        <w:rPr>
          <w:color w:val="auto"/>
        </w:rPr>
        <w:t xml:space="preserve"> trial, and so trial-level data are unable to shed further light on whether </w:t>
      </w:r>
      <w:r w:rsidR="00CA3DE7" w:rsidRPr="00FE7622">
        <w:rPr>
          <w:color w:val="auto"/>
        </w:rPr>
        <w:t xml:space="preserve">or not </w:t>
      </w:r>
      <w:r w:rsidRPr="00FE7622">
        <w:rPr>
          <w:color w:val="auto"/>
        </w:rPr>
        <w:t xml:space="preserve">older people with low protein intake are more likely to benefit from leucine supplementation. Individual-participant meta-analyses may be able to resolve this question. Similarly, patients with low baseline muscle mass (i.e. those fulfilling the </w:t>
      </w:r>
      <w:r w:rsidRPr="00842651">
        <w:rPr>
          <w:color w:val="auto"/>
        </w:rPr>
        <w:t>EWGSOP</w:t>
      </w:r>
      <w:r w:rsidRPr="00FE7622">
        <w:rPr>
          <w:color w:val="auto"/>
        </w:rPr>
        <w:t xml:space="preserve"> 2019 criteria for confirmed sarcopenia) had a greater response to leucine, suggesting that those with low muscle mass (and</w:t>
      </w:r>
      <w:r w:rsidR="00CA3DE7" w:rsidRPr="00FE7622">
        <w:rPr>
          <w:color w:val="auto"/>
        </w:rPr>
        <w:t>,</w:t>
      </w:r>
      <w:r w:rsidRPr="00FE7622">
        <w:rPr>
          <w:color w:val="auto"/>
        </w:rPr>
        <w:t xml:space="preserve"> thus</w:t>
      </w:r>
      <w:r w:rsidR="00CA3DE7" w:rsidRPr="00FE7622">
        <w:rPr>
          <w:color w:val="auto"/>
        </w:rPr>
        <w:t>,</w:t>
      </w:r>
      <w:r w:rsidRPr="00FE7622">
        <w:rPr>
          <w:color w:val="auto"/>
        </w:rPr>
        <w:t xml:space="preserve"> </w:t>
      </w:r>
      <w:r w:rsidR="00DC281A" w:rsidRPr="00FE7622">
        <w:rPr>
          <w:color w:val="auto"/>
        </w:rPr>
        <w:t xml:space="preserve">those </w:t>
      </w:r>
      <w:r w:rsidRPr="00FE7622">
        <w:rPr>
          <w:color w:val="auto"/>
        </w:rPr>
        <w:t>more likely to be in a catabolic state) might still benefit from leucine. Again, this finding requires further exploration in future trials and analyses.</w:t>
      </w:r>
    </w:p>
    <w:p w14:paraId="16361A04" w14:textId="5C271580" w:rsidR="00F026E8" w:rsidRPr="00FE7622" w:rsidRDefault="00F026E8" w:rsidP="00FB20FE">
      <w:pPr>
        <w:pStyle w:val="602TextfoTextstylesTextstyles"/>
        <w:rPr>
          <w:color w:val="auto"/>
        </w:rPr>
      </w:pPr>
      <w:r w:rsidRPr="00FE7622">
        <w:rPr>
          <w:color w:val="auto"/>
        </w:rPr>
        <w:t xml:space="preserve">A criticism of previous trials testing interventions for sarcopenia has been that most trials have not in fact enrolled patients with sarcopenia. Many trials have focused on either healthy older people or older people </w:t>
      </w:r>
      <w:r w:rsidR="00917F36" w:rsidRPr="00FE7622">
        <w:rPr>
          <w:color w:val="auto"/>
        </w:rPr>
        <w:t>who have</w:t>
      </w:r>
      <w:r w:rsidRPr="00FE7622">
        <w:rPr>
          <w:color w:val="auto"/>
        </w:rPr>
        <w:t xml:space="preserve"> impaired physical function but </w:t>
      </w:r>
      <w:r w:rsidR="00917F36" w:rsidRPr="00FE7622">
        <w:rPr>
          <w:color w:val="auto"/>
        </w:rPr>
        <w:t>do not</w:t>
      </w:r>
      <w:r w:rsidRPr="00FE7622">
        <w:rPr>
          <w:color w:val="auto"/>
        </w:rPr>
        <w:t xml:space="preserve"> meet the formal criteria for a diagnosis of sarcopenia. Even when trials have attempted to enrol patients with sarcopenia, only a minority of participants have met the criteria for both impaired muscle function and low muscle mass set out </w:t>
      </w:r>
      <w:r w:rsidR="00917F36" w:rsidRPr="00FE7622">
        <w:rPr>
          <w:color w:val="auto"/>
        </w:rPr>
        <w:t>in</w:t>
      </w:r>
      <w:r w:rsidRPr="00FE7622">
        <w:rPr>
          <w:color w:val="auto"/>
        </w:rPr>
        <w:t xml:space="preserve"> previous guidelines.</w:t>
      </w:r>
      <w:r w:rsidR="00E038BF" w:rsidRPr="00FE7622">
        <w:rPr>
          <w:color w:val="auto"/>
          <w:vertAlign w:val="superscript"/>
        </w:rPr>
        <w:t>92</w:t>
      </w:r>
      <w:r w:rsidRPr="00FE7622">
        <w:rPr>
          <w:color w:val="auto"/>
        </w:rPr>
        <w:t xml:space="preserve"> If patients have less severe pathology, it may be more difficult for interventions to demonstrate a beneficial treatment effect. Only one-third of the final randomised sample in the </w:t>
      </w:r>
      <w:r w:rsidRPr="00842651">
        <w:rPr>
          <w:color w:val="auto"/>
        </w:rPr>
        <w:t>LACE</w:t>
      </w:r>
      <w:r w:rsidRPr="00FE7622">
        <w:rPr>
          <w:color w:val="auto"/>
        </w:rPr>
        <w:t xml:space="preserve"> trial met the full criteria for sarcopenia under different guideline definitions, but almost all met the criteria for probable sarcopenia</w:t>
      </w:r>
      <w:r w:rsidR="00B5697F" w:rsidRPr="00FE7622">
        <w:rPr>
          <w:color w:val="auto"/>
        </w:rPr>
        <w:t>,</w:t>
      </w:r>
      <w:r w:rsidRPr="00FE7622">
        <w:rPr>
          <w:color w:val="auto"/>
        </w:rPr>
        <w:t xml:space="preserve"> a diagnostic category that is much easier to apply and is</w:t>
      </w:r>
      <w:r w:rsidR="00B5697F" w:rsidRPr="00FE7622">
        <w:rPr>
          <w:color w:val="auto"/>
        </w:rPr>
        <w:t>,</w:t>
      </w:r>
      <w:r w:rsidRPr="00FE7622">
        <w:rPr>
          <w:color w:val="auto"/>
        </w:rPr>
        <w:t xml:space="preserve"> therefore</w:t>
      </w:r>
      <w:r w:rsidR="00B5697F" w:rsidRPr="00FE7622">
        <w:rPr>
          <w:color w:val="auto"/>
        </w:rPr>
        <w:t>,</w:t>
      </w:r>
      <w:r w:rsidRPr="00FE7622">
        <w:rPr>
          <w:color w:val="auto"/>
        </w:rPr>
        <w:t xml:space="preserve"> becoming increasingly used in clinical practice. Finding and recruiting participants with sarcopenia to the </w:t>
      </w:r>
      <w:r w:rsidRPr="00842651">
        <w:rPr>
          <w:color w:val="auto"/>
        </w:rPr>
        <w:t>LACE</w:t>
      </w:r>
      <w:r w:rsidRPr="00FE7622">
        <w:rPr>
          <w:color w:val="auto"/>
        </w:rPr>
        <w:t xml:space="preserve"> trial was very challenging</w:t>
      </w:r>
      <w:r w:rsidR="00B5697F" w:rsidRPr="00FE7622">
        <w:rPr>
          <w:color w:val="auto"/>
        </w:rPr>
        <w:t>,</w:t>
      </w:r>
      <w:r w:rsidRPr="00FE7622">
        <w:rPr>
          <w:color w:val="auto"/>
        </w:rPr>
        <w:t xml:space="preserve"> and </w:t>
      </w:r>
      <w:r w:rsidR="00B5697F" w:rsidRPr="00FE7622">
        <w:rPr>
          <w:color w:val="auto"/>
        </w:rPr>
        <w:t xml:space="preserve">this </w:t>
      </w:r>
      <w:r w:rsidRPr="00FE7622">
        <w:rPr>
          <w:color w:val="auto"/>
        </w:rPr>
        <w:t xml:space="preserve">raises the question </w:t>
      </w:r>
      <w:r w:rsidR="00B5697F" w:rsidRPr="00FE7622">
        <w:rPr>
          <w:color w:val="auto"/>
        </w:rPr>
        <w:t>of</w:t>
      </w:r>
      <w:r w:rsidRPr="00FE7622">
        <w:rPr>
          <w:color w:val="auto"/>
        </w:rPr>
        <w:t xml:space="preserve"> whether current research definitions of sarcopenia (where both muscle mass and muscle strength must be measured) are congruent with what is feasible or practical in clinical practice. Definitions based on muscle strength alone may be easier to translate into clinical practice and </w:t>
      </w:r>
      <w:r w:rsidR="000F3CB6" w:rsidRPr="00FE7622">
        <w:rPr>
          <w:color w:val="auto"/>
        </w:rPr>
        <w:t xml:space="preserve">the </w:t>
      </w:r>
      <w:r w:rsidRPr="00FE7622">
        <w:rPr>
          <w:color w:val="auto"/>
        </w:rPr>
        <w:t>findings would also be applicable to a wider range of patients.</w:t>
      </w:r>
    </w:p>
    <w:p w14:paraId="4529EAAD" w14:textId="0E8236BA" w:rsidR="00E038BF" w:rsidRPr="00FE7622" w:rsidRDefault="00E038BF" w:rsidP="00FB20FE">
      <w:pPr>
        <w:pStyle w:val="53BheadHeadingsHeadingstyles"/>
      </w:pPr>
      <w:bookmarkStart w:id="143" w:name="_Toc79684554"/>
      <w:r w:rsidRPr="00FE7622">
        <w:t>Generalisability and limitations with regard to generalisability</w:t>
      </w:r>
      <w:bookmarkEnd w:id="143"/>
    </w:p>
    <w:p w14:paraId="340FD30F" w14:textId="683B8325" w:rsidR="00F026E8" w:rsidRPr="00FE7622" w:rsidRDefault="00F026E8" w:rsidP="00FB20FE">
      <w:pPr>
        <w:pStyle w:val="602TextfoTextstylesTextstyles"/>
        <w:rPr>
          <w:color w:val="auto"/>
        </w:rPr>
      </w:pPr>
      <w:r w:rsidRPr="00FE7622">
        <w:rPr>
          <w:color w:val="auto"/>
        </w:rPr>
        <w:t xml:space="preserve">The key limitation in terms of generalisability </w:t>
      </w:r>
      <w:r w:rsidR="00046353" w:rsidRPr="00FE7622">
        <w:rPr>
          <w:color w:val="auto"/>
        </w:rPr>
        <w:t>was</w:t>
      </w:r>
      <w:r w:rsidRPr="00FE7622">
        <w:rPr>
          <w:color w:val="auto"/>
        </w:rPr>
        <w:t xml:space="preserve"> that participants were overwhelmingly of white ethnicity and</w:t>
      </w:r>
      <w:r w:rsidR="00046353" w:rsidRPr="00FE7622">
        <w:rPr>
          <w:color w:val="auto"/>
        </w:rPr>
        <w:t>,</w:t>
      </w:r>
      <w:r w:rsidRPr="00FE7622">
        <w:rPr>
          <w:color w:val="auto"/>
        </w:rPr>
        <w:t xml:space="preserve"> thus</w:t>
      </w:r>
      <w:r w:rsidR="00046353" w:rsidRPr="00FE7622">
        <w:rPr>
          <w:color w:val="auto"/>
        </w:rPr>
        <w:t>,</w:t>
      </w:r>
      <w:r w:rsidRPr="00FE7622">
        <w:rPr>
          <w:color w:val="auto"/>
        </w:rPr>
        <w:t xml:space="preserve"> the results cannot be assumed to apply to </w:t>
      </w:r>
      <w:r w:rsidR="00046353" w:rsidRPr="00FE7622">
        <w:rPr>
          <w:color w:val="auto"/>
        </w:rPr>
        <w:t xml:space="preserve">patients of </w:t>
      </w:r>
      <w:r w:rsidRPr="00FE7622">
        <w:rPr>
          <w:color w:val="auto"/>
        </w:rPr>
        <w:t xml:space="preserve">other ethnicities. Despite our efforts to enrol patients meeting the </w:t>
      </w:r>
      <w:r w:rsidRPr="00842651">
        <w:rPr>
          <w:color w:val="auto"/>
        </w:rPr>
        <w:t>EWGSOP</w:t>
      </w:r>
      <w:r w:rsidRPr="00FE7622">
        <w:rPr>
          <w:color w:val="auto"/>
        </w:rPr>
        <w:t xml:space="preserve"> 2010 guidelines, fewer than half of participants fully met the criteria for confirmed sarcopenia under the</w:t>
      </w:r>
      <w:r w:rsidR="00046353" w:rsidRPr="00FE7622">
        <w:rPr>
          <w:color w:val="auto"/>
        </w:rPr>
        <w:t>se</w:t>
      </w:r>
      <w:r w:rsidRPr="00FE7622">
        <w:rPr>
          <w:color w:val="auto"/>
        </w:rPr>
        <w:t xml:space="preserve"> guidelines. However, the guidelines have changed since the study was designed and almost all participants met the criteria for probable sarcopenia under the </w:t>
      </w:r>
      <w:r w:rsidRPr="00842651">
        <w:rPr>
          <w:color w:val="auto"/>
        </w:rPr>
        <w:t>EWGSOP</w:t>
      </w:r>
      <w:r w:rsidRPr="00FE7622">
        <w:rPr>
          <w:color w:val="auto"/>
        </w:rPr>
        <w:t xml:space="preserve"> 2019 guidelines. It is still possible</w:t>
      </w:r>
      <w:r w:rsidR="00046353" w:rsidRPr="00FE7622">
        <w:rPr>
          <w:color w:val="auto"/>
        </w:rPr>
        <w:t>,</w:t>
      </w:r>
      <w:r w:rsidRPr="00FE7622">
        <w:rPr>
          <w:color w:val="auto"/>
        </w:rPr>
        <w:t xml:space="preserve"> as discussed above</w:t>
      </w:r>
      <w:r w:rsidR="00046353" w:rsidRPr="00FE7622">
        <w:rPr>
          <w:color w:val="auto"/>
        </w:rPr>
        <w:t>,</w:t>
      </w:r>
      <w:r w:rsidRPr="00FE7622">
        <w:rPr>
          <w:color w:val="auto"/>
        </w:rPr>
        <w:t xml:space="preserve"> that the treatment effect in patients with lower muscle mass (confirmed sarcopenia) may be greater than</w:t>
      </w:r>
      <w:r w:rsidR="00046353" w:rsidRPr="00FE7622">
        <w:rPr>
          <w:color w:val="auto"/>
        </w:rPr>
        <w:t xml:space="preserve"> in</w:t>
      </w:r>
      <w:r w:rsidRPr="00FE7622">
        <w:rPr>
          <w:color w:val="auto"/>
        </w:rPr>
        <w:t xml:space="preserve"> those who do not fulfil the criteria for confirmed sarcopenia.</w:t>
      </w:r>
    </w:p>
    <w:p w14:paraId="7E2E439B" w14:textId="67C2B275" w:rsidR="00E038BF" w:rsidRPr="00FE7622" w:rsidRDefault="00E038BF" w:rsidP="00FB20FE">
      <w:pPr>
        <w:pStyle w:val="53BheadHeadingsHeadingstyles"/>
      </w:pPr>
      <w:bookmarkStart w:id="144" w:name="_Toc79684555"/>
      <w:r w:rsidRPr="00FE7622">
        <w:t>Other limitations</w:t>
      </w:r>
      <w:bookmarkEnd w:id="144"/>
    </w:p>
    <w:p w14:paraId="28D6F00F" w14:textId="4E230233" w:rsidR="00F026E8" w:rsidRPr="00FE7622" w:rsidRDefault="00F026E8" w:rsidP="00FB20FE">
      <w:pPr>
        <w:pStyle w:val="602TextfoTextstylesTextstyles"/>
        <w:rPr>
          <w:color w:val="auto"/>
        </w:rPr>
      </w:pPr>
      <w:r w:rsidRPr="00FE7622">
        <w:rPr>
          <w:color w:val="auto"/>
        </w:rPr>
        <w:t>The key limitation of this trial was that we were unable to recruit the original target population size of 440 participants. This sample size was calculated using a conservative 0.5</w:t>
      </w:r>
      <w:r w:rsidR="00C44919" w:rsidRPr="00FE7622">
        <w:rPr>
          <w:color w:val="auto"/>
        </w:rPr>
        <w:t>-</w:t>
      </w:r>
      <w:r w:rsidRPr="00FE7622">
        <w:rPr>
          <w:color w:val="auto"/>
        </w:rPr>
        <w:t xml:space="preserve">point difference in the </w:t>
      </w:r>
      <w:r w:rsidRPr="00842651">
        <w:rPr>
          <w:color w:val="auto"/>
        </w:rPr>
        <w:t>SPPB</w:t>
      </w:r>
      <w:r w:rsidRPr="00FE7622">
        <w:rPr>
          <w:color w:val="auto"/>
        </w:rPr>
        <w:t xml:space="preserve"> as the minimum clinically important difference. The original sample size calculation was also conservative in that it did not factor in the increased statistical power inherent in the repeated measures analysis </w:t>
      </w:r>
      <w:r w:rsidR="00902B54" w:rsidRPr="00FE7622">
        <w:rPr>
          <w:color w:val="auto"/>
        </w:rPr>
        <w:t>that</w:t>
      </w:r>
      <w:r w:rsidRPr="00FE7622">
        <w:rPr>
          <w:color w:val="auto"/>
        </w:rPr>
        <w:t xml:space="preserve"> was used. Nevertheless, the sample size and</w:t>
      </w:r>
      <w:r w:rsidR="00902B54" w:rsidRPr="00FE7622">
        <w:rPr>
          <w:color w:val="auto"/>
        </w:rPr>
        <w:t>,</w:t>
      </w:r>
      <w:r w:rsidRPr="00FE7622">
        <w:rPr>
          <w:color w:val="auto"/>
        </w:rPr>
        <w:t xml:space="preserve"> consequently</w:t>
      </w:r>
      <w:r w:rsidR="00902B54" w:rsidRPr="00FE7622">
        <w:rPr>
          <w:color w:val="auto"/>
        </w:rPr>
        <w:t>,</w:t>
      </w:r>
      <w:r w:rsidRPr="00FE7622">
        <w:rPr>
          <w:color w:val="auto"/>
        </w:rPr>
        <w:t xml:space="preserve"> the 95% </w:t>
      </w:r>
      <w:r w:rsidR="00902B54" w:rsidRPr="00842651">
        <w:rPr>
          <w:color w:val="auto"/>
        </w:rPr>
        <w:t>CIs</w:t>
      </w:r>
      <w:r w:rsidRPr="00FE7622">
        <w:rPr>
          <w:color w:val="auto"/>
        </w:rPr>
        <w:t xml:space="preserve"> were insufficiently narrow to confidently exclude the </w:t>
      </w:r>
      <w:r w:rsidR="00100A5B" w:rsidRPr="00842651">
        <w:rPr>
          <w:color w:val="auto"/>
        </w:rPr>
        <w:t>MCID</w:t>
      </w:r>
      <w:r w:rsidRPr="00FE7622">
        <w:rPr>
          <w:color w:val="auto"/>
        </w:rPr>
        <w:t xml:space="preserve"> of 0.5 points in the </w:t>
      </w:r>
      <w:r w:rsidRPr="00842651">
        <w:rPr>
          <w:color w:val="auto"/>
        </w:rPr>
        <w:t>SPPB</w:t>
      </w:r>
      <w:r w:rsidRPr="00FE7622">
        <w:rPr>
          <w:color w:val="auto"/>
        </w:rPr>
        <w:t xml:space="preserve">, but the trial analysis and meta-analysis </w:t>
      </w:r>
      <w:r w:rsidR="00902B54" w:rsidRPr="00FE7622">
        <w:rPr>
          <w:color w:val="auto"/>
        </w:rPr>
        <w:t>were</w:t>
      </w:r>
      <w:r w:rsidRPr="00FE7622">
        <w:rPr>
          <w:color w:val="auto"/>
        </w:rPr>
        <w:t xml:space="preserve"> more adequately powered to exclude a larger difference of </w:t>
      </w:r>
      <w:r w:rsidR="0041164A" w:rsidRPr="00FE7622">
        <w:rPr>
          <w:color w:val="auto"/>
        </w:rPr>
        <w:t>1</w:t>
      </w:r>
      <w:r w:rsidRPr="00FE7622">
        <w:rPr>
          <w:color w:val="auto"/>
        </w:rPr>
        <w:t xml:space="preserve"> point</w:t>
      </w:r>
      <w:r w:rsidR="00902B54" w:rsidRPr="00FE7622">
        <w:rPr>
          <w:color w:val="auto"/>
        </w:rPr>
        <w:t>,</w:t>
      </w:r>
      <w:r w:rsidRPr="00FE7622">
        <w:rPr>
          <w:color w:val="auto"/>
        </w:rPr>
        <w:t xml:space="preserve"> which has been suggested as the </w:t>
      </w:r>
      <w:r w:rsidRPr="00842651">
        <w:rPr>
          <w:color w:val="auto"/>
        </w:rPr>
        <w:t>MCID</w:t>
      </w:r>
      <w:r w:rsidRPr="00FE7622">
        <w:rPr>
          <w:color w:val="auto"/>
        </w:rPr>
        <w:t xml:space="preserve"> by other researchers.</w:t>
      </w:r>
    </w:p>
    <w:p w14:paraId="58C42B51" w14:textId="6270AC8F" w:rsidR="00F026E8" w:rsidRPr="00FE7622" w:rsidRDefault="00F026E8" w:rsidP="00FB20FE">
      <w:pPr>
        <w:pStyle w:val="602TextfoTextstylesTextstyles"/>
        <w:rPr>
          <w:color w:val="auto"/>
        </w:rPr>
      </w:pPr>
      <w:r w:rsidRPr="00FE7622">
        <w:rPr>
          <w:color w:val="auto"/>
        </w:rPr>
        <w:t xml:space="preserve">Adherence to perindopril was lower than adherence to placebo, in part because of side effects </w:t>
      </w:r>
      <w:r w:rsidR="002D4467" w:rsidRPr="00FE7622">
        <w:rPr>
          <w:color w:val="auto"/>
        </w:rPr>
        <w:t xml:space="preserve">of perindropil </w:t>
      </w:r>
      <w:r w:rsidRPr="00FE7622">
        <w:rPr>
          <w:color w:val="auto"/>
        </w:rPr>
        <w:t xml:space="preserve">prompting </w:t>
      </w:r>
      <w:r w:rsidR="005A26E2" w:rsidRPr="00FE7622">
        <w:rPr>
          <w:color w:val="auto"/>
        </w:rPr>
        <w:t xml:space="preserve">the </w:t>
      </w:r>
      <w:r w:rsidRPr="00FE7622">
        <w:rPr>
          <w:color w:val="auto"/>
        </w:rPr>
        <w:t>discontinuation of treatment. Although this is likely to have diluted the treatment effect, adherence to perindopril is higher than would be expected in clinical practice when perindopril is used as an antihypertensive; adherence to antihypertensives is poor</w:t>
      </w:r>
      <w:r w:rsidR="00E43C47" w:rsidRPr="00FE7622">
        <w:rPr>
          <w:color w:val="auto"/>
        </w:rPr>
        <w:t>,</w:t>
      </w:r>
      <w:r w:rsidRPr="00FE7622">
        <w:rPr>
          <w:color w:val="auto"/>
        </w:rPr>
        <w:t xml:space="preserve"> with discontinuation rates of </w:t>
      </w:r>
      <w:r w:rsidR="00E43C47" w:rsidRPr="00FE7622">
        <w:rPr>
          <w:color w:val="auto"/>
        </w:rPr>
        <w:t>≥ </w:t>
      </w:r>
      <w:r w:rsidRPr="00FE7622">
        <w:rPr>
          <w:color w:val="auto"/>
        </w:rPr>
        <w:t>50%.</w:t>
      </w:r>
      <w:r w:rsidR="00E038BF" w:rsidRPr="00FE7622">
        <w:rPr>
          <w:color w:val="auto"/>
          <w:vertAlign w:val="superscript"/>
        </w:rPr>
        <w:t>93</w:t>
      </w:r>
      <w:r w:rsidRPr="00FE7622">
        <w:rPr>
          <w:color w:val="auto"/>
        </w:rPr>
        <w:t xml:space="preserve"> Our results are likely</w:t>
      </w:r>
      <w:r w:rsidR="00E43C47" w:rsidRPr="00FE7622">
        <w:rPr>
          <w:color w:val="auto"/>
        </w:rPr>
        <w:t>,</w:t>
      </w:r>
      <w:r w:rsidRPr="00FE7622">
        <w:rPr>
          <w:color w:val="auto"/>
        </w:rPr>
        <w:t xml:space="preserve"> therefore</w:t>
      </w:r>
      <w:r w:rsidR="00E43C47" w:rsidRPr="00FE7622">
        <w:rPr>
          <w:color w:val="auto"/>
        </w:rPr>
        <w:t>,</w:t>
      </w:r>
      <w:r w:rsidRPr="00FE7622">
        <w:rPr>
          <w:color w:val="auto"/>
        </w:rPr>
        <w:t xml:space="preserve"> to give a realistic estimate of what might be achievable in routine clinical practice </w:t>
      </w:r>
      <w:r w:rsidR="00E43C47" w:rsidRPr="00FE7622">
        <w:rPr>
          <w:color w:val="auto"/>
        </w:rPr>
        <w:t>were</w:t>
      </w:r>
      <w:r w:rsidRPr="00FE7622">
        <w:rPr>
          <w:color w:val="auto"/>
        </w:rPr>
        <w:t xml:space="preserve"> </w:t>
      </w:r>
      <w:r w:rsidRPr="00842651">
        <w:rPr>
          <w:color w:val="auto"/>
        </w:rPr>
        <w:t>ACEi</w:t>
      </w:r>
      <w:r w:rsidRPr="00FE7622">
        <w:rPr>
          <w:color w:val="auto"/>
        </w:rPr>
        <w:t xml:space="preserve"> to be used as agents </w:t>
      </w:r>
      <w:r w:rsidR="00E43C47" w:rsidRPr="00FE7622">
        <w:rPr>
          <w:color w:val="auto"/>
        </w:rPr>
        <w:t>for</w:t>
      </w:r>
      <w:r w:rsidRPr="00FE7622">
        <w:rPr>
          <w:color w:val="auto"/>
        </w:rPr>
        <w:t xml:space="preserve"> treat</w:t>
      </w:r>
      <w:r w:rsidR="00E43C47" w:rsidRPr="00FE7622">
        <w:rPr>
          <w:color w:val="auto"/>
        </w:rPr>
        <w:t>ing</w:t>
      </w:r>
      <w:r w:rsidRPr="00FE7622">
        <w:rPr>
          <w:color w:val="auto"/>
        </w:rPr>
        <w:t xml:space="preserve"> sarcopenia. Similarly, although leucine adherence was not optimal, it is unlikely that perfect adherence could be achieved in clinical practi</w:t>
      </w:r>
      <w:r w:rsidR="00572F8D" w:rsidRPr="00FE7622">
        <w:rPr>
          <w:color w:val="auto"/>
        </w:rPr>
        <w:t>c</w:t>
      </w:r>
      <w:r w:rsidRPr="00FE7622">
        <w:rPr>
          <w:color w:val="auto"/>
        </w:rPr>
        <w:t xml:space="preserve">e. Although we selected a dose </w:t>
      </w:r>
      <w:r w:rsidR="00572F8D" w:rsidRPr="00FE7622">
        <w:rPr>
          <w:color w:val="auto"/>
        </w:rPr>
        <w:t xml:space="preserve">of leucine </w:t>
      </w:r>
      <w:r w:rsidRPr="00FE7622">
        <w:rPr>
          <w:color w:val="auto"/>
        </w:rPr>
        <w:t xml:space="preserve">of 2.5 g three times </w:t>
      </w:r>
      <w:r w:rsidR="00C44919" w:rsidRPr="00FE7622">
        <w:rPr>
          <w:color w:val="auto"/>
        </w:rPr>
        <w:t>per</w:t>
      </w:r>
      <w:r w:rsidRPr="00FE7622">
        <w:rPr>
          <w:color w:val="auto"/>
        </w:rPr>
        <w:t xml:space="preserve"> day, this was based on muscle protein synthesis studies in healthy older people, and it is also possible that higher doses of leucine are required in people with sarcopenia to overcome anabolic resistance effectively in this group.</w:t>
      </w:r>
    </w:p>
    <w:p w14:paraId="78BEA148" w14:textId="0B1C3D1C" w:rsidR="00F026E8" w:rsidRPr="00FE7622" w:rsidRDefault="00F026E8" w:rsidP="00FB20FE">
      <w:pPr>
        <w:pStyle w:val="602TextfoTextstylesTextstyles"/>
        <w:rPr>
          <w:color w:val="auto"/>
        </w:rPr>
      </w:pPr>
      <w:r w:rsidRPr="00FE7622">
        <w:rPr>
          <w:color w:val="auto"/>
        </w:rPr>
        <w:t>Analysis of the biomarkers analysis is also complicated by the presence of multiple subgroups in the study acting as confounders. For example, because of the size of the trial, the current analysis looks at both sexes together</w:t>
      </w:r>
      <w:r w:rsidR="00B322E6" w:rsidRPr="00FE7622">
        <w:rPr>
          <w:color w:val="auto"/>
        </w:rPr>
        <w:t>,</w:t>
      </w:r>
      <w:r w:rsidRPr="00FE7622">
        <w:rPr>
          <w:color w:val="auto"/>
        </w:rPr>
        <w:t xml:space="preserve"> even though the relative muscle mass and strength differ, and different groups of individuals received different treatments</w:t>
      </w:r>
      <w:r w:rsidR="00B322E6" w:rsidRPr="00FE7622">
        <w:rPr>
          <w:color w:val="auto"/>
        </w:rPr>
        <w:t>,</w:t>
      </w:r>
      <w:r w:rsidRPr="00FE7622">
        <w:rPr>
          <w:color w:val="auto"/>
        </w:rPr>
        <w:t xml:space="preserve"> which may increase variance in the data set. Related to this, different measures of physical performance reflect different aspects of skeletal muscle function, and it is likely that some of the differences in associations between biomarkers and measures of physical performance may also reflect these differences in the aspects of muscle function that are </w:t>
      </w:r>
      <w:r w:rsidR="00B322E6" w:rsidRPr="00FE7622">
        <w:rPr>
          <w:color w:val="auto"/>
        </w:rPr>
        <w:t>assessed using</w:t>
      </w:r>
      <w:r w:rsidRPr="00FE7622">
        <w:rPr>
          <w:color w:val="auto"/>
        </w:rPr>
        <w:t xml:space="preserve"> different measures of physical performance. </w:t>
      </w:r>
      <w:r w:rsidR="00ED1E83" w:rsidRPr="00FE7622">
        <w:rPr>
          <w:color w:val="auto"/>
        </w:rPr>
        <w:t>A s</w:t>
      </w:r>
      <w:r w:rsidRPr="00FE7622">
        <w:rPr>
          <w:color w:val="auto"/>
        </w:rPr>
        <w:t>eparate analysis of subgroups may therefore still identify biomarkers of potential importance and will form part of the ongoing work, and this work will be augmented by further sequencing analyses that may also identify novel biomarkers of muscle mass or susceptibility to loss. It should be emphasised that the biomarker analyses are exploratory by nature, and that any findings would need to be subject to confirmatory analyses in a different cohort of patients.</w:t>
      </w:r>
    </w:p>
    <w:p w14:paraId="5269BB18" w14:textId="66676251" w:rsidR="00E038BF" w:rsidRPr="00FE7622" w:rsidRDefault="00E038BF" w:rsidP="00FB20FE">
      <w:pPr>
        <w:pStyle w:val="52AheadHeadingsHeadingstyles"/>
      </w:pPr>
      <w:bookmarkStart w:id="145" w:name="_Toc79684556"/>
      <w:r w:rsidRPr="00FE7622">
        <w:t>Strengths</w:t>
      </w:r>
      <w:bookmarkEnd w:id="145"/>
    </w:p>
    <w:p w14:paraId="24052904" w14:textId="1798DAB8" w:rsidR="00F026E8" w:rsidRPr="00FE7622" w:rsidRDefault="00E038BF" w:rsidP="00FB20FE">
      <w:pPr>
        <w:pStyle w:val="602TextfoTextstylesTextstyles"/>
        <w:rPr>
          <w:color w:val="auto"/>
        </w:rPr>
      </w:pPr>
      <w:r w:rsidRPr="00E038BF">
        <w:rPr>
          <w:color w:val="FF00FF"/>
          <w:sz w:val="24"/>
        </w:rPr>
        <w:t>[27]</w:t>
      </w:r>
      <w:commentRangeStart w:id="146"/>
      <w:r w:rsidR="00F026E8" w:rsidRPr="00FE7622">
        <w:rPr>
          <w:color w:val="auto"/>
        </w:rPr>
        <w:t>T</w:t>
      </w:r>
      <w:r w:rsidR="00D77563" w:rsidRPr="00FE7622">
        <w:rPr>
          <w:color w:val="auto"/>
        </w:rPr>
        <w:t>o our knowledge, t</w:t>
      </w:r>
      <w:r w:rsidR="00F026E8" w:rsidRPr="00FE7622">
        <w:rPr>
          <w:color w:val="auto"/>
        </w:rPr>
        <w:t xml:space="preserve">he </w:t>
      </w:r>
      <w:r w:rsidR="00F026E8" w:rsidRPr="00842651">
        <w:rPr>
          <w:color w:val="auto"/>
        </w:rPr>
        <w:t>LACE</w:t>
      </w:r>
      <w:r w:rsidR="00F026E8" w:rsidRPr="00FE7622">
        <w:rPr>
          <w:color w:val="auto"/>
        </w:rPr>
        <w:t xml:space="preserve"> trial is one of the few trials to have been designed specifically to recruit older people with sarcopenia</w:t>
      </w:r>
      <w:r w:rsidR="00F20C35" w:rsidRPr="00FE7622">
        <w:rPr>
          <w:color w:val="auto"/>
        </w:rPr>
        <w:t>,</w:t>
      </w:r>
      <w:r w:rsidR="00F026E8" w:rsidRPr="00FE7622">
        <w:rPr>
          <w:color w:val="auto"/>
        </w:rPr>
        <w:t xml:space="preserve"> and</w:t>
      </w:r>
      <w:r w:rsidR="00F20C35" w:rsidRPr="00FE7622">
        <w:rPr>
          <w:color w:val="auto"/>
        </w:rPr>
        <w:t xml:space="preserve"> it</w:t>
      </w:r>
      <w:r w:rsidR="00F026E8" w:rsidRPr="00FE7622">
        <w:rPr>
          <w:color w:val="auto"/>
        </w:rPr>
        <w:t xml:space="preserve"> is one of very few multicentre randomised controlled sarcopenia trials. </w:t>
      </w:r>
      <w:commentRangeEnd w:id="146"/>
      <w:r w:rsidR="00344843" w:rsidRPr="00FE7622">
        <w:rPr>
          <w:rStyle w:val="CommentReference"/>
          <w:rFonts w:ascii="Times New Roman" w:hAnsi="Times New Roman" w:cs="Times New Roman"/>
          <w:color w:val="auto"/>
          <w:lang w:val="en-US"/>
        </w:rPr>
        <w:commentReference w:id="146"/>
      </w:r>
      <w:r w:rsidR="00344843" w:rsidRPr="00FE7622">
        <w:rPr>
          <w:color w:val="auto"/>
        </w:rPr>
        <w:t>‘</w:t>
      </w:r>
      <w:r w:rsidR="00F026E8" w:rsidRPr="00FE7622">
        <w:rPr>
          <w:color w:val="auto"/>
        </w:rPr>
        <w:t xml:space="preserve">The </w:t>
      </w:r>
      <w:r w:rsidR="00F026E8" w:rsidRPr="00842651">
        <w:rPr>
          <w:color w:val="auto"/>
        </w:rPr>
        <w:t>LACE</w:t>
      </w:r>
      <w:r w:rsidR="00F026E8" w:rsidRPr="00FE7622">
        <w:rPr>
          <w:color w:val="auto"/>
        </w:rPr>
        <w:t xml:space="preserve"> programme was able to deliver important learning on how to screen, identify and recruit patients with sarcopenia for future trials; this trials methodology learning is crucial if academic and commercial partners are to successfully deliver such trials in future. The trial population recruited had high levels of comorbidity and poor physical performance, and the population was thus representative of patients typically seen in both primary care and secondary care </w:t>
      </w:r>
      <w:r w:rsidR="00F20C35" w:rsidRPr="00FE7622">
        <w:rPr>
          <w:color w:val="auto"/>
        </w:rPr>
        <w:t xml:space="preserve">older people’s medicine </w:t>
      </w:r>
      <w:r w:rsidR="00F026E8" w:rsidRPr="00FE7622">
        <w:rPr>
          <w:color w:val="auto"/>
        </w:rPr>
        <w:t>services</w:t>
      </w:r>
      <w:r w:rsidR="00F20C35" w:rsidRPr="00FE7622">
        <w:rPr>
          <w:color w:val="auto"/>
        </w:rPr>
        <w:t>,</w:t>
      </w:r>
      <w:r w:rsidR="00F026E8" w:rsidRPr="00FE7622">
        <w:rPr>
          <w:color w:val="auto"/>
        </w:rPr>
        <w:t xml:space="preserve"> both</w:t>
      </w:r>
      <w:r w:rsidR="00F20C35" w:rsidRPr="00FE7622">
        <w:rPr>
          <w:color w:val="auto"/>
        </w:rPr>
        <w:t xml:space="preserve"> of which are</w:t>
      </w:r>
      <w:r w:rsidR="00F026E8" w:rsidRPr="00FE7622">
        <w:rPr>
          <w:color w:val="auto"/>
        </w:rPr>
        <w:t xml:space="preserve"> key services for the detection and treatment of sarcopenia. Other important strengths include the </w:t>
      </w:r>
      <w:r w:rsidR="00F20C35" w:rsidRPr="00FE7622">
        <w:rPr>
          <w:color w:val="auto"/>
        </w:rPr>
        <w:t>1-</w:t>
      </w:r>
      <w:r w:rsidR="00F026E8" w:rsidRPr="00FE7622">
        <w:rPr>
          <w:color w:val="auto"/>
        </w:rPr>
        <w:t>year follow</w:t>
      </w:r>
      <w:r w:rsidR="00F20C35" w:rsidRPr="00FE7622">
        <w:rPr>
          <w:color w:val="auto"/>
        </w:rPr>
        <w:t>-</w:t>
      </w:r>
      <w:r w:rsidR="00F026E8" w:rsidRPr="00FE7622">
        <w:rPr>
          <w:color w:val="auto"/>
        </w:rPr>
        <w:t>up</w:t>
      </w:r>
      <w:r w:rsidR="00F20C35" w:rsidRPr="00FE7622">
        <w:rPr>
          <w:color w:val="auto"/>
        </w:rPr>
        <w:t>,</w:t>
      </w:r>
      <w:r w:rsidR="00F026E8" w:rsidRPr="00FE7622">
        <w:rPr>
          <w:color w:val="auto"/>
        </w:rPr>
        <w:t xml:space="preserve"> which is longer than used in most sarcopenia trials to date, and the comprehensive set of outcome measures</w:t>
      </w:r>
      <w:r w:rsidR="00F20C35" w:rsidRPr="00FE7622">
        <w:rPr>
          <w:color w:val="auto"/>
        </w:rPr>
        <w:t>,</w:t>
      </w:r>
      <w:r w:rsidR="00F026E8" w:rsidRPr="00FE7622">
        <w:rPr>
          <w:color w:val="auto"/>
        </w:rPr>
        <w:t xml:space="preserve"> including both measures of physical performance and measures such as quality of life that are importan</w:t>
      </w:r>
      <w:r w:rsidR="00F20C35" w:rsidRPr="00FE7622">
        <w:rPr>
          <w:color w:val="auto"/>
        </w:rPr>
        <w:t xml:space="preserve">t </w:t>
      </w:r>
      <w:r w:rsidR="00F026E8" w:rsidRPr="00FE7622">
        <w:rPr>
          <w:color w:val="auto"/>
        </w:rPr>
        <w:t>to patients.</w:t>
      </w:r>
      <w:r w:rsidRPr="00FE7622">
        <w:rPr>
          <w:color w:val="auto"/>
          <w:vertAlign w:val="superscript"/>
        </w:rPr>
        <w:t>94</w:t>
      </w:r>
      <w:r w:rsidR="00F026E8" w:rsidRPr="00FE7622">
        <w:rPr>
          <w:color w:val="auto"/>
        </w:rPr>
        <w:t xml:space="preserve"> In addition, the extensive set of biomarkers collected in the </w:t>
      </w:r>
      <w:r w:rsidR="00F026E8" w:rsidRPr="00842651">
        <w:rPr>
          <w:color w:val="auto"/>
        </w:rPr>
        <w:t>LACE</w:t>
      </w:r>
      <w:r w:rsidR="00F026E8" w:rsidRPr="00FE7622">
        <w:rPr>
          <w:color w:val="auto"/>
        </w:rPr>
        <w:t xml:space="preserve"> </w:t>
      </w:r>
      <w:r w:rsidR="00872CC9" w:rsidRPr="00FE7622">
        <w:rPr>
          <w:color w:val="auto"/>
        </w:rPr>
        <w:t>trial</w:t>
      </w:r>
      <w:r w:rsidR="00F026E8" w:rsidRPr="00FE7622">
        <w:rPr>
          <w:color w:val="auto"/>
        </w:rPr>
        <w:t xml:space="preserve"> provides an important bioresource for further analysis when combined with the data on change in physical performance.</w:t>
      </w:r>
    </w:p>
    <w:p w14:paraId="17B8969D" w14:textId="43F584ED" w:rsidR="00E038BF" w:rsidRPr="00FE7622" w:rsidRDefault="00E038BF" w:rsidP="00FB20FE">
      <w:pPr>
        <w:pStyle w:val="43ChaptertitleHeadingsHeadingstyles"/>
      </w:pPr>
      <w:bookmarkStart w:id="147" w:name="_Toc79684557"/>
      <w:r w:rsidRPr="00FE7622">
        <w:t>Chapter 9</w:t>
      </w:r>
      <w:r w:rsidRPr="00FE7622">
        <w:t> </w:t>
      </w:r>
      <w:r w:rsidRPr="00FE7622">
        <w:t>Conclusions</w:t>
      </w:r>
      <w:bookmarkEnd w:id="147"/>
    </w:p>
    <w:p w14:paraId="1F76D297" w14:textId="77777777" w:rsidR="00E038BF" w:rsidRPr="00FE7622" w:rsidRDefault="00E038BF" w:rsidP="00FB20FE">
      <w:pPr>
        <w:pStyle w:val="52AheadHeadingsHeadingstyles"/>
      </w:pPr>
      <w:bookmarkStart w:id="148" w:name="_Toc79684558"/>
      <w:r w:rsidRPr="00FE7622">
        <w:t>Implications for health care</w:t>
      </w:r>
      <w:bookmarkEnd w:id="148"/>
    </w:p>
    <w:p w14:paraId="10DC62F8" w14:textId="5E0B867B" w:rsidR="00F026E8" w:rsidRPr="00FE7622" w:rsidRDefault="00F026E8" w:rsidP="00FB20FE">
      <w:pPr>
        <w:pStyle w:val="602TextfoTextstylesTextstyles"/>
        <w:rPr>
          <w:color w:val="auto"/>
        </w:rPr>
      </w:pPr>
      <w:r w:rsidRPr="00FE7622">
        <w:rPr>
          <w:color w:val="auto"/>
        </w:rPr>
        <w:t xml:space="preserve">Our findings do not support the use of </w:t>
      </w:r>
      <w:r w:rsidRPr="00842651">
        <w:rPr>
          <w:color w:val="auto"/>
        </w:rPr>
        <w:t>ACEi</w:t>
      </w:r>
      <w:r w:rsidRPr="00FE7622">
        <w:rPr>
          <w:color w:val="auto"/>
        </w:rPr>
        <w:t xml:space="preserve"> such as perindopril as an intervention </w:t>
      </w:r>
      <w:r w:rsidR="00B94381" w:rsidRPr="00FE7622">
        <w:rPr>
          <w:color w:val="auto"/>
        </w:rPr>
        <w:t>for</w:t>
      </w:r>
      <w:r w:rsidRPr="00FE7622">
        <w:rPr>
          <w:color w:val="auto"/>
        </w:rPr>
        <w:t xml:space="preserve"> treat</w:t>
      </w:r>
      <w:r w:rsidR="00B94381" w:rsidRPr="00FE7622">
        <w:rPr>
          <w:color w:val="auto"/>
        </w:rPr>
        <w:t>ing</w:t>
      </w:r>
      <w:r w:rsidRPr="00FE7622">
        <w:rPr>
          <w:color w:val="auto"/>
        </w:rPr>
        <w:t xml:space="preserve"> older people diagnosed with sarcopenia. </w:t>
      </w:r>
      <w:r w:rsidRPr="00842651">
        <w:rPr>
          <w:color w:val="auto"/>
        </w:rPr>
        <w:t>ACEi</w:t>
      </w:r>
      <w:r w:rsidRPr="00FE7622">
        <w:rPr>
          <w:color w:val="auto"/>
        </w:rPr>
        <w:t xml:space="preserve"> are indicated for multiple cardiovascular conditions</w:t>
      </w:r>
      <w:r w:rsidR="00B94381" w:rsidRPr="00FE7622">
        <w:rPr>
          <w:color w:val="auto"/>
        </w:rPr>
        <w:t>,</w:t>
      </w:r>
      <w:r w:rsidRPr="00FE7622">
        <w:rPr>
          <w:color w:val="auto"/>
        </w:rPr>
        <w:t xml:space="preserve"> including hypertension and chronic heart failure, and our findings do not alter these indications; the side-effect profile of perindopril in the </w:t>
      </w:r>
      <w:r w:rsidRPr="00842651">
        <w:rPr>
          <w:color w:val="auto"/>
        </w:rPr>
        <w:t>LACE</w:t>
      </w:r>
      <w:r w:rsidRPr="00FE7622">
        <w:rPr>
          <w:color w:val="auto"/>
        </w:rPr>
        <w:t xml:space="preserve"> trial was consistent with previous findings in very old people. Similarly, our findings do not support the use of leucine as a standalone intervention </w:t>
      </w:r>
      <w:r w:rsidR="00023424" w:rsidRPr="00FE7622">
        <w:rPr>
          <w:color w:val="auto"/>
        </w:rPr>
        <w:t>for</w:t>
      </w:r>
      <w:r w:rsidRPr="00FE7622">
        <w:rPr>
          <w:color w:val="auto"/>
        </w:rPr>
        <w:t xml:space="preserve"> treat</w:t>
      </w:r>
      <w:r w:rsidR="00023424" w:rsidRPr="00FE7622">
        <w:rPr>
          <w:color w:val="auto"/>
        </w:rPr>
        <w:t>ing</w:t>
      </w:r>
      <w:r w:rsidRPr="00FE7622">
        <w:rPr>
          <w:color w:val="auto"/>
        </w:rPr>
        <w:t xml:space="preserve"> older people diagnosed with sarcopenia. It is not possible to draw conclusions </w:t>
      </w:r>
      <w:r w:rsidR="00023424" w:rsidRPr="00FE7622">
        <w:rPr>
          <w:color w:val="auto"/>
        </w:rPr>
        <w:t xml:space="preserve">from our findings </w:t>
      </w:r>
      <w:r w:rsidRPr="00FE7622">
        <w:rPr>
          <w:color w:val="auto"/>
        </w:rPr>
        <w:t xml:space="preserve">about whether leucine has a role as part of a complex nutritional intervention or as an adjunct to resistance training. Current evidence supports resistance training as an efficacious intervention </w:t>
      </w:r>
      <w:r w:rsidR="00023424" w:rsidRPr="00FE7622">
        <w:rPr>
          <w:color w:val="auto"/>
        </w:rPr>
        <w:t>for</w:t>
      </w:r>
      <w:r w:rsidRPr="00FE7622">
        <w:rPr>
          <w:color w:val="auto"/>
        </w:rPr>
        <w:t xml:space="preserve"> improv</w:t>
      </w:r>
      <w:r w:rsidR="00023424" w:rsidRPr="00FE7622">
        <w:rPr>
          <w:color w:val="auto"/>
        </w:rPr>
        <w:t>ing</w:t>
      </w:r>
      <w:r w:rsidRPr="00FE7622">
        <w:rPr>
          <w:color w:val="auto"/>
        </w:rPr>
        <w:t xml:space="preserve"> physical function in older people with sarcopenia,</w:t>
      </w:r>
      <w:r w:rsidR="00E038BF" w:rsidRPr="00FE7622">
        <w:rPr>
          <w:color w:val="auto"/>
          <w:vertAlign w:val="superscript"/>
        </w:rPr>
        <w:t>3</w:t>
      </w:r>
      <w:r w:rsidRPr="00FE7622">
        <w:rPr>
          <w:color w:val="auto"/>
        </w:rPr>
        <w:t xml:space="preserve"> and our results do not change these findings.</w:t>
      </w:r>
    </w:p>
    <w:p w14:paraId="31026B0F" w14:textId="03D0C45B" w:rsidR="00E038BF" w:rsidRPr="00FE7622" w:rsidRDefault="00E038BF" w:rsidP="00FB20FE">
      <w:pPr>
        <w:pStyle w:val="52AheadHeadingsHeadingstyles"/>
      </w:pPr>
      <w:bookmarkStart w:id="149" w:name="_Toc79684559"/>
      <w:r w:rsidRPr="00FE7622">
        <w:t>Suggestions for further research</w:t>
      </w:r>
      <w:bookmarkEnd w:id="149"/>
    </w:p>
    <w:p w14:paraId="7592E9A0" w14:textId="05D92907" w:rsidR="00F026E8" w:rsidRPr="00FE7622" w:rsidRDefault="00F026E8" w:rsidP="00FB20FE">
      <w:pPr>
        <w:pStyle w:val="602TextfoTextstylesTextstyles"/>
        <w:rPr>
          <w:color w:val="auto"/>
        </w:rPr>
      </w:pPr>
      <w:r w:rsidRPr="00FE7622">
        <w:rPr>
          <w:color w:val="auto"/>
        </w:rPr>
        <w:t>Our programme of work has highlighted a number of avenues for further study in this rapidly evolving field:</w:t>
      </w:r>
    </w:p>
    <w:p w14:paraId="2019A014" w14:textId="38439AA5" w:rsidR="00F026E8" w:rsidRPr="00FE7622" w:rsidRDefault="00F026E8" w:rsidP="00FB20FE">
      <w:pPr>
        <w:pStyle w:val="611BulletlistTextstyles"/>
        <w:rPr>
          <w:color w:val="auto"/>
        </w:rPr>
      </w:pPr>
      <w:r w:rsidRPr="00FE7622">
        <w:rPr>
          <w:color w:val="auto"/>
        </w:rPr>
        <w:t xml:space="preserve">Trials are needed to test whether leucine could benefit </w:t>
      </w:r>
      <w:r w:rsidR="00B94381" w:rsidRPr="00FE7622">
        <w:rPr>
          <w:color w:val="auto"/>
        </w:rPr>
        <w:t xml:space="preserve">subgroups of </w:t>
      </w:r>
      <w:r w:rsidRPr="00FE7622">
        <w:rPr>
          <w:color w:val="auto"/>
        </w:rPr>
        <w:t>patient</w:t>
      </w:r>
      <w:r w:rsidR="00B94381" w:rsidRPr="00FE7622">
        <w:rPr>
          <w:color w:val="auto"/>
        </w:rPr>
        <w:t>s</w:t>
      </w:r>
      <w:r w:rsidRPr="00FE7622">
        <w:rPr>
          <w:color w:val="auto"/>
        </w:rPr>
        <w:t xml:space="preserve"> with low muscle mass and/or low protein intake. In addition, trials comparing the effect of leucine as an adjunct to resistance training, and trials comparing protein supplementation plus leucine with protein supplementation alone and no increase to protein intake</w:t>
      </w:r>
      <w:r w:rsidR="00B94381" w:rsidRPr="00FE7622">
        <w:rPr>
          <w:color w:val="auto"/>
        </w:rPr>
        <w:t>,</w:t>
      </w:r>
      <w:r w:rsidRPr="00FE7622">
        <w:rPr>
          <w:color w:val="auto"/>
        </w:rPr>
        <w:t xml:space="preserve"> would help to delineate the role (if any) </w:t>
      </w:r>
      <w:r w:rsidR="00B94381" w:rsidRPr="00FE7622">
        <w:rPr>
          <w:color w:val="auto"/>
        </w:rPr>
        <w:t>of</w:t>
      </w:r>
      <w:r w:rsidRPr="00FE7622">
        <w:rPr>
          <w:color w:val="auto"/>
        </w:rPr>
        <w:t xml:space="preserve"> leucine as a treatment for sarcopenia. Individual-participant meta-analyses may also be able to resolve this issue.</w:t>
      </w:r>
    </w:p>
    <w:p w14:paraId="121EE9F9" w14:textId="613D8569" w:rsidR="00F026E8" w:rsidRPr="00FE7622" w:rsidRDefault="00F026E8" w:rsidP="00FB20FE">
      <w:pPr>
        <w:pStyle w:val="611BulletlistTextstyles"/>
        <w:rPr>
          <w:color w:val="auto"/>
        </w:rPr>
      </w:pPr>
      <w:r w:rsidRPr="00FE7622">
        <w:rPr>
          <w:color w:val="auto"/>
        </w:rPr>
        <w:t xml:space="preserve">Further exploration of the </w:t>
      </w:r>
      <w:r w:rsidRPr="00842651">
        <w:rPr>
          <w:color w:val="auto"/>
        </w:rPr>
        <w:t>LACE</w:t>
      </w:r>
      <w:r w:rsidRPr="00FE7622">
        <w:rPr>
          <w:color w:val="auto"/>
        </w:rPr>
        <w:t xml:space="preserve"> </w:t>
      </w:r>
      <w:r w:rsidR="00CE15B0" w:rsidRPr="00FE7622">
        <w:rPr>
          <w:color w:val="auto"/>
        </w:rPr>
        <w:t xml:space="preserve">trial </w:t>
      </w:r>
      <w:r w:rsidRPr="00FE7622">
        <w:rPr>
          <w:color w:val="auto"/>
        </w:rPr>
        <w:t>data set to yield information on clusters of biomarkers that may predict disease trajectory and identify possible responder subgroups for future intervention studies.</w:t>
      </w:r>
    </w:p>
    <w:p w14:paraId="4702AC9B" w14:textId="6DD4BC97" w:rsidR="00F026E8" w:rsidRPr="00FE7622" w:rsidRDefault="00F026E8" w:rsidP="00FB20FE">
      <w:pPr>
        <w:pStyle w:val="614TextbulletlistlastTextstylesTextstyles"/>
        <w:rPr>
          <w:color w:val="auto"/>
        </w:rPr>
      </w:pPr>
      <w:r w:rsidRPr="00FE7622">
        <w:rPr>
          <w:color w:val="auto"/>
        </w:rPr>
        <w:t xml:space="preserve">Blood-based biomarkers that can be used to easily confirm a diagnosis of sarcopenia should continue </w:t>
      </w:r>
      <w:r w:rsidR="003765CD" w:rsidRPr="00FE7622">
        <w:rPr>
          <w:color w:val="auto"/>
        </w:rPr>
        <w:t xml:space="preserve">to </w:t>
      </w:r>
      <w:r w:rsidRPr="00FE7622">
        <w:rPr>
          <w:color w:val="auto"/>
        </w:rPr>
        <w:t>be sought</w:t>
      </w:r>
      <w:r w:rsidR="0093329A" w:rsidRPr="00FE7622">
        <w:rPr>
          <w:color w:val="auto"/>
        </w:rPr>
        <w:t>,</w:t>
      </w:r>
      <w:r w:rsidRPr="00FE7622">
        <w:rPr>
          <w:color w:val="auto"/>
        </w:rPr>
        <w:t xml:space="preserve"> particularly </w:t>
      </w:r>
      <w:r w:rsidR="0093329A" w:rsidRPr="00FE7622">
        <w:rPr>
          <w:color w:val="auto"/>
        </w:rPr>
        <w:t>those</w:t>
      </w:r>
      <w:r w:rsidRPr="00FE7622">
        <w:rPr>
          <w:color w:val="auto"/>
        </w:rPr>
        <w:t xml:space="preserve"> that can replace the need to measure muscle mass. Muscle mass measurement is a major impediment to confirming a diagnosis of sarcopenia in clinical practice, and the need to do </w:t>
      </w:r>
      <w:r w:rsidR="0093329A" w:rsidRPr="00FE7622">
        <w:rPr>
          <w:color w:val="auto"/>
        </w:rPr>
        <w:t>this</w:t>
      </w:r>
      <w:r w:rsidRPr="00FE7622">
        <w:rPr>
          <w:color w:val="auto"/>
        </w:rPr>
        <w:t xml:space="preserve"> also makes trial recruitment more difficult. Although current consensus has started to deprioritise muscle mass in diagnostic algorithms for sarcopenia,</w:t>
      </w:r>
      <w:r w:rsidR="00E038BF" w:rsidRPr="00FE7622">
        <w:rPr>
          <w:color w:val="auto"/>
          <w:vertAlign w:val="superscript"/>
        </w:rPr>
        <w:t>79,95</w:t>
      </w:r>
      <w:r w:rsidRPr="00FE7622">
        <w:rPr>
          <w:color w:val="auto"/>
        </w:rPr>
        <w:t xml:space="preserve"> identifying patients with low muscle mass as well as low strength is likely to remain important to identify subgroups likely to benefit from some candidate interventions</w:t>
      </w:r>
      <w:r w:rsidR="00B94381" w:rsidRPr="00FE7622">
        <w:rPr>
          <w:color w:val="auto"/>
        </w:rPr>
        <w:t>,</w:t>
      </w:r>
      <w:r w:rsidRPr="00FE7622">
        <w:rPr>
          <w:color w:val="auto"/>
        </w:rPr>
        <w:t xml:space="preserve"> such as myostatin pathway inhibitors.</w:t>
      </w:r>
      <w:r w:rsidR="00E038BF" w:rsidRPr="00FE7622">
        <w:rPr>
          <w:color w:val="auto"/>
          <w:vertAlign w:val="superscript"/>
        </w:rPr>
        <w:t>96</w:t>
      </w:r>
    </w:p>
    <w:p w14:paraId="4CA48429" w14:textId="1553DBAD" w:rsidR="00F026E8" w:rsidRPr="00FE7622" w:rsidRDefault="00F026E8" w:rsidP="00FB20FE">
      <w:pPr>
        <w:pStyle w:val="602TextfoTextstylesTextstyles"/>
        <w:rPr>
          <w:color w:val="auto"/>
        </w:rPr>
      </w:pPr>
      <w:r w:rsidRPr="00FE7622">
        <w:rPr>
          <w:color w:val="auto"/>
        </w:rPr>
        <w:t>Finally, there is a need to develop novel approaches to sarcopenia trials, such as establish</w:t>
      </w:r>
      <w:r w:rsidR="00215337" w:rsidRPr="00FE7622">
        <w:rPr>
          <w:color w:val="auto"/>
        </w:rPr>
        <w:t>ing</w:t>
      </w:r>
      <w:r w:rsidRPr="00FE7622">
        <w:rPr>
          <w:color w:val="auto"/>
        </w:rPr>
        <w:t xml:space="preserve"> platform trials. </w:t>
      </w:r>
      <w:r w:rsidR="001D0A3C" w:rsidRPr="00FE7622">
        <w:rPr>
          <w:color w:val="auto"/>
        </w:rPr>
        <w:t>The d</w:t>
      </w:r>
      <w:r w:rsidRPr="00FE7622">
        <w:rPr>
          <w:color w:val="auto"/>
        </w:rPr>
        <w:t xml:space="preserve">evelopment of these approaches should build on the knowledge gained in </w:t>
      </w:r>
      <w:r w:rsidR="00215337" w:rsidRPr="00FE7622">
        <w:rPr>
          <w:color w:val="auto"/>
        </w:rPr>
        <w:t xml:space="preserve">the </w:t>
      </w:r>
      <w:r w:rsidRPr="00842651">
        <w:rPr>
          <w:color w:val="auto"/>
        </w:rPr>
        <w:t>LACE</w:t>
      </w:r>
      <w:r w:rsidRPr="00FE7622">
        <w:rPr>
          <w:color w:val="auto"/>
        </w:rPr>
        <w:t xml:space="preserve"> </w:t>
      </w:r>
      <w:r w:rsidR="00215337" w:rsidRPr="00FE7622">
        <w:rPr>
          <w:color w:val="auto"/>
        </w:rPr>
        <w:t>trial of</w:t>
      </w:r>
      <w:r w:rsidRPr="00FE7622">
        <w:rPr>
          <w:color w:val="auto"/>
        </w:rPr>
        <w:t xml:space="preserve"> how to more efficiently find and recruit people with sarcopenia and can utilise the network of UK centres that have gained experience </w:t>
      </w:r>
      <w:r w:rsidR="00215337" w:rsidRPr="00FE7622">
        <w:rPr>
          <w:color w:val="auto"/>
        </w:rPr>
        <w:t xml:space="preserve">of </w:t>
      </w:r>
      <w:r w:rsidRPr="00FE7622">
        <w:rPr>
          <w:color w:val="auto"/>
        </w:rPr>
        <w:t xml:space="preserve">recruiting patients with sarcopenia in </w:t>
      </w:r>
      <w:r w:rsidR="00215337" w:rsidRPr="00FE7622">
        <w:rPr>
          <w:color w:val="auto"/>
        </w:rPr>
        <w:t xml:space="preserve">the </w:t>
      </w:r>
      <w:r w:rsidRPr="00842651">
        <w:rPr>
          <w:color w:val="auto"/>
        </w:rPr>
        <w:t>LACE</w:t>
      </w:r>
      <w:r w:rsidR="00215337" w:rsidRPr="00FE7622">
        <w:rPr>
          <w:color w:val="auto"/>
        </w:rPr>
        <w:t xml:space="preserve"> trial</w:t>
      </w:r>
      <w:r w:rsidRPr="00FE7622">
        <w:rPr>
          <w:color w:val="auto"/>
        </w:rPr>
        <w:t xml:space="preserve">. Such an approach would provide a step-change in our ability to conduct experimental medicine and early-phase clinical trials in sarcopenia, which is essential if advances in our understanding of skeletal muscle pathophysiology are to be translated into human benefit. Work is already under way to develop these approaches, led by the </w:t>
      </w:r>
      <w:r w:rsidRPr="00842651">
        <w:rPr>
          <w:color w:val="auto"/>
        </w:rPr>
        <w:t>NIHR</w:t>
      </w:r>
      <w:r w:rsidRPr="00FE7622">
        <w:rPr>
          <w:color w:val="auto"/>
        </w:rPr>
        <w:t xml:space="preserve"> Newcastle Biomedical Centre via the development of SarcNet – a UK-wide sarcopenia network and registry</w:t>
      </w:r>
      <w:r w:rsidR="00E038BF" w:rsidRPr="00FE7622">
        <w:rPr>
          <w:color w:val="auto"/>
          <w:vertAlign w:val="superscript"/>
        </w:rPr>
        <w:t>97</w:t>
      </w:r>
      <w:r w:rsidRPr="00FE7622">
        <w:rPr>
          <w:color w:val="auto"/>
        </w:rPr>
        <w:t xml:space="preserve"> </w:t>
      </w:r>
      <w:r w:rsidR="00215337" w:rsidRPr="00FE7622">
        <w:rPr>
          <w:color w:val="auto"/>
        </w:rPr>
        <w:t xml:space="preserve">– </w:t>
      </w:r>
      <w:r w:rsidRPr="00FE7622">
        <w:rPr>
          <w:color w:val="auto"/>
        </w:rPr>
        <w:t>and other initiatives.</w:t>
      </w:r>
    </w:p>
    <w:p w14:paraId="5E6EE82B" w14:textId="77777777" w:rsidR="00F026E8" w:rsidRPr="00FE7622" w:rsidRDefault="00F026E8" w:rsidP="002C092A">
      <w:pPr>
        <w:pStyle w:val="43PrelimtitleHeadingsHeadingstyles"/>
      </w:pPr>
      <w:bookmarkStart w:id="150" w:name="_Toc79684560"/>
      <w:r w:rsidRPr="00FE7622">
        <w:t>Acknowledgements</w:t>
      </w:r>
      <w:bookmarkEnd w:id="150"/>
    </w:p>
    <w:p w14:paraId="720E4FB4" w14:textId="4678B707" w:rsidR="00E038BF" w:rsidRPr="00FE7622" w:rsidRDefault="00E038BF" w:rsidP="002C092A">
      <w:pPr>
        <w:pStyle w:val="52AheadHeadingsHeadingstyles"/>
      </w:pPr>
      <w:bookmarkStart w:id="151" w:name="_Toc79684561"/>
      <w:r w:rsidRPr="00FE7622">
        <w:t>Contributions</w:t>
      </w:r>
      <w:bookmarkEnd w:id="151"/>
      <w:r w:rsidRPr="00FE7622">
        <w:t xml:space="preserve"> of authors</w:t>
      </w:r>
    </w:p>
    <w:p w14:paraId="732BB3A1" w14:textId="7707B3A0" w:rsidR="001E2BE2" w:rsidRPr="00FE7622" w:rsidRDefault="00E038BF" w:rsidP="001E2BE2">
      <w:pPr>
        <w:pStyle w:val="602TextfoTextstylesTextstyles"/>
        <w:rPr>
          <w:color w:val="auto"/>
        </w:rPr>
      </w:pPr>
      <w:r w:rsidRPr="00FE7622">
        <w:rPr>
          <w:b/>
          <w:bCs/>
          <w:color w:val="auto"/>
        </w:rPr>
        <w:t>Professor Miles D Witham</w:t>
      </w:r>
      <w:r>
        <w:rPr>
          <w:b/>
          <w:bCs/>
          <w:color w:val="auto"/>
        </w:rPr>
        <w:t xml:space="preserve"> </w:t>
      </w:r>
      <w:r w:rsidRPr="00577517">
        <w:rPr>
          <w:b/>
          <w:bCs/>
          <w:lang w:val="en-US"/>
        </w:rPr>
        <w:t>(https://orcid.org/0000-</w:t>
      </w:r>
      <w:r>
        <w:rPr>
          <w:b/>
          <w:bCs/>
          <w:lang w:val="en-US"/>
        </w:rPr>
        <w:t>0002-1967-0990)</w:t>
      </w:r>
      <w:r w:rsidR="001E2BE2" w:rsidRPr="00FE7622">
        <w:rPr>
          <w:color w:val="auto"/>
        </w:rPr>
        <w:t xml:space="preserve"> (Professor of Trials for Older People; lead applicant) led</w:t>
      </w:r>
      <w:r w:rsidR="00BA3F19" w:rsidRPr="00FE7622">
        <w:rPr>
          <w:color w:val="auto"/>
        </w:rPr>
        <w:t xml:space="preserve"> the</w:t>
      </w:r>
      <w:r w:rsidR="001E2BE2" w:rsidRPr="00FE7622">
        <w:rPr>
          <w:color w:val="auto"/>
        </w:rPr>
        <w:t xml:space="preserve"> design and management of the trial, contributed to the analysis and led </w:t>
      </w:r>
      <w:r w:rsidR="00BA3F19" w:rsidRPr="00FE7622">
        <w:rPr>
          <w:color w:val="auto"/>
        </w:rPr>
        <w:t xml:space="preserve">the </w:t>
      </w:r>
      <w:r w:rsidR="001E2BE2" w:rsidRPr="00FE7622">
        <w:rPr>
          <w:color w:val="auto"/>
        </w:rPr>
        <w:t>drafting of the report.</w:t>
      </w:r>
    </w:p>
    <w:p w14:paraId="6DA19BE6" w14:textId="7D830944" w:rsidR="00F026E8" w:rsidRPr="00FE7622" w:rsidRDefault="00E038BF" w:rsidP="002C092A">
      <w:pPr>
        <w:pStyle w:val="602TextfoTextstylesTextstyles"/>
        <w:rPr>
          <w:color w:val="auto"/>
        </w:rPr>
      </w:pPr>
      <w:r w:rsidRPr="00FE7622">
        <w:rPr>
          <w:b/>
          <w:bCs/>
          <w:color w:val="auto"/>
        </w:rPr>
        <w:t>Dr Simon Adamson</w:t>
      </w:r>
      <w:r>
        <w:rPr>
          <w:b/>
          <w:bCs/>
          <w:color w:val="auto"/>
        </w:rPr>
        <w:t xml:space="preserve"> </w:t>
      </w:r>
      <w:r w:rsidRPr="00577517">
        <w:rPr>
          <w:b/>
          <w:bCs/>
          <w:lang w:val="en-US"/>
        </w:rPr>
        <w:t>(https://orcid.org/0000-</w:t>
      </w:r>
      <w:r>
        <w:rPr>
          <w:b/>
          <w:bCs/>
          <w:lang w:val="en-US"/>
        </w:rPr>
        <w:t>0003-2054-0437)</w:t>
      </w:r>
      <w:r w:rsidR="00F026E8" w:rsidRPr="00FE7622">
        <w:rPr>
          <w:color w:val="auto"/>
        </w:rPr>
        <w:t xml:space="preserve"> (Data Manager; Clinical Trials Unit) contributed to the design and management of the trial, data analysis and critical revision of the report.</w:t>
      </w:r>
    </w:p>
    <w:p w14:paraId="6BE6ACAE" w14:textId="2707778E" w:rsidR="00F026E8" w:rsidRPr="00FE7622" w:rsidRDefault="00E038BF" w:rsidP="002C092A">
      <w:pPr>
        <w:pStyle w:val="602TextfoTextstylesTextstyles"/>
        <w:rPr>
          <w:color w:val="auto"/>
        </w:rPr>
      </w:pPr>
      <w:r w:rsidRPr="00FE7622">
        <w:rPr>
          <w:b/>
          <w:bCs/>
          <w:color w:val="auto"/>
        </w:rPr>
        <w:t>Professor Alison Avenell</w:t>
      </w:r>
      <w:r>
        <w:rPr>
          <w:b/>
          <w:bCs/>
          <w:color w:val="auto"/>
        </w:rPr>
        <w:t xml:space="preserve"> </w:t>
      </w:r>
      <w:r w:rsidRPr="00577517">
        <w:rPr>
          <w:b/>
          <w:bCs/>
          <w:lang w:val="en-US"/>
        </w:rPr>
        <w:t>(https://orcid.org/0000-</w:t>
      </w:r>
      <w:r>
        <w:rPr>
          <w:b/>
          <w:bCs/>
          <w:lang w:val="en-US"/>
        </w:rPr>
        <w:t>0003-4813-5628)</w:t>
      </w:r>
      <w:r w:rsidR="00F026E8" w:rsidRPr="00FE7622">
        <w:rPr>
          <w:color w:val="auto"/>
        </w:rPr>
        <w:t xml:space="preserve"> (Professor of Health Services Research; co-applicant) contributed to </w:t>
      </w:r>
      <w:r w:rsidR="00D44CEC" w:rsidRPr="00FE7622">
        <w:rPr>
          <w:color w:val="auto"/>
        </w:rPr>
        <w:t xml:space="preserve">the </w:t>
      </w:r>
      <w:r w:rsidR="00F026E8" w:rsidRPr="00FE7622">
        <w:rPr>
          <w:color w:val="auto"/>
        </w:rPr>
        <w:t>design and management of the trial, analysis, and critical revision of the report.</w:t>
      </w:r>
    </w:p>
    <w:p w14:paraId="0B7B7F3B" w14:textId="6482542E" w:rsidR="00F026E8" w:rsidRPr="00FE7622" w:rsidRDefault="00E038BF" w:rsidP="002C092A">
      <w:pPr>
        <w:pStyle w:val="602TextfoTextstylesTextstyles"/>
        <w:rPr>
          <w:color w:val="auto"/>
        </w:rPr>
      </w:pPr>
      <w:r w:rsidRPr="00FE7622">
        <w:rPr>
          <w:b/>
          <w:bCs/>
          <w:color w:val="auto"/>
        </w:rPr>
        <w:t>Ms Margaret M Band</w:t>
      </w:r>
      <w:r>
        <w:rPr>
          <w:b/>
          <w:bCs/>
          <w:color w:val="auto"/>
        </w:rPr>
        <w:t xml:space="preserve"> </w:t>
      </w:r>
      <w:r w:rsidRPr="00577517">
        <w:rPr>
          <w:b/>
          <w:bCs/>
          <w:lang w:val="en-US"/>
        </w:rPr>
        <w:t>(https://orcid.org/0000-</w:t>
      </w:r>
      <w:r>
        <w:rPr>
          <w:b/>
          <w:bCs/>
          <w:lang w:val="en-US"/>
        </w:rPr>
        <w:t>0001-7275-8468)</w:t>
      </w:r>
      <w:r w:rsidR="00F026E8" w:rsidRPr="00FE7622">
        <w:rPr>
          <w:color w:val="auto"/>
        </w:rPr>
        <w:t xml:space="preserve"> (Senior Trial Manager; Clinical Trials Unit) contributed to the design and management of the trial, analysis, and </w:t>
      </w:r>
      <w:r w:rsidR="00D44CEC" w:rsidRPr="00FE7622">
        <w:rPr>
          <w:color w:val="auto"/>
        </w:rPr>
        <w:t>the</w:t>
      </w:r>
      <w:r w:rsidR="00F026E8" w:rsidRPr="00FE7622">
        <w:rPr>
          <w:color w:val="auto"/>
        </w:rPr>
        <w:t xml:space="preserve"> writing and critical revision of the report</w:t>
      </w:r>
      <w:r w:rsidR="00D44CEC" w:rsidRPr="00FE7622">
        <w:rPr>
          <w:color w:val="auto"/>
        </w:rPr>
        <w:t>.</w:t>
      </w:r>
    </w:p>
    <w:p w14:paraId="1BCCC331" w14:textId="76E4617E" w:rsidR="00F026E8" w:rsidRPr="00FE7622" w:rsidRDefault="00E038BF" w:rsidP="002C092A">
      <w:pPr>
        <w:pStyle w:val="602TextfoTextstylesTextstyles"/>
        <w:rPr>
          <w:color w:val="auto"/>
        </w:rPr>
      </w:pPr>
      <w:r w:rsidRPr="00FE7622">
        <w:rPr>
          <w:b/>
          <w:bCs/>
          <w:color w:val="auto"/>
        </w:rPr>
        <w:t>Dr Tufail Bashir</w:t>
      </w:r>
      <w:r>
        <w:rPr>
          <w:b/>
          <w:bCs/>
          <w:color w:val="auto"/>
        </w:rPr>
        <w:t xml:space="preserve"> </w:t>
      </w:r>
      <w:r w:rsidRPr="00577517">
        <w:rPr>
          <w:b/>
          <w:bCs/>
          <w:lang w:val="en-US"/>
        </w:rPr>
        <w:t>(https://orcid.org/0000-</w:t>
      </w:r>
      <w:r>
        <w:rPr>
          <w:b/>
          <w:bCs/>
          <w:lang w:val="en-US"/>
        </w:rPr>
        <w:t>0003-1385-6863)</w:t>
      </w:r>
      <w:r w:rsidR="00F026E8" w:rsidRPr="00FE7622">
        <w:rPr>
          <w:color w:val="auto"/>
        </w:rPr>
        <w:t xml:space="preserve"> (Postdoctoral </w:t>
      </w:r>
      <w:r w:rsidR="00D44CEC" w:rsidRPr="00FE7622">
        <w:rPr>
          <w:color w:val="auto"/>
        </w:rPr>
        <w:t>Researcher; Laboratory Analysis</w:t>
      </w:r>
      <w:r w:rsidR="00F026E8" w:rsidRPr="00FE7622">
        <w:rPr>
          <w:color w:val="auto"/>
        </w:rPr>
        <w:t>) contributed to biomarker analysis</w:t>
      </w:r>
      <w:r w:rsidR="00D44CEC" w:rsidRPr="00FE7622">
        <w:rPr>
          <w:color w:val="auto"/>
        </w:rPr>
        <w:t>,</w:t>
      </w:r>
      <w:r w:rsidR="00F026E8" w:rsidRPr="00FE7622">
        <w:rPr>
          <w:color w:val="auto"/>
        </w:rPr>
        <w:t xml:space="preserve"> data analysis</w:t>
      </w:r>
      <w:r w:rsidR="00D44CEC" w:rsidRPr="00FE7622">
        <w:rPr>
          <w:color w:val="auto"/>
        </w:rPr>
        <w:t xml:space="preserve"> and</w:t>
      </w:r>
      <w:r w:rsidR="00F026E8" w:rsidRPr="00FE7622">
        <w:rPr>
          <w:color w:val="auto"/>
        </w:rPr>
        <w:t xml:space="preserve"> critical revision of the report</w:t>
      </w:r>
      <w:r w:rsidR="00D44CEC" w:rsidRPr="00FE7622">
        <w:rPr>
          <w:color w:val="auto"/>
        </w:rPr>
        <w:t>.</w:t>
      </w:r>
    </w:p>
    <w:p w14:paraId="1968F097" w14:textId="327D177C" w:rsidR="00F026E8" w:rsidRPr="00FE7622" w:rsidRDefault="00E038BF" w:rsidP="002C092A">
      <w:pPr>
        <w:pStyle w:val="602TextfoTextstylesTextstyles"/>
        <w:rPr>
          <w:color w:val="auto"/>
        </w:rPr>
      </w:pPr>
      <w:r w:rsidRPr="00FE7622">
        <w:rPr>
          <w:b/>
          <w:bCs/>
          <w:color w:val="auto"/>
        </w:rPr>
        <w:t>Professor Peter T Donnan</w:t>
      </w:r>
      <w:r>
        <w:rPr>
          <w:b/>
          <w:bCs/>
          <w:color w:val="auto"/>
        </w:rPr>
        <w:t xml:space="preserve"> </w:t>
      </w:r>
      <w:r w:rsidRPr="00577517">
        <w:rPr>
          <w:b/>
          <w:bCs/>
          <w:lang w:val="en-US"/>
        </w:rPr>
        <w:t>(https://orcid.org/0000-</w:t>
      </w:r>
      <w:r>
        <w:rPr>
          <w:b/>
          <w:bCs/>
          <w:lang w:val="en-US"/>
        </w:rPr>
        <w:t>0001-7828-0610)</w:t>
      </w:r>
      <w:r w:rsidR="00F026E8" w:rsidRPr="00FE7622">
        <w:rPr>
          <w:color w:val="auto"/>
        </w:rPr>
        <w:t xml:space="preserve"> (Professor of Biostatistics; co-applicant) contributed to the design and management of the trial, statistical analysis and critical revision of the report.</w:t>
      </w:r>
    </w:p>
    <w:p w14:paraId="69E296C3" w14:textId="03FABB81" w:rsidR="00F026E8" w:rsidRPr="00FE7622" w:rsidRDefault="00E038BF" w:rsidP="002C092A">
      <w:pPr>
        <w:pStyle w:val="602TextfoTextstylesTextstyles"/>
        <w:rPr>
          <w:color w:val="auto"/>
        </w:rPr>
      </w:pPr>
      <w:r w:rsidRPr="00FE7622">
        <w:rPr>
          <w:b/>
          <w:bCs/>
          <w:color w:val="auto"/>
        </w:rPr>
        <w:t>Professor Jacob George</w:t>
      </w:r>
      <w:r>
        <w:rPr>
          <w:b/>
          <w:bCs/>
          <w:color w:val="auto"/>
        </w:rPr>
        <w:t xml:space="preserve"> </w:t>
      </w:r>
      <w:r w:rsidRPr="00577517">
        <w:rPr>
          <w:b/>
          <w:bCs/>
          <w:lang w:val="en-US"/>
        </w:rPr>
        <w:t>(https://orcid.org/0000-</w:t>
      </w:r>
      <w:r>
        <w:rPr>
          <w:b/>
          <w:bCs/>
          <w:lang w:val="en-US"/>
        </w:rPr>
        <w:t>0001-8154-8278)</w:t>
      </w:r>
      <w:r w:rsidR="00F026E8" w:rsidRPr="00FE7622">
        <w:rPr>
          <w:color w:val="auto"/>
        </w:rPr>
        <w:t xml:space="preserve"> (Professor of Cardiovascular Medicine and Therapeutics, co-investigator) contributed to the management of the trial and critical revision of the report.</w:t>
      </w:r>
    </w:p>
    <w:p w14:paraId="34BEA2BD" w14:textId="44F7F3F8" w:rsidR="00F026E8" w:rsidRPr="00FE7622" w:rsidRDefault="00E038BF" w:rsidP="002C092A">
      <w:pPr>
        <w:pStyle w:val="602TextfoTextstylesTextstyles"/>
        <w:rPr>
          <w:color w:val="auto"/>
        </w:rPr>
      </w:pPr>
      <w:r w:rsidRPr="00FE7622">
        <w:rPr>
          <w:b/>
          <w:bCs/>
          <w:color w:val="auto"/>
        </w:rPr>
        <w:t>Dr Adrian Hapca</w:t>
      </w:r>
      <w:r>
        <w:rPr>
          <w:b/>
          <w:bCs/>
          <w:color w:val="auto"/>
        </w:rPr>
        <w:t xml:space="preserve"> </w:t>
      </w:r>
      <w:r w:rsidRPr="00577517">
        <w:rPr>
          <w:b/>
          <w:bCs/>
          <w:lang w:val="en-US"/>
        </w:rPr>
        <w:t>(https://orcid.org/0000-</w:t>
      </w:r>
      <w:r>
        <w:rPr>
          <w:b/>
          <w:bCs/>
          <w:lang w:val="en-US"/>
        </w:rPr>
        <w:t>0003-0145-0700)</w:t>
      </w:r>
      <w:r w:rsidR="00F026E8" w:rsidRPr="00FE7622">
        <w:rPr>
          <w:color w:val="auto"/>
        </w:rPr>
        <w:t xml:space="preserve"> (Trial </w:t>
      </w:r>
      <w:r w:rsidR="00D44CEC" w:rsidRPr="00FE7622">
        <w:rPr>
          <w:color w:val="auto"/>
        </w:rPr>
        <w:t>S</w:t>
      </w:r>
      <w:r w:rsidR="00F026E8" w:rsidRPr="00FE7622">
        <w:rPr>
          <w:color w:val="auto"/>
        </w:rPr>
        <w:t>tatistician; Clinical Trials Unit) contributed to management of the trial, led the statistical analysis, and contributed to</w:t>
      </w:r>
      <w:r w:rsidR="00D44CEC" w:rsidRPr="00FE7622">
        <w:rPr>
          <w:color w:val="auto"/>
        </w:rPr>
        <w:t xml:space="preserve"> the</w:t>
      </w:r>
      <w:r w:rsidR="00F026E8" w:rsidRPr="00FE7622">
        <w:rPr>
          <w:color w:val="auto"/>
        </w:rPr>
        <w:t xml:space="preserve"> writing and critical revision of the report.</w:t>
      </w:r>
    </w:p>
    <w:p w14:paraId="1075F5B8" w14:textId="77573C18" w:rsidR="00F026E8" w:rsidRPr="00FE7622" w:rsidRDefault="00E038BF" w:rsidP="002C092A">
      <w:pPr>
        <w:pStyle w:val="602TextfoTextstylesTextstyles"/>
        <w:rPr>
          <w:color w:val="auto"/>
        </w:rPr>
      </w:pPr>
      <w:r w:rsidRPr="00FE7622">
        <w:rPr>
          <w:b/>
          <w:bCs/>
          <w:color w:val="auto"/>
        </w:rPr>
        <w:t>Ms Cheryl Hume</w:t>
      </w:r>
      <w:r>
        <w:rPr>
          <w:b/>
          <w:bCs/>
          <w:color w:val="auto"/>
        </w:rPr>
        <w:t xml:space="preserve"> </w:t>
      </w:r>
      <w:r w:rsidRPr="00577517">
        <w:rPr>
          <w:b/>
          <w:bCs/>
          <w:lang w:val="en-US"/>
        </w:rPr>
        <w:t>(https://orcid.org/0000-</w:t>
      </w:r>
      <w:r>
        <w:rPr>
          <w:b/>
          <w:bCs/>
          <w:lang w:val="en-US"/>
        </w:rPr>
        <w:t>0001-7177-5012)</w:t>
      </w:r>
      <w:r w:rsidR="00F026E8" w:rsidRPr="00FE7622">
        <w:rPr>
          <w:color w:val="auto"/>
        </w:rPr>
        <w:t xml:space="preserve"> (Trial Manager; Clinical Trials Unit) contributed to the design and management of the trial and critical revision of the report.</w:t>
      </w:r>
    </w:p>
    <w:p w14:paraId="18604B25" w14:textId="68A95E1A" w:rsidR="00F026E8" w:rsidRPr="00FE7622" w:rsidRDefault="00E038BF" w:rsidP="002C092A">
      <w:pPr>
        <w:pStyle w:val="602TextfoTextstylesTextstyles"/>
        <w:rPr>
          <w:color w:val="auto"/>
        </w:rPr>
      </w:pPr>
      <w:r w:rsidRPr="00FE7622">
        <w:rPr>
          <w:b/>
          <w:bCs/>
          <w:color w:val="auto"/>
        </w:rPr>
        <w:t>Dr Paul Kemp</w:t>
      </w:r>
      <w:r>
        <w:rPr>
          <w:b/>
          <w:bCs/>
          <w:color w:val="auto"/>
        </w:rPr>
        <w:t xml:space="preserve"> </w:t>
      </w:r>
      <w:r w:rsidRPr="00577517">
        <w:rPr>
          <w:b/>
          <w:bCs/>
          <w:lang w:val="en-US"/>
        </w:rPr>
        <w:t>(https://orcid.org/0000-</w:t>
      </w:r>
      <w:r>
        <w:rPr>
          <w:b/>
          <w:bCs/>
          <w:lang w:val="en-US"/>
        </w:rPr>
        <w:t>0001-8975-7293)</w:t>
      </w:r>
      <w:r w:rsidR="00F026E8" w:rsidRPr="00FE7622">
        <w:rPr>
          <w:color w:val="auto"/>
        </w:rPr>
        <w:t xml:space="preserve"> (Reader in Molecular Biology of Muscle; co-applicant) led </w:t>
      </w:r>
      <w:r w:rsidR="00D44CEC" w:rsidRPr="00FE7622">
        <w:rPr>
          <w:color w:val="auto"/>
        </w:rPr>
        <w:t xml:space="preserve">the </w:t>
      </w:r>
      <w:r w:rsidR="00F026E8" w:rsidRPr="00FE7622">
        <w:rPr>
          <w:color w:val="auto"/>
        </w:rPr>
        <w:t>design and analysis of biomarker studies</w:t>
      </w:r>
      <w:r w:rsidR="00D44CEC" w:rsidRPr="00FE7622">
        <w:rPr>
          <w:color w:val="auto"/>
        </w:rPr>
        <w:t xml:space="preserve"> and</w:t>
      </w:r>
      <w:r w:rsidR="00F026E8" w:rsidRPr="00FE7622">
        <w:rPr>
          <w:color w:val="auto"/>
        </w:rPr>
        <w:t xml:space="preserve"> contributed to </w:t>
      </w:r>
      <w:r w:rsidR="00D44CEC" w:rsidRPr="00FE7622">
        <w:rPr>
          <w:color w:val="auto"/>
        </w:rPr>
        <w:t xml:space="preserve">the </w:t>
      </w:r>
      <w:r w:rsidR="00F026E8" w:rsidRPr="00FE7622">
        <w:rPr>
          <w:color w:val="auto"/>
        </w:rPr>
        <w:t>writing and critical revision of report</w:t>
      </w:r>
      <w:r w:rsidR="00D44CEC" w:rsidRPr="00FE7622">
        <w:rPr>
          <w:color w:val="auto"/>
        </w:rPr>
        <w:t>.</w:t>
      </w:r>
    </w:p>
    <w:p w14:paraId="412F7FDE" w14:textId="448BEF2D" w:rsidR="00F026E8" w:rsidRPr="00FE7622" w:rsidRDefault="00E038BF" w:rsidP="002C092A">
      <w:pPr>
        <w:pStyle w:val="602TextfoTextstylesTextstyles"/>
        <w:rPr>
          <w:color w:val="auto"/>
        </w:rPr>
      </w:pPr>
      <w:r w:rsidRPr="00FE7622">
        <w:rPr>
          <w:b/>
          <w:bCs/>
          <w:color w:val="auto"/>
        </w:rPr>
        <w:t>Dr Emma McKenzie</w:t>
      </w:r>
      <w:r>
        <w:rPr>
          <w:b/>
          <w:bCs/>
          <w:color w:val="auto"/>
        </w:rPr>
        <w:t xml:space="preserve"> </w:t>
      </w:r>
      <w:r w:rsidRPr="00577517">
        <w:rPr>
          <w:b/>
          <w:bCs/>
          <w:lang w:val="en-US"/>
        </w:rPr>
        <w:t>(https://orcid.org/0000-</w:t>
      </w:r>
      <w:r>
        <w:rPr>
          <w:b/>
          <w:bCs/>
          <w:lang w:val="en-US"/>
        </w:rPr>
        <w:t>0002-4355-317X)</w:t>
      </w:r>
      <w:r w:rsidR="00F026E8" w:rsidRPr="00FE7622">
        <w:rPr>
          <w:color w:val="auto"/>
        </w:rPr>
        <w:t xml:space="preserve"> (Information </w:t>
      </w:r>
      <w:r w:rsidR="00D44CEC" w:rsidRPr="00FE7622">
        <w:rPr>
          <w:color w:val="auto"/>
        </w:rPr>
        <w:t>Systems Manag</w:t>
      </w:r>
      <w:r w:rsidR="00F026E8" w:rsidRPr="00FE7622">
        <w:rPr>
          <w:color w:val="auto"/>
        </w:rPr>
        <w:t>er; Clinical Trials Unit)</w:t>
      </w:r>
      <w:r w:rsidR="00D44CEC" w:rsidRPr="00FE7622">
        <w:rPr>
          <w:color w:val="auto"/>
        </w:rPr>
        <w:t xml:space="preserve"> </w:t>
      </w:r>
      <w:r w:rsidR="00F026E8" w:rsidRPr="00FE7622">
        <w:rPr>
          <w:color w:val="auto"/>
        </w:rPr>
        <w:t>contributed to the design and management of the trial and critical revision of the report</w:t>
      </w:r>
      <w:r w:rsidR="00D44CEC" w:rsidRPr="00FE7622">
        <w:rPr>
          <w:color w:val="auto"/>
        </w:rPr>
        <w:t>.</w:t>
      </w:r>
    </w:p>
    <w:p w14:paraId="56492EAE" w14:textId="4763621F" w:rsidR="00F026E8" w:rsidRPr="00FE7622" w:rsidRDefault="00E038BF" w:rsidP="002C092A">
      <w:pPr>
        <w:pStyle w:val="602TextfoTextstylesTextstyles"/>
        <w:rPr>
          <w:color w:val="auto"/>
        </w:rPr>
      </w:pPr>
      <w:r w:rsidRPr="00FE7622">
        <w:rPr>
          <w:b/>
          <w:bCs/>
          <w:color w:val="auto"/>
        </w:rPr>
        <w:t>Ms Kristina Pilvinyte</w:t>
      </w:r>
      <w:r>
        <w:rPr>
          <w:b/>
          <w:bCs/>
          <w:color w:val="auto"/>
        </w:rPr>
        <w:t xml:space="preserve"> </w:t>
      </w:r>
      <w:r w:rsidRPr="00577517">
        <w:rPr>
          <w:b/>
          <w:bCs/>
          <w:lang w:val="en-US"/>
        </w:rPr>
        <w:t>(https://orcid.org/0000-</w:t>
      </w:r>
      <w:r>
        <w:rPr>
          <w:b/>
          <w:bCs/>
          <w:lang w:val="en-US"/>
        </w:rPr>
        <w:t>0003-1420-8075)</w:t>
      </w:r>
      <w:r w:rsidR="00F026E8" w:rsidRPr="00FE7622">
        <w:rPr>
          <w:color w:val="auto"/>
        </w:rPr>
        <w:t xml:space="preserve"> (Trial Manager; Clinical Trials Unit) contributed to the design and management of the trial and critical revision of the report.</w:t>
      </w:r>
    </w:p>
    <w:p w14:paraId="5090AA8B" w14:textId="4AB811C2" w:rsidR="00F026E8" w:rsidRPr="00FE7622" w:rsidRDefault="00E038BF" w:rsidP="002C092A">
      <w:pPr>
        <w:pStyle w:val="602TextfoTextstylesTextstyles"/>
        <w:rPr>
          <w:color w:val="auto"/>
        </w:rPr>
      </w:pPr>
      <w:r w:rsidRPr="00FE7622">
        <w:rPr>
          <w:b/>
          <w:bCs/>
          <w:color w:val="auto"/>
        </w:rPr>
        <w:t>Dr Christos Rossios</w:t>
      </w:r>
      <w:r>
        <w:rPr>
          <w:b/>
          <w:bCs/>
          <w:color w:val="auto"/>
        </w:rPr>
        <w:t xml:space="preserve"> </w:t>
      </w:r>
      <w:r w:rsidRPr="00577517">
        <w:rPr>
          <w:b/>
          <w:bCs/>
          <w:lang w:val="en-US"/>
        </w:rPr>
        <w:t>(https://orcid.org/0000-</w:t>
      </w:r>
      <w:r>
        <w:rPr>
          <w:b/>
          <w:bCs/>
          <w:lang w:val="en-US"/>
        </w:rPr>
        <w:t>0003-3470-3233)</w:t>
      </w:r>
      <w:r w:rsidR="00F026E8" w:rsidRPr="00FE7622">
        <w:rPr>
          <w:color w:val="auto"/>
        </w:rPr>
        <w:t xml:space="preserve"> (Postdoctoral </w:t>
      </w:r>
      <w:r w:rsidR="00D44CEC" w:rsidRPr="00FE7622">
        <w:rPr>
          <w:color w:val="auto"/>
        </w:rPr>
        <w:t>Researcher; Laboratory Analysis</w:t>
      </w:r>
      <w:r w:rsidR="00F026E8" w:rsidRPr="00FE7622">
        <w:rPr>
          <w:color w:val="auto"/>
        </w:rPr>
        <w:t>) contributed to biomarker analysis, data analysis</w:t>
      </w:r>
      <w:r w:rsidR="00D44CEC" w:rsidRPr="00FE7622">
        <w:rPr>
          <w:color w:val="auto"/>
        </w:rPr>
        <w:t xml:space="preserve"> and the</w:t>
      </w:r>
      <w:r w:rsidR="00F026E8" w:rsidRPr="00FE7622">
        <w:rPr>
          <w:color w:val="auto"/>
        </w:rPr>
        <w:t xml:space="preserve"> writing and critical revision of the report</w:t>
      </w:r>
    </w:p>
    <w:p w14:paraId="58EB6E76" w14:textId="128E18CB" w:rsidR="00F026E8" w:rsidRPr="00FE7622" w:rsidRDefault="00E038BF" w:rsidP="002C092A">
      <w:pPr>
        <w:pStyle w:val="602TextfoTextstylesTextstyles"/>
        <w:rPr>
          <w:color w:val="auto"/>
        </w:rPr>
      </w:pPr>
      <w:r w:rsidRPr="00FE7622">
        <w:rPr>
          <w:b/>
          <w:bCs/>
          <w:color w:val="auto"/>
        </w:rPr>
        <w:t>Ms Karen Smith</w:t>
      </w:r>
      <w:r>
        <w:rPr>
          <w:b/>
          <w:bCs/>
          <w:color w:val="auto"/>
        </w:rPr>
        <w:t xml:space="preserve"> </w:t>
      </w:r>
      <w:r w:rsidRPr="00577517">
        <w:rPr>
          <w:b/>
          <w:bCs/>
          <w:lang w:val="en-US"/>
        </w:rPr>
        <w:t>(https://orcid.org/0000-</w:t>
      </w:r>
      <w:r>
        <w:rPr>
          <w:b/>
          <w:bCs/>
          <w:lang w:val="en-US"/>
        </w:rPr>
        <w:t>0002-3968-7458)</w:t>
      </w:r>
      <w:r w:rsidR="00F026E8" w:rsidRPr="00FE7622">
        <w:rPr>
          <w:color w:val="auto"/>
        </w:rPr>
        <w:t xml:space="preserve"> (Trial Manager; Clinical Trials Unit) contributed to the design and management of the trial and critical revision of the report.</w:t>
      </w:r>
    </w:p>
    <w:p w14:paraId="5AF98825" w14:textId="7059EB00" w:rsidR="00F026E8" w:rsidRPr="00FE7622" w:rsidRDefault="00E038BF" w:rsidP="002C092A">
      <w:pPr>
        <w:pStyle w:val="602TextfoTextstylesTextstyles"/>
        <w:rPr>
          <w:color w:val="auto"/>
        </w:rPr>
      </w:pPr>
      <w:r w:rsidRPr="00FE7622">
        <w:rPr>
          <w:b/>
          <w:bCs/>
          <w:color w:val="auto"/>
        </w:rPr>
        <w:t>Professor Allan D Struthers</w:t>
      </w:r>
      <w:r>
        <w:rPr>
          <w:b/>
          <w:bCs/>
          <w:color w:val="auto"/>
        </w:rPr>
        <w:t xml:space="preserve"> </w:t>
      </w:r>
      <w:r w:rsidRPr="00577517">
        <w:rPr>
          <w:b/>
          <w:bCs/>
          <w:lang w:val="en-US"/>
        </w:rPr>
        <w:t>(https://orcid.org/0000-</w:t>
      </w:r>
      <w:r>
        <w:rPr>
          <w:b/>
          <w:bCs/>
          <w:lang w:val="en-US"/>
        </w:rPr>
        <w:t>0002-2926-2528)</w:t>
      </w:r>
      <w:r w:rsidR="00F026E8" w:rsidRPr="00FE7622">
        <w:rPr>
          <w:color w:val="auto"/>
        </w:rPr>
        <w:t xml:space="preserve"> (Professor of Cardiovascular Pharmacology; co-applicant) contributed to the design and management of the trial and critical revision of the report.</w:t>
      </w:r>
    </w:p>
    <w:p w14:paraId="31E8E722" w14:textId="4499553D" w:rsidR="00F026E8" w:rsidRPr="00FE7622" w:rsidRDefault="00E038BF" w:rsidP="002C092A">
      <w:pPr>
        <w:pStyle w:val="602TextfoTextstylesTextstyles"/>
        <w:rPr>
          <w:color w:val="auto"/>
        </w:rPr>
      </w:pPr>
      <w:r w:rsidRPr="00FE7622">
        <w:rPr>
          <w:b/>
          <w:bCs/>
          <w:color w:val="auto"/>
        </w:rPr>
        <w:t>Dr Deepa Sumukadas</w:t>
      </w:r>
      <w:r>
        <w:rPr>
          <w:b/>
          <w:bCs/>
          <w:color w:val="auto"/>
        </w:rPr>
        <w:t xml:space="preserve"> </w:t>
      </w:r>
      <w:r w:rsidRPr="00577517">
        <w:rPr>
          <w:b/>
          <w:bCs/>
          <w:lang w:val="en-US"/>
        </w:rPr>
        <w:t>(https://orcid.org/0000-</w:t>
      </w:r>
      <w:r>
        <w:rPr>
          <w:b/>
          <w:bCs/>
          <w:lang w:val="en-US"/>
        </w:rPr>
        <w:t>0002-6832-3063)</w:t>
      </w:r>
      <w:r w:rsidR="00F026E8" w:rsidRPr="00FE7622">
        <w:rPr>
          <w:color w:val="auto"/>
        </w:rPr>
        <w:t xml:space="preserve"> (Consultant Geriatrician; co-applicant) contributed to the design and management of the trial and critical revision of the report.</w:t>
      </w:r>
    </w:p>
    <w:p w14:paraId="53BA249C" w14:textId="4E56B10F" w:rsidR="00E038BF" w:rsidRPr="00FE7622" w:rsidRDefault="00E038BF" w:rsidP="00340FB8">
      <w:pPr>
        <w:pStyle w:val="52AheadHeadingsHeadingstyles"/>
      </w:pPr>
      <w:r w:rsidRPr="00FE7622">
        <w:t>Contributions of others</w:t>
      </w:r>
    </w:p>
    <w:p w14:paraId="12C896B0" w14:textId="4967D0EA" w:rsidR="00F026E8" w:rsidRPr="00FE7622" w:rsidRDefault="00F026E8" w:rsidP="002C092A">
      <w:pPr>
        <w:pStyle w:val="602TextfoTextstylesTextstyles"/>
        <w:rPr>
          <w:color w:val="auto"/>
        </w:rPr>
      </w:pPr>
      <w:r w:rsidRPr="00FE7622">
        <w:rPr>
          <w:color w:val="auto"/>
        </w:rPr>
        <w:t>Professor Marion McMurdo was a co-applicant on the original proposal but demitted from the project on retirement.</w:t>
      </w:r>
    </w:p>
    <w:p w14:paraId="5776CCC9" w14:textId="6ED36C48" w:rsidR="00E038BF" w:rsidRPr="00FE7622" w:rsidRDefault="00E038BF" w:rsidP="001E2BE2">
      <w:pPr>
        <w:pStyle w:val="52AheadHeadingsHeadingstyles"/>
      </w:pPr>
      <w:bookmarkStart w:id="152" w:name="_Toc79684562"/>
      <w:r w:rsidRPr="00FE7622">
        <w:t>Local investigators</w:t>
      </w:r>
      <w:bookmarkEnd w:id="152"/>
    </w:p>
    <w:p w14:paraId="05BE1CC9" w14:textId="2EC66CFD" w:rsidR="00F026E8" w:rsidRPr="00FE7622" w:rsidRDefault="00F026E8" w:rsidP="001E2BE2">
      <w:pPr>
        <w:pStyle w:val="602TextfoTextstylesTextstyles"/>
        <w:rPr>
          <w:color w:val="auto"/>
        </w:rPr>
      </w:pPr>
      <w:r w:rsidRPr="00FE7622">
        <w:rPr>
          <w:color w:val="auto"/>
        </w:rPr>
        <w:t>Asan Akpan, Terry Aspray, Lucinda Baldwin, Louise Burton, Lesley Cargill, Vera Cvoro, Simon Conroy, Gordon Duncan, Adam Gordon, Celia Gregson, Carolyn Greig, Victoria Haunton, Emily Henderson, Steve Jackson, Thomas Jackson, Simon Kerr, Alixe Kilgour, Sathyabama Loganathan, Veronica Lyell, Tash Masud, Sean McAuley, Gillian Mead, Amit Mistri, Terence Ong, Charlotte Owen, Harnish Patel, Bethan Philips, Helen Roberts, Avan Sayer, Roy Soiza, Claire Steves, Divya Tiwari</w:t>
      </w:r>
      <w:r w:rsidR="002F7BBC" w:rsidRPr="00FE7622">
        <w:rPr>
          <w:color w:val="auto"/>
        </w:rPr>
        <w:t xml:space="preserve"> and</w:t>
      </w:r>
      <w:r w:rsidRPr="00FE7622">
        <w:rPr>
          <w:color w:val="auto"/>
        </w:rPr>
        <w:t xml:space="preserve"> Julie Whitney</w:t>
      </w:r>
      <w:r w:rsidR="002F7BBC" w:rsidRPr="00FE7622">
        <w:rPr>
          <w:color w:val="auto"/>
        </w:rPr>
        <w:t>.</w:t>
      </w:r>
    </w:p>
    <w:p w14:paraId="43ED6EEC" w14:textId="61C6C083" w:rsidR="00E038BF" w:rsidRPr="00FE7622" w:rsidRDefault="00E038BF" w:rsidP="001E2BE2">
      <w:pPr>
        <w:pStyle w:val="52AheadHeadingsHeadingstyles"/>
      </w:pPr>
      <w:bookmarkStart w:id="153" w:name="_Toc79684563"/>
      <w:r w:rsidRPr="00FE7622">
        <w:t>Research nurses</w:t>
      </w:r>
      <w:bookmarkEnd w:id="153"/>
    </w:p>
    <w:p w14:paraId="17B88991" w14:textId="0D4FE06F" w:rsidR="00F026E8" w:rsidRPr="00FE7622" w:rsidRDefault="00F026E8" w:rsidP="001E2BE2">
      <w:pPr>
        <w:pStyle w:val="602TextfoTextstylesTextstyles"/>
        <w:rPr>
          <w:color w:val="auto"/>
        </w:rPr>
      </w:pPr>
      <w:r w:rsidRPr="00FE7622">
        <w:rPr>
          <w:color w:val="auto"/>
        </w:rPr>
        <w:t>Marie Appleby, Sherald Barnes, Cathrine Stead, Shaula Candido, Sirjana Devkota, Aidan Dunphy, Lilian Fairbairn-Smith, Susan Fowler, Jenny Hartley, Kathleen Holding, Debbie Howcroft, Gill Keen, Amanda McGregor, Fabio Speranza, Rachael Taylor, Sanchia Triggs, Helen Waldie</w:t>
      </w:r>
      <w:r w:rsidR="002F7BBC" w:rsidRPr="00FE7622">
        <w:rPr>
          <w:color w:val="auto"/>
        </w:rPr>
        <w:t xml:space="preserve"> and</w:t>
      </w:r>
      <w:r w:rsidRPr="00FE7622">
        <w:rPr>
          <w:color w:val="auto"/>
        </w:rPr>
        <w:t xml:space="preserve"> Myra White</w:t>
      </w:r>
      <w:r w:rsidR="002F7BBC" w:rsidRPr="00FE7622">
        <w:rPr>
          <w:color w:val="auto"/>
        </w:rPr>
        <w:t>.</w:t>
      </w:r>
    </w:p>
    <w:p w14:paraId="070818AC" w14:textId="1568D603" w:rsidR="00E038BF" w:rsidRPr="00FE7622" w:rsidRDefault="00E038BF" w:rsidP="001E2BE2">
      <w:pPr>
        <w:pStyle w:val="52AheadHeadingsHeadingstyles"/>
      </w:pPr>
      <w:bookmarkStart w:id="154" w:name="_Toc79684564"/>
      <w:r w:rsidRPr="00FE7622">
        <w:t>Trial Steering Committee</w:t>
      </w:r>
      <w:bookmarkEnd w:id="154"/>
    </w:p>
    <w:p w14:paraId="29E24EF5" w14:textId="4C61B07B" w:rsidR="00F026E8" w:rsidRPr="00FE7622" w:rsidRDefault="00F026E8" w:rsidP="001E2BE2">
      <w:pPr>
        <w:pStyle w:val="602TextfoTextstylesTextstyles"/>
        <w:rPr>
          <w:color w:val="auto"/>
        </w:rPr>
      </w:pPr>
      <w:r w:rsidRPr="00FE7622">
        <w:rPr>
          <w:color w:val="auto"/>
        </w:rPr>
        <w:t>Professor Finbarr Martin, Professor Antony Bayer, Professor Tischa van der Cammen, Margaret Ogden, Professor Iain Ledingham</w:t>
      </w:r>
      <w:r w:rsidR="002F7BBC" w:rsidRPr="00FE7622">
        <w:rPr>
          <w:color w:val="auto"/>
        </w:rPr>
        <w:t xml:space="preserve"> and</w:t>
      </w:r>
      <w:r w:rsidRPr="00FE7622">
        <w:rPr>
          <w:color w:val="auto"/>
        </w:rPr>
        <w:t xml:space="preserve"> Eric Deeson</w:t>
      </w:r>
      <w:r w:rsidR="00E045BA" w:rsidRPr="00FE7622">
        <w:rPr>
          <w:color w:val="auto"/>
        </w:rPr>
        <w:t>.</w:t>
      </w:r>
    </w:p>
    <w:p w14:paraId="2E34F814" w14:textId="5FD0749C" w:rsidR="00E038BF" w:rsidRPr="00FE7622" w:rsidRDefault="00E038BF" w:rsidP="001E2BE2">
      <w:pPr>
        <w:pStyle w:val="52AheadHeadingsHeadingstyles"/>
      </w:pPr>
      <w:bookmarkStart w:id="155" w:name="_Toc79684565"/>
      <w:r w:rsidRPr="00FE7622">
        <w:t>Data Monitoring Committee</w:t>
      </w:r>
      <w:bookmarkEnd w:id="155"/>
    </w:p>
    <w:p w14:paraId="7EEDC87C" w14:textId="5ABC3453" w:rsidR="00F026E8" w:rsidRPr="00FE7622" w:rsidRDefault="00F026E8" w:rsidP="001E2BE2">
      <w:pPr>
        <w:pStyle w:val="602TextfoTextstylesTextstyles"/>
        <w:rPr>
          <w:color w:val="auto"/>
        </w:rPr>
      </w:pPr>
      <w:r w:rsidRPr="00FE7622">
        <w:rPr>
          <w:color w:val="auto"/>
        </w:rPr>
        <w:t>Professor Alex McConnachie, Professor Maeve Rae</w:t>
      </w:r>
      <w:r w:rsidR="002F7BBC" w:rsidRPr="00FE7622">
        <w:rPr>
          <w:color w:val="auto"/>
        </w:rPr>
        <w:t xml:space="preserve"> and</w:t>
      </w:r>
      <w:r w:rsidRPr="00FE7622">
        <w:rPr>
          <w:color w:val="auto"/>
        </w:rPr>
        <w:t xml:space="preserve"> Professor Andrew Clegg</w:t>
      </w:r>
      <w:r w:rsidR="002F7BBC" w:rsidRPr="00FE7622">
        <w:rPr>
          <w:color w:val="auto"/>
        </w:rPr>
        <w:t>.</w:t>
      </w:r>
    </w:p>
    <w:p w14:paraId="108AB270" w14:textId="70B1C44B" w:rsidR="00E038BF" w:rsidRPr="00FE7622" w:rsidRDefault="00E038BF" w:rsidP="001E2BE2">
      <w:pPr>
        <w:pStyle w:val="52AheadHeadingsHeadingstyles"/>
      </w:pPr>
      <w:bookmarkStart w:id="156" w:name="_Toc79684566"/>
      <w:r w:rsidRPr="00FE7622">
        <w:t>Other support</w:t>
      </w:r>
      <w:bookmarkEnd w:id="156"/>
    </w:p>
    <w:p w14:paraId="10A06DAD" w14:textId="01304599" w:rsidR="00F026E8" w:rsidRPr="00FE7622" w:rsidRDefault="00F026E8" w:rsidP="001E2BE2">
      <w:pPr>
        <w:pStyle w:val="602TextfoTextstylesTextstyles"/>
        <w:rPr>
          <w:color w:val="auto"/>
        </w:rPr>
      </w:pPr>
      <w:r w:rsidRPr="00FE7622">
        <w:rPr>
          <w:color w:val="auto"/>
        </w:rPr>
        <w:t xml:space="preserve">Professor Witham acknowledges support from the Newcastle </w:t>
      </w:r>
      <w:r w:rsidRPr="00842651">
        <w:rPr>
          <w:color w:val="auto"/>
        </w:rPr>
        <w:t>NIHR</w:t>
      </w:r>
      <w:r w:rsidRPr="00FE7622">
        <w:rPr>
          <w:color w:val="auto"/>
        </w:rPr>
        <w:t xml:space="preserve"> Biomedical Research Centre.</w:t>
      </w:r>
    </w:p>
    <w:p w14:paraId="759C3F64" w14:textId="3FF97742" w:rsidR="00F026E8" w:rsidRPr="00FE7622" w:rsidRDefault="00F026E8" w:rsidP="001E2BE2">
      <w:pPr>
        <w:pStyle w:val="602TextfoTextstylesTextstyles"/>
        <w:rPr>
          <w:color w:val="auto"/>
        </w:rPr>
      </w:pPr>
      <w:r w:rsidRPr="00FE7622">
        <w:rPr>
          <w:color w:val="auto"/>
        </w:rPr>
        <w:t xml:space="preserve">Support for trial recruitment was received from NHS Research Scotland, the </w:t>
      </w:r>
      <w:r w:rsidRPr="00842651">
        <w:rPr>
          <w:color w:val="auto"/>
        </w:rPr>
        <w:t>NIHR</w:t>
      </w:r>
      <w:r w:rsidRPr="00FE7622">
        <w:rPr>
          <w:color w:val="auto"/>
        </w:rPr>
        <w:t xml:space="preserve"> Ageing Clinical Research Network and the </w:t>
      </w:r>
      <w:r w:rsidRPr="00842651">
        <w:rPr>
          <w:color w:val="auto"/>
        </w:rPr>
        <w:t>NIHR</w:t>
      </w:r>
      <w:r w:rsidRPr="00FE7622">
        <w:rPr>
          <w:color w:val="auto"/>
        </w:rPr>
        <w:t xml:space="preserve"> Primary Care Clinical Research Network</w:t>
      </w:r>
      <w:r w:rsidR="002F7BBC" w:rsidRPr="00FE7622">
        <w:rPr>
          <w:color w:val="auto"/>
        </w:rPr>
        <w:t>.</w:t>
      </w:r>
    </w:p>
    <w:p w14:paraId="068A047E" w14:textId="0AEDA40F" w:rsidR="006B46C1" w:rsidRPr="00FE7622" w:rsidRDefault="006B46C1" w:rsidP="006B46C1">
      <w:pPr>
        <w:pStyle w:val="602TextfoTextstylesTextstyles"/>
        <w:rPr>
          <w:color w:val="auto"/>
        </w:rPr>
      </w:pPr>
      <w:r w:rsidRPr="00FE7622">
        <w:rPr>
          <w:color w:val="auto"/>
        </w:rPr>
        <w:t>The Health Services Research Unit is core funded by the Chief Scientist Office of the Scottish Government Health and Social Care Directorate.</w:t>
      </w:r>
    </w:p>
    <w:p w14:paraId="18B78F14" w14:textId="28F44FC1" w:rsidR="00E038BF" w:rsidRPr="00FE7622" w:rsidRDefault="00E038BF" w:rsidP="001E2BE2">
      <w:pPr>
        <w:pStyle w:val="52AheadHeadingsHeadingstyles"/>
      </w:pPr>
      <w:bookmarkStart w:id="157" w:name="_Toc79684567"/>
      <w:r w:rsidRPr="00FE7622">
        <w:t>Publications</w:t>
      </w:r>
    </w:p>
    <w:bookmarkEnd w:id="157"/>
    <w:p w14:paraId="54F8BB2B" w14:textId="0C2F1922" w:rsidR="00E038BF" w:rsidRPr="00FE7622" w:rsidRDefault="00E038BF" w:rsidP="002F7BBC">
      <w:pPr>
        <w:pStyle w:val="53BheadHeadingsHeadingstyles"/>
      </w:pPr>
      <w:r w:rsidRPr="00FE7622">
        <w:t>Papers</w:t>
      </w:r>
    </w:p>
    <w:p w14:paraId="4F76CFA2" w14:textId="4DC37ADD" w:rsidR="00F026E8" w:rsidRPr="00FE7622" w:rsidRDefault="00F026E8" w:rsidP="001E2BE2">
      <w:pPr>
        <w:pStyle w:val="602TextfoTextstylesTextstyles"/>
        <w:rPr>
          <w:color w:val="auto"/>
        </w:rPr>
      </w:pPr>
      <w:r w:rsidRPr="00FE7622">
        <w:rPr>
          <w:color w:val="auto"/>
        </w:rPr>
        <w:t xml:space="preserve">Band MM, Sumukadas D, Struthers AD, Avenell A, Donnan PT, Kemp PR, </w:t>
      </w:r>
      <w:r w:rsidR="00E038BF" w:rsidRPr="00FE7622">
        <w:rPr>
          <w:i/>
          <w:iCs/>
          <w:color w:val="auto"/>
        </w:rPr>
        <w:t>et</w:t>
      </w:r>
      <w:r w:rsidR="000661C3" w:rsidRPr="00FE7622">
        <w:rPr>
          <w:color w:val="auto"/>
        </w:rPr>
        <w:t xml:space="preserve"> </w:t>
      </w:r>
      <w:r w:rsidR="00E038BF" w:rsidRPr="00FE7622">
        <w:rPr>
          <w:i/>
          <w:iCs/>
          <w:color w:val="auto"/>
        </w:rPr>
        <w:t>al</w:t>
      </w:r>
      <w:r w:rsidRPr="00FE7622">
        <w:rPr>
          <w:color w:val="auto"/>
        </w:rPr>
        <w:t>. Leucine and ACE inhibitors as therapies for sarcopenia (</w:t>
      </w:r>
      <w:r w:rsidRPr="00842651">
        <w:rPr>
          <w:color w:val="auto"/>
        </w:rPr>
        <w:t>LACE</w:t>
      </w:r>
      <w:r w:rsidRPr="00FE7622">
        <w:rPr>
          <w:color w:val="auto"/>
        </w:rPr>
        <w:t xml:space="preserve"> trial): study protocol for a randomised controlled trial. </w:t>
      </w:r>
      <w:r w:rsidR="00E038BF" w:rsidRPr="00FE7622">
        <w:rPr>
          <w:i/>
          <w:iCs/>
          <w:color w:val="auto"/>
        </w:rPr>
        <w:t>Trials</w:t>
      </w:r>
      <w:r w:rsidRPr="00FE7622">
        <w:rPr>
          <w:color w:val="auto"/>
        </w:rPr>
        <w:t xml:space="preserve"> 2018;</w:t>
      </w:r>
      <w:r w:rsidR="00E038BF" w:rsidRPr="00FE7622">
        <w:rPr>
          <w:b/>
          <w:bCs/>
          <w:color w:val="auto"/>
        </w:rPr>
        <w:t>19</w:t>
      </w:r>
      <w:r w:rsidRPr="00FE7622">
        <w:rPr>
          <w:color w:val="auto"/>
        </w:rPr>
        <w:t>:6.</w:t>
      </w:r>
    </w:p>
    <w:p w14:paraId="1C084ED3" w14:textId="5F4D4CEF" w:rsidR="00F026E8" w:rsidRPr="00FE7622" w:rsidRDefault="00F026E8" w:rsidP="001E2BE2">
      <w:pPr>
        <w:pStyle w:val="602TextfoTextstylesTextstyles"/>
        <w:rPr>
          <w:color w:val="auto"/>
        </w:rPr>
      </w:pPr>
      <w:r w:rsidRPr="00FE7622">
        <w:rPr>
          <w:color w:val="auto"/>
        </w:rPr>
        <w:t xml:space="preserve">Caulfield L, Heslop P, Walesby KE, Sumukadas D, Sayer AA, Witham MD. Effect of </w:t>
      </w:r>
      <w:r w:rsidR="000661C3" w:rsidRPr="00FE7622">
        <w:rPr>
          <w:color w:val="auto"/>
        </w:rPr>
        <w:t>angiotensin system inhibitors on physical performance in older people – a systematic review and meta</w:t>
      </w:r>
      <w:r w:rsidRPr="00FE7622">
        <w:rPr>
          <w:color w:val="auto"/>
        </w:rPr>
        <w:t>-</w:t>
      </w:r>
      <w:r w:rsidR="000661C3" w:rsidRPr="00FE7622">
        <w:rPr>
          <w:color w:val="auto"/>
        </w:rPr>
        <w:t>a</w:t>
      </w:r>
      <w:r w:rsidRPr="00FE7622">
        <w:rPr>
          <w:color w:val="auto"/>
        </w:rPr>
        <w:t xml:space="preserve">nalysis. </w:t>
      </w:r>
      <w:r w:rsidR="00E038BF" w:rsidRPr="00FE7622">
        <w:rPr>
          <w:i/>
          <w:iCs/>
          <w:color w:val="auto"/>
        </w:rPr>
        <w:t>J Am Med Dir Assoc</w:t>
      </w:r>
      <w:r w:rsidRPr="00FE7622">
        <w:rPr>
          <w:color w:val="auto"/>
        </w:rPr>
        <w:t xml:space="preserve"> 2020;</w:t>
      </w:r>
      <w:r w:rsidR="00E038BF" w:rsidRPr="00FE7622">
        <w:rPr>
          <w:b/>
          <w:bCs/>
          <w:color w:val="auto"/>
        </w:rPr>
        <w:t>21</w:t>
      </w:r>
      <w:r w:rsidRPr="00FE7622">
        <w:rPr>
          <w:color w:val="auto"/>
        </w:rPr>
        <w:t>:1215–21.</w:t>
      </w:r>
    </w:p>
    <w:p w14:paraId="05C4A762" w14:textId="338D4A7C" w:rsidR="00F026E8" w:rsidRPr="00FE7622" w:rsidRDefault="00F026E8" w:rsidP="001E2BE2">
      <w:pPr>
        <w:pStyle w:val="602TextfoTextstylesTextstyles"/>
        <w:rPr>
          <w:color w:val="auto"/>
        </w:rPr>
      </w:pPr>
      <w:r w:rsidRPr="00FE7622">
        <w:rPr>
          <w:color w:val="auto"/>
        </w:rPr>
        <w:t xml:space="preserve">Witham MD, Achison M, Aspray TJ, Avenell A, Band MM, Donnan PT, </w:t>
      </w:r>
      <w:r w:rsidR="00E038BF" w:rsidRPr="00FE7622">
        <w:rPr>
          <w:i/>
          <w:iCs/>
          <w:color w:val="auto"/>
        </w:rPr>
        <w:t>et</w:t>
      </w:r>
      <w:r w:rsidR="000661C3" w:rsidRPr="00FE7622">
        <w:rPr>
          <w:color w:val="auto"/>
        </w:rPr>
        <w:t xml:space="preserve"> </w:t>
      </w:r>
      <w:r w:rsidR="00E038BF" w:rsidRPr="00FE7622">
        <w:rPr>
          <w:i/>
          <w:iCs/>
          <w:color w:val="auto"/>
        </w:rPr>
        <w:t>al</w:t>
      </w:r>
      <w:r w:rsidRPr="00FE7622">
        <w:rPr>
          <w:color w:val="auto"/>
        </w:rPr>
        <w:t xml:space="preserve">. Recruitment strategies for sarcopenia trials – lessons from the </w:t>
      </w:r>
      <w:r w:rsidRPr="00842651">
        <w:rPr>
          <w:color w:val="auto"/>
        </w:rPr>
        <w:t>LACE</w:t>
      </w:r>
      <w:r w:rsidRPr="00FE7622">
        <w:rPr>
          <w:color w:val="auto"/>
        </w:rPr>
        <w:t xml:space="preserve"> randomised controlled trial. </w:t>
      </w:r>
      <w:r w:rsidR="00E038BF" w:rsidRPr="00FE7622">
        <w:rPr>
          <w:i/>
          <w:iCs/>
          <w:color w:val="auto"/>
        </w:rPr>
        <w:t>JCSM Rapid Comms</w:t>
      </w:r>
      <w:r w:rsidRPr="00FE7622">
        <w:rPr>
          <w:color w:val="auto"/>
        </w:rPr>
        <w:t xml:space="preserve"> 2021</w:t>
      </w:r>
      <w:r w:rsidR="00E045BA" w:rsidRPr="00FE7622">
        <w:rPr>
          <w:color w:val="auto"/>
        </w:rPr>
        <w:t>;</w:t>
      </w:r>
      <w:r w:rsidR="00E038BF" w:rsidRPr="00FE7622">
        <w:rPr>
          <w:b/>
          <w:bCs/>
          <w:color w:val="auto"/>
        </w:rPr>
        <w:t>4</w:t>
      </w:r>
      <w:r w:rsidR="00E045BA" w:rsidRPr="00FE7622">
        <w:rPr>
          <w:color w:val="auto"/>
        </w:rPr>
        <w:t>:93–102.</w:t>
      </w:r>
    </w:p>
    <w:p w14:paraId="54C0B219" w14:textId="452B9088" w:rsidR="00E038BF" w:rsidRPr="00FE7622" w:rsidRDefault="00E038BF" w:rsidP="002F7BBC">
      <w:pPr>
        <w:pStyle w:val="53BheadHeadingsHeadingstyles"/>
      </w:pPr>
      <w:bookmarkStart w:id="158" w:name="_Toc79684568"/>
      <w:r w:rsidRPr="00FE7622">
        <w:t>Abstracts</w:t>
      </w:r>
      <w:bookmarkEnd w:id="158"/>
    </w:p>
    <w:p w14:paraId="543BC8E0" w14:textId="4E6F52D5" w:rsidR="00F026E8" w:rsidRPr="00FE7622" w:rsidRDefault="00F026E8" w:rsidP="001E2BE2">
      <w:pPr>
        <w:pStyle w:val="602TextfoTextstylesTextstyles"/>
        <w:rPr>
          <w:color w:val="auto"/>
        </w:rPr>
      </w:pPr>
      <w:r w:rsidRPr="00FE7622">
        <w:rPr>
          <w:color w:val="auto"/>
        </w:rPr>
        <w:t xml:space="preserve">Band M, Hume C, Pilvynte K, Achison M, Smith K, Avenell A, </w:t>
      </w:r>
      <w:r w:rsidR="00E038BF" w:rsidRPr="00FE7622">
        <w:rPr>
          <w:i/>
          <w:iCs/>
          <w:color w:val="auto"/>
        </w:rPr>
        <w:t>et</w:t>
      </w:r>
      <w:r w:rsidR="000661C3" w:rsidRPr="00FE7622">
        <w:rPr>
          <w:color w:val="auto"/>
        </w:rPr>
        <w:t xml:space="preserve"> </w:t>
      </w:r>
      <w:r w:rsidR="00E038BF" w:rsidRPr="00FE7622">
        <w:rPr>
          <w:i/>
          <w:iCs/>
          <w:color w:val="auto"/>
        </w:rPr>
        <w:t>al</w:t>
      </w:r>
      <w:r w:rsidRPr="00FE7622">
        <w:rPr>
          <w:color w:val="auto"/>
        </w:rPr>
        <w:t xml:space="preserve">. </w:t>
      </w:r>
      <w:r w:rsidR="00E038BF" w:rsidRPr="00FE7622">
        <w:rPr>
          <w:i/>
          <w:iCs/>
          <w:color w:val="auto"/>
        </w:rPr>
        <w:t xml:space="preserve">Recruitment Methods for Sarcopenia Trials – Lessons from the </w:t>
      </w:r>
      <w:r w:rsidR="00E038BF" w:rsidRPr="00842651">
        <w:rPr>
          <w:i/>
          <w:iCs/>
          <w:color w:val="auto"/>
        </w:rPr>
        <w:t>LACE</w:t>
      </w:r>
      <w:r w:rsidR="00E038BF" w:rsidRPr="00FE7622">
        <w:rPr>
          <w:i/>
          <w:iCs/>
          <w:color w:val="auto"/>
        </w:rPr>
        <w:t xml:space="preserve"> Randomised Controlled Trial.</w:t>
      </w:r>
      <w:r w:rsidRPr="00FE7622">
        <w:rPr>
          <w:color w:val="auto"/>
        </w:rPr>
        <w:t xml:space="preserve"> International Clinical Trials Methodology Conference, Brighton, UK</w:t>
      </w:r>
      <w:r w:rsidR="000661C3" w:rsidRPr="00FE7622">
        <w:rPr>
          <w:color w:val="auto"/>
        </w:rPr>
        <w:t>,</w:t>
      </w:r>
      <w:r w:rsidRPr="00FE7622">
        <w:rPr>
          <w:color w:val="auto"/>
        </w:rPr>
        <w:t xml:space="preserve"> October 2019.</w:t>
      </w:r>
    </w:p>
    <w:p w14:paraId="14962A38" w14:textId="4237FF60" w:rsidR="00F026E8" w:rsidRPr="00FE7622" w:rsidRDefault="00F026E8" w:rsidP="001E2BE2">
      <w:pPr>
        <w:pStyle w:val="602TextfoTextstylesTextstyles"/>
        <w:rPr>
          <w:color w:val="auto"/>
        </w:rPr>
      </w:pPr>
      <w:bookmarkStart w:id="159" w:name="_Hlk79656602"/>
      <w:r w:rsidRPr="00FE7622">
        <w:rPr>
          <w:color w:val="auto"/>
        </w:rPr>
        <w:t xml:space="preserve">Witham MD, Adamson S, Avenell A, Band MM, Donnan PT, George J, </w:t>
      </w:r>
      <w:r w:rsidR="00E038BF" w:rsidRPr="00FE7622">
        <w:rPr>
          <w:i/>
          <w:iCs/>
          <w:color w:val="auto"/>
        </w:rPr>
        <w:t>et</w:t>
      </w:r>
      <w:r w:rsidR="000661C3" w:rsidRPr="00FE7622">
        <w:rPr>
          <w:color w:val="auto"/>
        </w:rPr>
        <w:t xml:space="preserve"> </w:t>
      </w:r>
      <w:r w:rsidR="00E038BF" w:rsidRPr="00FE7622">
        <w:rPr>
          <w:i/>
          <w:iCs/>
          <w:color w:val="auto"/>
        </w:rPr>
        <w:t>al</w:t>
      </w:r>
      <w:r w:rsidRPr="00FE7622">
        <w:rPr>
          <w:color w:val="auto"/>
        </w:rPr>
        <w:t xml:space="preserve">. </w:t>
      </w:r>
      <w:r w:rsidR="00E038BF" w:rsidRPr="00FE7622">
        <w:rPr>
          <w:i/>
          <w:iCs/>
          <w:color w:val="auto"/>
        </w:rPr>
        <w:t xml:space="preserve">Effect of Perindopril on Physical Performance, Muscle Mass and Quality of Life in Older People with Sarcopenia: Results From the </w:t>
      </w:r>
      <w:r w:rsidR="00E038BF" w:rsidRPr="00842651">
        <w:rPr>
          <w:i/>
          <w:iCs/>
          <w:color w:val="auto"/>
        </w:rPr>
        <w:t>LACE</w:t>
      </w:r>
      <w:r w:rsidR="00E038BF" w:rsidRPr="00FE7622">
        <w:rPr>
          <w:i/>
          <w:iCs/>
          <w:color w:val="auto"/>
        </w:rPr>
        <w:t xml:space="preserve"> Randomised Controlled Trial.</w:t>
      </w:r>
      <w:r w:rsidRPr="00FE7622">
        <w:rPr>
          <w:color w:val="auto"/>
        </w:rPr>
        <w:t xml:space="preserve"> International Translational Sarcopenia Research Conference, Newcastle</w:t>
      </w:r>
      <w:r w:rsidR="00E045BA" w:rsidRPr="00FE7622">
        <w:rPr>
          <w:color w:val="auto"/>
        </w:rPr>
        <w:t xml:space="preserve"> upon Tyne</w:t>
      </w:r>
      <w:r w:rsidRPr="00FE7622">
        <w:rPr>
          <w:color w:val="auto"/>
        </w:rPr>
        <w:t>, UK</w:t>
      </w:r>
      <w:r w:rsidR="000661C3" w:rsidRPr="00FE7622">
        <w:rPr>
          <w:color w:val="auto"/>
        </w:rPr>
        <w:t>,</w:t>
      </w:r>
      <w:r w:rsidRPr="00FE7622">
        <w:rPr>
          <w:color w:val="auto"/>
        </w:rPr>
        <w:t xml:space="preserve"> June 2021.</w:t>
      </w:r>
      <w:bookmarkEnd w:id="159"/>
    </w:p>
    <w:p w14:paraId="5FDE6EF3" w14:textId="611783C6" w:rsidR="00F026E8" w:rsidRPr="00FE7622" w:rsidRDefault="00F026E8" w:rsidP="001E2BE2">
      <w:pPr>
        <w:pStyle w:val="602TextfoTextstylesTextstyles"/>
        <w:rPr>
          <w:color w:val="auto"/>
        </w:rPr>
      </w:pPr>
      <w:r w:rsidRPr="00FE7622">
        <w:rPr>
          <w:color w:val="auto"/>
        </w:rPr>
        <w:t xml:space="preserve">Witham MD, Adamson S, Avenell A, Band MM, Donnan PT, George J, </w:t>
      </w:r>
      <w:r w:rsidR="00E038BF" w:rsidRPr="00FE7622">
        <w:rPr>
          <w:i/>
          <w:iCs/>
          <w:color w:val="auto"/>
        </w:rPr>
        <w:t>et</w:t>
      </w:r>
      <w:r w:rsidR="00332B04" w:rsidRPr="00FE7622">
        <w:rPr>
          <w:color w:val="auto"/>
        </w:rPr>
        <w:t xml:space="preserve"> </w:t>
      </w:r>
      <w:r w:rsidR="00E038BF" w:rsidRPr="00FE7622">
        <w:rPr>
          <w:i/>
          <w:iCs/>
          <w:color w:val="auto"/>
        </w:rPr>
        <w:t>al</w:t>
      </w:r>
      <w:r w:rsidRPr="00FE7622">
        <w:rPr>
          <w:color w:val="auto"/>
        </w:rPr>
        <w:t xml:space="preserve">. </w:t>
      </w:r>
      <w:r w:rsidR="00E038BF" w:rsidRPr="00FE7622">
        <w:rPr>
          <w:i/>
          <w:iCs/>
          <w:color w:val="auto"/>
        </w:rPr>
        <w:t xml:space="preserve">Effect of Leucine Supplementation on Physical Performance, Muscle Mass and Quality of Life in older people with sarcopenia: results from the </w:t>
      </w:r>
      <w:r w:rsidR="00E038BF" w:rsidRPr="00842651">
        <w:rPr>
          <w:i/>
          <w:iCs/>
          <w:color w:val="auto"/>
        </w:rPr>
        <w:t>LACE</w:t>
      </w:r>
      <w:r w:rsidR="00E038BF" w:rsidRPr="00FE7622">
        <w:rPr>
          <w:i/>
          <w:iCs/>
          <w:color w:val="auto"/>
        </w:rPr>
        <w:t xml:space="preserve"> Randomised Controlled Trial. </w:t>
      </w:r>
      <w:r w:rsidRPr="00FE7622">
        <w:rPr>
          <w:color w:val="auto"/>
        </w:rPr>
        <w:t>International Translational Sarcopenia Research Conference, Newcastle</w:t>
      </w:r>
      <w:r w:rsidR="00E045BA" w:rsidRPr="00FE7622">
        <w:rPr>
          <w:color w:val="auto"/>
        </w:rPr>
        <w:t xml:space="preserve"> upon Tyne</w:t>
      </w:r>
      <w:r w:rsidRPr="00FE7622">
        <w:rPr>
          <w:color w:val="auto"/>
        </w:rPr>
        <w:t>, UK</w:t>
      </w:r>
      <w:r w:rsidR="000661C3" w:rsidRPr="00FE7622">
        <w:rPr>
          <w:color w:val="auto"/>
        </w:rPr>
        <w:t>,</w:t>
      </w:r>
      <w:r w:rsidRPr="00FE7622">
        <w:rPr>
          <w:color w:val="auto"/>
        </w:rPr>
        <w:t xml:space="preserve"> June 2021.</w:t>
      </w:r>
    </w:p>
    <w:p w14:paraId="7F84FB7F" w14:textId="44411C11" w:rsidR="00E038BF" w:rsidRPr="00FE7622" w:rsidRDefault="00E038BF" w:rsidP="001E2BE2">
      <w:pPr>
        <w:pStyle w:val="52AheadHeadingsHeadingstyles"/>
      </w:pPr>
      <w:bookmarkStart w:id="160" w:name="_Toc79684569"/>
      <w:r w:rsidRPr="00FE7622">
        <w:t>Data-sharing</w:t>
      </w:r>
      <w:bookmarkEnd w:id="160"/>
      <w:r w:rsidRPr="00FE7622">
        <w:t xml:space="preserve"> statement</w:t>
      </w:r>
    </w:p>
    <w:p w14:paraId="5AF7C1EC" w14:textId="1FC9A2C7" w:rsidR="00F026E8" w:rsidRPr="00FE7622" w:rsidRDefault="00F026E8" w:rsidP="001E2BE2">
      <w:pPr>
        <w:pStyle w:val="602TextfoTextstylesTextstyles"/>
        <w:rPr>
          <w:color w:val="auto"/>
        </w:rPr>
      </w:pPr>
      <w:r w:rsidRPr="00FE7622">
        <w:rPr>
          <w:color w:val="auto"/>
        </w:rPr>
        <w:t xml:space="preserve">All data requests should be addressed to the corresponding author or the trial </w:t>
      </w:r>
      <w:r w:rsidR="002F7BBC" w:rsidRPr="00FE7622">
        <w:rPr>
          <w:color w:val="auto"/>
        </w:rPr>
        <w:t>s</w:t>
      </w:r>
      <w:r w:rsidRPr="00FE7622">
        <w:rPr>
          <w:color w:val="auto"/>
        </w:rPr>
        <w:t>ponsor for consideration. Access to anonymised data may be granted following review.</w:t>
      </w:r>
    </w:p>
    <w:p w14:paraId="7CF7E605" w14:textId="4A36A9E0" w:rsidR="00E038BF" w:rsidRPr="00FE7622" w:rsidRDefault="00E038BF" w:rsidP="0011478F">
      <w:pPr>
        <w:pStyle w:val="52AheadHeadingsHeadingstyles"/>
      </w:pPr>
      <w:r w:rsidRPr="00FE7622">
        <w:t>Patient data</w:t>
      </w:r>
    </w:p>
    <w:p w14:paraId="25B8A10E" w14:textId="15766744" w:rsidR="0011478F" w:rsidRPr="00FE7622" w:rsidRDefault="0011478F" w:rsidP="0011478F">
      <w:pPr>
        <w:pStyle w:val="602TextfoTextstylesTextstyles"/>
        <w:rPr>
          <w:color w:val="auto"/>
        </w:rPr>
      </w:pPr>
      <w:r w:rsidRPr="00FE7622">
        <w:rPr>
          <w:rFonts w:eastAsia="Calibri"/>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6DD765F4" w14:textId="2178D4E0" w:rsidR="00F026E8" w:rsidRPr="00FE7622" w:rsidRDefault="00F026E8" w:rsidP="001E2BE2">
      <w:pPr>
        <w:pStyle w:val="43PrelimtitleHeadingsHeadingstyles"/>
      </w:pPr>
      <w:bookmarkStart w:id="161" w:name="_Toc79684570"/>
      <w:r w:rsidRPr="00FE7622">
        <w:t>References</w:t>
      </w:r>
      <w:bookmarkEnd w:id="161"/>
    </w:p>
    <w:p w14:paraId="033150F4" w14:textId="7A644D4D" w:rsidR="004E78FE" w:rsidRPr="00FE7622" w:rsidRDefault="004E78FE" w:rsidP="004E78FE">
      <w:pPr>
        <w:pStyle w:val="65ReferencesTextstylesTextstyles"/>
        <w:rPr>
          <w:color w:val="auto"/>
        </w:rPr>
      </w:pPr>
      <w:r w:rsidRPr="00FE7622">
        <w:rPr>
          <w:color w:val="auto"/>
        </w:rPr>
        <w:t>1.</w:t>
      </w:r>
      <w:r w:rsidRPr="00FE7622">
        <w:rPr>
          <w:color w:val="auto"/>
        </w:rPr>
        <w:tab/>
        <w:t xml:space="preserve">Cruz-Jentoft A, Sayer AA. Sarcopenia. </w:t>
      </w:r>
      <w:r w:rsidR="00E038BF" w:rsidRPr="00FE7622">
        <w:rPr>
          <w:i/>
          <w:iCs/>
          <w:color w:val="auto"/>
        </w:rPr>
        <w:t>Lancet</w:t>
      </w:r>
      <w:r w:rsidRPr="00FE7622">
        <w:rPr>
          <w:color w:val="auto"/>
        </w:rPr>
        <w:t xml:space="preserve"> 2019;</w:t>
      </w:r>
      <w:r w:rsidR="00E038BF" w:rsidRPr="00FE7622">
        <w:rPr>
          <w:b/>
          <w:bCs/>
          <w:color w:val="auto"/>
        </w:rPr>
        <w:t>393</w:t>
      </w:r>
      <w:r w:rsidRPr="00FE7622">
        <w:rPr>
          <w:color w:val="auto"/>
        </w:rPr>
        <w:t>:2636</w:t>
      </w:r>
      <w:r w:rsidR="00463413" w:rsidRPr="00FE7622">
        <w:rPr>
          <w:color w:val="auto"/>
        </w:rPr>
        <w:t>–</w:t>
      </w:r>
      <w:r w:rsidRPr="00FE7622">
        <w:rPr>
          <w:color w:val="auto"/>
        </w:rPr>
        <w:t>46.</w:t>
      </w:r>
    </w:p>
    <w:p w14:paraId="15FB6534" w14:textId="74F68C9D" w:rsidR="004E78FE" w:rsidRPr="00FE7622" w:rsidRDefault="004E78FE" w:rsidP="004E78FE">
      <w:pPr>
        <w:pStyle w:val="65ReferencesTextstylesTextstyles"/>
        <w:rPr>
          <w:color w:val="auto"/>
        </w:rPr>
      </w:pPr>
      <w:r w:rsidRPr="00FE7622">
        <w:rPr>
          <w:color w:val="auto"/>
        </w:rPr>
        <w:t>2.</w:t>
      </w:r>
      <w:r w:rsidRPr="00FE7622">
        <w:rPr>
          <w:color w:val="auto"/>
        </w:rPr>
        <w:tab/>
        <w:t xml:space="preserve">Patel HP, Syddall HE, Jameson K, Robinson S, Denison H, Roberts HC, </w:t>
      </w:r>
      <w:r w:rsidR="00E038BF" w:rsidRPr="00FE7622">
        <w:rPr>
          <w:i/>
          <w:color w:val="auto"/>
        </w:rPr>
        <w:t>et al</w:t>
      </w:r>
      <w:r w:rsidRPr="00FE7622">
        <w:rPr>
          <w:color w:val="auto"/>
        </w:rPr>
        <w:t>. Prevalence of sarcopenia in community-dwelling older people in the UK using the European Working Group on Sarcopenia in Older People (</w:t>
      </w:r>
      <w:r w:rsidRPr="00842651">
        <w:rPr>
          <w:color w:val="auto"/>
        </w:rPr>
        <w:t>EWGSOP</w:t>
      </w:r>
      <w:r w:rsidRPr="00FE7622">
        <w:rPr>
          <w:color w:val="auto"/>
        </w:rPr>
        <w:t xml:space="preserve">) definition: findings from the Hertfordshire Cohort Study (HCS). </w:t>
      </w:r>
      <w:r w:rsidR="00E038BF" w:rsidRPr="00FE7622">
        <w:rPr>
          <w:i/>
          <w:color w:val="auto"/>
        </w:rPr>
        <w:t>Age Ageing</w:t>
      </w:r>
      <w:r w:rsidRPr="00FE7622">
        <w:rPr>
          <w:color w:val="auto"/>
        </w:rPr>
        <w:t xml:space="preserve"> 2013;</w:t>
      </w:r>
      <w:r w:rsidR="00E038BF" w:rsidRPr="00FE7622">
        <w:rPr>
          <w:b/>
          <w:color w:val="auto"/>
        </w:rPr>
        <w:t>42</w:t>
      </w:r>
      <w:r w:rsidRPr="00FE7622">
        <w:rPr>
          <w:color w:val="auto"/>
        </w:rPr>
        <w:t>:378–84. https://doi.org/10.1093/ageing/afs197</w:t>
      </w:r>
    </w:p>
    <w:p w14:paraId="68663716" w14:textId="317D56CD" w:rsidR="004E78FE" w:rsidRPr="00FE7622" w:rsidRDefault="004E78FE" w:rsidP="004E78FE">
      <w:pPr>
        <w:pStyle w:val="65ReferencesTextstylesTextstyles"/>
        <w:rPr>
          <w:color w:val="auto"/>
        </w:rPr>
      </w:pPr>
      <w:r w:rsidRPr="00FE7622">
        <w:rPr>
          <w:color w:val="auto"/>
        </w:rPr>
        <w:t>3.</w:t>
      </w:r>
      <w:r w:rsidRPr="00FE7622">
        <w:rPr>
          <w:color w:val="auto"/>
        </w:rPr>
        <w:tab/>
        <w:t xml:space="preserve">Cruz-Jentoft AJ, Landi F, Schneider SM, Zúñiga C, Arai H, Boirie Y, </w:t>
      </w:r>
      <w:r w:rsidR="00E038BF" w:rsidRPr="00FE7622">
        <w:rPr>
          <w:i/>
          <w:color w:val="auto"/>
        </w:rPr>
        <w:t>et al</w:t>
      </w:r>
      <w:r w:rsidRPr="00FE7622">
        <w:rPr>
          <w:color w:val="auto"/>
        </w:rPr>
        <w:t>. Prevalence of and interventions for sarcopenia in ageing adults: a systematic review. Report of the International Sarcopenia Initiative (</w:t>
      </w:r>
      <w:r w:rsidRPr="00842651">
        <w:rPr>
          <w:color w:val="auto"/>
        </w:rPr>
        <w:t>EWGSOP</w:t>
      </w:r>
      <w:r w:rsidRPr="00FE7622">
        <w:rPr>
          <w:color w:val="auto"/>
        </w:rPr>
        <w:t xml:space="preserve"> and IWGS). </w:t>
      </w:r>
      <w:r w:rsidR="00E038BF" w:rsidRPr="00FE7622">
        <w:rPr>
          <w:i/>
          <w:color w:val="auto"/>
        </w:rPr>
        <w:t>Age Ageing</w:t>
      </w:r>
      <w:r w:rsidRPr="00FE7622">
        <w:rPr>
          <w:color w:val="auto"/>
        </w:rPr>
        <w:t xml:space="preserve"> 2014;</w:t>
      </w:r>
      <w:r w:rsidR="00E038BF" w:rsidRPr="00FE7622">
        <w:rPr>
          <w:b/>
          <w:color w:val="auto"/>
        </w:rPr>
        <w:t>43</w:t>
      </w:r>
      <w:r w:rsidRPr="00FE7622">
        <w:rPr>
          <w:color w:val="auto"/>
        </w:rPr>
        <w:t>:748–59. https://doi.org/10.1093/ageing/afu115</w:t>
      </w:r>
    </w:p>
    <w:p w14:paraId="345C2481" w14:textId="3077C260" w:rsidR="004E78FE" w:rsidRPr="00FE7622" w:rsidRDefault="004E78FE" w:rsidP="004E78FE">
      <w:pPr>
        <w:pStyle w:val="65ReferencesTextstylesTextstyles"/>
        <w:rPr>
          <w:color w:val="auto"/>
        </w:rPr>
      </w:pPr>
      <w:r w:rsidRPr="00FE7622">
        <w:rPr>
          <w:color w:val="auto"/>
        </w:rPr>
        <w:t>4.</w:t>
      </w:r>
      <w:r w:rsidRPr="00FE7622">
        <w:rPr>
          <w:color w:val="auto"/>
        </w:rPr>
        <w:tab/>
        <w:t xml:space="preserve">Beaudart C, Zaaria M, Pasleau F, Reginster JY, Bruyère O. Health </w:t>
      </w:r>
      <w:r w:rsidR="00463413" w:rsidRPr="00FE7622">
        <w:rPr>
          <w:color w:val="auto"/>
        </w:rPr>
        <w:t>outcomes of sarcopenia: a systematic review and meta-analysi</w:t>
      </w:r>
      <w:r w:rsidRPr="00FE7622">
        <w:rPr>
          <w:color w:val="auto"/>
        </w:rPr>
        <w:t xml:space="preserve">s. </w:t>
      </w:r>
      <w:r w:rsidR="00E038BF" w:rsidRPr="00FE7622">
        <w:rPr>
          <w:i/>
          <w:color w:val="auto"/>
        </w:rPr>
        <w:t>PLOS ONE</w:t>
      </w:r>
      <w:r w:rsidRPr="00FE7622">
        <w:rPr>
          <w:color w:val="auto"/>
        </w:rPr>
        <w:t xml:space="preserve"> 2017;</w:t>
      </w:r>
      <w:r w:rsidR="00E038BF" w:rsidRPr="00FE7622">
        <w:rPr>
          <w:b/>
          <w:color w:val="auto"/>
        </w:rPr>
        <w:t>12</w:t>
      </w:r>
      <w:r w:rsidRPr="00FE7622">
        <w:rPr>
          <w:color w:val="auto"/>
        </w:rPr>
        <w:t>:e0169548. https://doi.org/10.1371/journal.pone.0169548</w:t>
      </w:r>
    </w:p>
    <w:p w14:paraId="4DF136B7" w14:textId="7D68B6C9" w:rsidR="004E78FE" w:rsidRPr="00FE7622" w:rsidRDefault="004E78FE" w:rsidP="004E78FE">
      <w:pPr>
        <w:pStyle w:val="65ReferencesTextstylesTextstyles"/>
        <w:rPr>
          <w:color w:val="auto"/>
        </w:rPr>
      </w:pPr>
      <w:r w:rsidRPr="00FE7622">
        <w:rPr>
          <w:color w:val="auto"/>
        </w:rPr>
        <w:t>5.</w:t>
      </w:r>
      <w:r w:rsidRPr="00FE7622">
        <w:rPr>
          <w:color w:val="auto"/>
        </w:rPr>
        <w:tab/>
        <w:t xml:space="preserve">Pinedo-Villanueva R, Westbury LD, Syddall HE, Sanchez-Santos MT, Dennison EM, Robinson SM, Cooper C. Health </w:t>
      </w:r>
      <w:r w:rsidR="00463413" w:rsidRPr="00FE7622">
        <w:rPr>
          <w:color w:val="auto"/>
        </w:rPr>
        <w:t>care costs associated with muscle weakness: a</w:t>
      </w:r>
      <w:r w:rsidRPr="00FE7622">
        <w:rPr>
          <w:color w:val="auto"/>
        </w:rPr>
        <w:t xml:space="preserve"> UK </w:t>
      </w:r>
      <w:r w:rsidR="00463413" w:rsidRPr="00FE7622">
        <w:rPr>
          <w:color w:val="auto"/>
        </w:rPr>
        <w:t>population-based estimate</w:t>
      </w:r>
      <w:r w:rsidRPr="00FE7622">
        <w:rPr>
          <w:color w:val="auto"/>
        </w:rPr>
        <w:t xml:space="preserve">. </w:t>
      </w:r>
      <w:r w:rsidR="00E038BF" w:rsidRPr="00FE7622">
        <w:rPr>
          <w:i/>
          <w:color w:val="auto"/>
        </w:rPr>
        <w:t>Calcif Tissue Int</w:t>
      </w:r>
      <w:r w:rsidRPr="00FE7622">
        <w:rPr>
          <w:color w:val="auto"/>
        </w:rPr>
        <w:t xml:space="preserve"> 2019;</w:t>
      </w:r>
      <w:r w:rsidR="00E038BF" w:rsidRPr="00FE7622">
        <w:rPr>
          <w:b/>
          <w:color w:val="auto"/>
        </w:rPr>
        <w:t>104</w:t>
      </w:r>
      <w:r w:rsidRPr="00FE7622">
        <w:rPr>
          <w:color w:val="auto"/>
        </w:rPr>
        <w:t>:137–44. https://doi.org/10.1007/s00223-018-0478-1</w:t>
      </w:r>
    </w:p>
    <w:p w14:paraId="39CCD9C1" w14:textId="35393C06" w:rsidR="004E78FE" w:rsidRPr="00FE7622" w:rsidRDefault="004E78FE" w:rsidP="004E78FE">
      <w:pPr>
        <w:pStyle w:val="65ReferencesTextstylesTextstyles"/>
        <w:rPr>
          <w:color w:val="auto"/>
        </w:rPr>
      </w:pPr>
      <w:r w:rsidRPr="00FE7622">
        <w:rPr>
          <w:color w:val="auto"/>
        </w:rPr>
        <w:t>6.</w:t>
      </w:r>
      <w:r w:rsidRPr="00FE7622">
        <w:rPr>
          <w:color w:val="auto"/>
        </w:rPr>
        <w:tab/>
        <w:t xml:space="preserve">Morley JE. Pharmacologic </w:t>
      </w:r>
      <w:r w:rsidR="00463413" w:rsidRPr="00FE7622">
        <w:rPr>
          <w:color w:val="auto"/>
        </w:rPr>
        <w:t xml:space="preserve">options for the treatment of sarcopenia. </w:t>
      </w:r>
      <w:r w:rsidR="00E038BF" w:rsidRPr="00FE7622">
        <w:rPr>
          <w:i/>
          <w:color w:val="auto"/>
        </w:rPr>
        <w:t>Calcif Tissue Int</w:t>
      </w:r>
      <w:r w:rsidRPr="00FE7622">
        <w:rPr>
          <w:color w:val="auto"/>
        </w:rPr>
        <w:t xml:space="preserve"> 2016;</w:t>
      </w:r>
      <w:r w:rsidR="00E038BF" w:rsidRPr="00FE7622">
        <w:rPr>
          <w:b/>
          <w:color w:val="auto"/>
        </w:rPr>
        <w:t>98</w:t>
      </w:r>
      <w:r w:rsidRPr="00FE7622">
        <w:rPr>
          <w:color w:val="auto"/>
        </w:rPr>
        <w:t>:319–33. https://doi.org/10.1007/s00223-015-0022-5</w:t>
      </w:r>
    </w:p>
    <w:p w14:paraId="02CAA1B3" w14:textId="6FC08785" w:rsidR="004E78FE" w:rsidRPr="00FE7622" w:rsidRDefault="004E78FE" w:rsidP="004E78FE">
      <w:pPr>
        <w:pStyle w:val="65ReferencesTextstylesTextstyles"/>
        <w:rPr>
          <w:color w:val="auto"/>
        </w:rPr>
      </w:pPr>
      <w:r w:rsidRPr="00FE7622">
        <w:rPr>
          <w:color w:val="auto"/>
        </w:rPr>
        <w:t>7.</w:t>
      </w:r>
      <w:r w:rsidRPr="00FE7622">
        <w:rPr>
          <w:color w:val="auto"/>
        </w:rPr>
        <w:tab/>
        <w:t xml:space="preserve">Migliavacca E, Tay SKH, Patel HP, Sonntag T, Civiletto G, McFarlane C, </w:t>
      </w:r>
      <w:r w:rsidR="00E038BF" w:rsidRPr="00FE7622">
        <w:rPr>
          <w:i/>
          <w:color w:val="auto"/>
        </w:rPr>
        <w:t>et al</w:t>
      </w:r>
      <w:r w:rsidRPr="00FE7622">
        <w:rPr>
          <w:color w:val="auto"/>
        </w:rPr>
        <w:t xml:space="preserve">. Mitochondrial oxidative capacity and NAD+ biosynthesis are reduced in human sarcopenia across ethnicities. </w:t>
      </w:r>
      <w:r w:rsidR="00E038BF" w:rsidRPr="00FE7622">
        <w:rPr>
          <w:i/>
          <w:color w:val="auto"/>
        </w:rPr>
        <w:t>Nat Commun</w:t>
      </w:r>
      <w:r w:rsidRPr="00FE7622">
        <w:rPr>
          <w:color w:val="auto"/>
        </w:rPr>
        <w:t xml:space="preserve"> 2019;</w:t>
      </w:r>
      <w:r w:rsidR="00E038BF" w:rsidRPr="00FE7622">
        <w:rPr>
          <w:b/>
          <w:color w:val="auto"/>
        </w:rPr>
        <w:t>10</w:t>
      </w:r>
      <w:r w:rsidRPr="00FE7622">
        <w:rPr>
          <w:color w:val="auto"/>
        </w:rPr>
        <w:t>:5808. https://doi.org/10.1038/s41467-019-13694-1</w:t>
      </w:r>
    </w:p>
    <w:p w14:paraId="32AA08AD" w14:textId="481BF53F" w:rsidR="004E78FE" w:rsidRPr="00FE7622" w:rsidRDefault="004E78FE" w:rsidP="004E78FE">
      <w:pPr>
        <w:pStyle w:val="65ReferencesTextstylesTextstyles"/>
        <w:rPr>
          <w:color w:val="auto"/>
        </w:rPr>
      </w:pPr>
      <w:r w:rsidRPr="00FE7622">
        <w:rPr>
          <w:color w:val="auto"/>
        </w:rPr>
        <w:t>8.</w:t>
      </w:r>
      <w:r w:rsidRPr="00FE7622">
        <w:rPr>
          <w:color w:val="auto"/>
        </w:rPr>
        <w:tab/>
        <w:t xml:space="preserve">Kilsby AJ, Sayer AA, Witham MD. Selecting </w:t>
      </w:r>
      <w:r w:rsidR="00E13C38" w:rsidRPr="00FE7622">
        <w:rPr>
          <w:color w:val="auto"/>
        </w:rPr>
        <w:t>potential pharmacological interventions in sarcopenia</w:t>
      </w:r>
      <w:r w:rsidRPr="00FE7622">
        <w:rPr>
          <w:color w:val="auto"/>
        </w:rPr>
        <w:t xml:space="preserve">. </w:t>
      </w:r>
      <w:r w:rsidR="00E038BF" w:rsidRPr="00FE7622">
        <w:rPr>
          <w:i/>
          <w:color w:val="auto"/>
        </w:rPr>
        <w:t>Drugs Aging</w:t>
      </w:r>
      <w:r w:rsidRPr="00FE7622">
        <w:rPr>
          <w:color w:val="auto"/>
        </w:rPr>
        <w:t xml:space="preserve"> 2017;</w:t>
      </w:r>
      <w:r w:rsidR="00E038BF" w:rsidRPr="00FE7622">
        <w:rPr>
          <w:b/>
          <w:color w:val="auto"/>
        </w:rPr>
        <w:t>34</w:t>
      </w:r>
      <w:r w:rsidRPr="00FE7622">
        <w:rPr>
          <w:color w:val="auto"/>
        </w:rPr>
        <w:t>:233–40. https://doi.org/10.1007/s40266-017-0444-z</w:t>
      </w:r>
    </w:p>
    <w:p w14:paraId="401B949D" w14:textId="739C5C82" w:rsidR="004E78FE" w:rsidRPr="00FE7622" w:rsidRDefault="004E78FE" w:rsidP="004E78FE">
      <w:pPr>
        <w:pStyle w:val="65ReferencesTextstylesTextstyles"/>
        <w:rPr>
          <w:color w:val="auto"/>
        </w:rPr>
      </w:pPr>
      <w:r w:rsidRPr="00FE7622">
        <w:rPr>
          <w:color w:val="auto"/>
        </w:rPr>
        <w:t>9.</w:t>
      </w:r>
      <w:r w:rsidRPr="00FE7622">
        <w:rPr>
          <w:color w:val="auto"/>
        </w:rPr>
        <w:tab/>
        <w:t xml:space="preserve">Witham MD. Bridging the gap between the laboratory and the clinic for patients with sarcopenia. </w:t>
      </w:r>
      <w:r w:rsidR="00E038BF" w:rsidRPr="00FE7622">
        <w:rPr>
          <w:i/>
          <w:color w:val="auto"/>
        </w:rPr>
        <w:t>Biogerontology</w:t>
      </w:r>
      <w:r w:rsidRPr="00FE7622">
        <w:rPr>
          <w:color w:val="auto"/>
        </w:rPr>
        <w:t xml:space="preserve"> 2019;</w:t>
      </w:r>
      <w:r w:rsidR="00E038BF" w:rsidRPr="00FE7622">
        <w:rPr>
          <w:b/>
          <w:color w:val="auto"/>
        </w:rPr>
        <w:t>20</w:t>
      </w:r>
      <w:r w:rsidRPr="00FE7622">
        <w:rPr>
          <w:color w:val="auto"/>
        </w:rPr>
        <w:t>:241–8. https://doi.org/10.1007/s10522-018-09793-z</w:t>
      </w:r>
    </w:p>
    <w:p w14:paraId="7D212B9D" w14:textId="5095D346" w:rsidR="004E78FE" w:rsidRPr="00FE7622" w:rsidRDefault="004E78FE" w:rsidP="004E78FE">
      <w:pPr>
        <w:pStyle w:val="65ReferencesTextstylesTextstyles"/>
        <w:rPr>
          <w:color w:val="auto"/>
        </w:rPr>
      </w:pPr>
      <w:r w:rsidRPr="00FE7622">
        <w:rPr>
          <w:color w:val="auto"/>
        </w:rPr>
        <w:t>10.</w:t>
      </w:r>
      <w:r w:rsidRPr="00FE7622">
        <w:rPr>
          <w:color w:val="auto"/>
        </w:rPr>
        <w:tab/>
        <w:t xml:space="preserve">Moore SA, Hrisos N, Errington L, Rochester L, Rodgers H, Witham M, Sayer AA. Exercise as a treatment for sarcopenia: an umbrella review of systematic review evidence. </w:t>
      </w:r>
      <w:r w:rsidR="00E038BF" w:rsidRPr="00FE7622">
        <w:rPr>
          <w:i/>
          <w:color w:val="auto"/>
        </w:rPr>
        <w:t>Physiotherapy</w:t>
      </w:r>
      <w:r w:rsidRPr="00FE7622">
        <w:rPr>
          <w:color w:val="auto"/>
        </w:rPr>
        <w:t xml:space="preserve"> 2020;</w:t>
      </w:r>
      <w:r w:rsidR="00E038BF" w:rsidRPr="00FE7622">
        <w:rPr>
          <w:b/>
          <w:color w:val="auto"/>
        </w:rPr>
        <w:t>107</w:t>
      </w:r>
      <w:r w:rsidRPr="00FE7622">
        <w:rPr>
          <w:color w:val="auto"/>
        </w:rPr>
        <w:t>:189–201.</w:t>
      </w:r>
    </w:p>
    <w:p w14:paraId="7C932B67" w14:textId="1ED6FB93" w:rsidR="004E78FE" w:rsidRPr="00FE7622" w:rsidRDefault="004E78FE" w:rsidP="004E78FE">
      <w:pPr>
        <w:pStyle w:val="65ReferencesTextstylesTextstyles"/>
        <w:rPr>
          <w:color w:val="auto"/>
        </w:rPr>
      </w:pPr>
      <w:r w:rsidRPr="00FE7622">
        <w:rPr>
          <w:color w:val="auto"/>
        </w:rPr>
        <w:t>11.</w:t>
      </w:r>
      <w:r w:rsidRPr="00FE7622">
        <w:rPr>
          <w:color w:val="auto"/>
        </w:rPr>
        <w:tab/>
        <w:t xml:space="preserve">Beckwée D, Delaere A, Aelbrecht S, Baert V, Beaudart C, Bruyere O, </w:t>
      </w:r>
      <w:r w:rsidR="00E038BF" w:rsidRPr="00FE7622">
        <w:rPr>
          <w:i/>
          <w:color w:val="auto"/>
        </w:rPr>
        <w:t>et al</w:t>
      </w:r>
      <w:r w:rsidRPr="00FE7622">
        <w:rPr>
          <w:color w:val="auto"/>
        </w:rPr>
        <w:t xml:space="preserve">. Exercise </w:t>
      </w:r>
      <w:r w:rsidR="00463413" w:rsidRPr="00FE7622">
        <w:rPr>
          <w:color w:val="auto"/>
        </w:rPr>
        <w:t>interventions for the prevention and treatment of sarcopenia. a systematic umbrella review</w:t>
      </w:r>
      <w:r w:rsidRPr="00FE7622">
        <w:rPr>
          <w:color w:val="auto"/>
        </w:rPr>
        <w:t xml:space="preserve">. </w:t>
      </w:r>
      <w:r w:rsidR="00E038BF" w:rsidRPr="00FE7622">
        <w:rPr>
          <w:i/>
          <w:color w:val="auto"/>
        </w:rPr>
        <w:t>J Nutr Health Aging</w:t>
      </w:r>
      <w:r w:rsidRPr="00FE7622">
        <w:rPr>
          <w:color w:val="auto"/>
        </w:rPr>
        <w:t xml:space="preserve"> 2019;</w:t>
      </w:r>
      <w:r w:rsidR="00E038BF" w:rsidRPr="00FE7622">
        <w:rPr>
          <w:b/>
          <w:color w:val="auto"/>
        </w:rPr>
        <w:t>23</w:t>
      </w:r>
      <w:r w:rsidRPr="00FE7622">
        <w:rPr>
          <w:color w:val="auto"/>
        </w:rPr>
        <w:t>:494–502. https://doi.org/10.1007/s12603-019-1196-8</w:t>
      </w:r>
    </w:p>
    <w:p w14:paraId="34F51AE9" w14:textId="387DF365" w:rsidR="004E78FE" w:rsidRPr="00FE7622" w:rsidRDefault="004E78FE" w:rsidP="004E78FE">
      <w:pPr>
        <w:pStyle w:val="65ReferencesTextstylesTextstyles"/>
        <w:rPr>
          <w:color w:val="auto"/>
        </w:rPr>
      </w:pPr>
      <w:r w:rsidRPr="00FE7622">
        <w:rPr>
          <w:color w:val="auto"/>
        </w:rPr>
        <w:t>12.</w:t>
      </w:r>
      <w:r w:rsidRPr="00FE7622">
        <w:rPr>
          <w:color w:val="auto"/>
        </w:rPr>
        <w:tab/>
        <w:t xml:space="preserve">Cuthbertson D, Smith K, Babraj J, Leese G, Waddell T, Atherton P, </w:t>
      </w:r>
      <w:r w:rsidR="00E038BF" w:rsidRPr="00FE7622">
        <w:rPr>
          <w:i/>
          <w:color w:val="auto"/>
        </w:rPr>
        <w:t>et al</w:t>
      </w:r>
      <w:r w:rsidRPr="00FE7622">
        <w:rPr>
          <w:color w:val="auto"/>
        </w:rPr>
        <w:t xml:space="preserve">. Anabolic signaling deficits underlie amino acid resistance of wasting, aging muscle. </w:t>
      </w:r>
      <w:r w:rsidR="00E038BF" w:rsidRPr="00FE7622">
        <w:rPr>
          <w:i/>
          <w:color w:val="auto"/>
        </w:rPr>
        <w:t>FASEB J</w:t>
      </w:r>
      <w:r w:rsidRPr="00FE7622">
        <w:rPr>
          <w:color w:val="auto"/>
        </w:rPr>
        <w:t xml:space="preserve"> 2005;</w:t>
      </w:r>
      <w:r w:rsidR="00E038BF" w:rsidRPr="00FE7622">
        <w:rPr>
          <w:b/>
          <w:color w:val="auto"/>
        </w:rPr>
        <w:t>19</w:t>
      </w:r>
      <w:r w:rsidRPr="00FE7622">
        <w:rPr>
          <w:color w:val="auto"/>
        </w:rPr>
        <w:t>:422–4.</w:t>
      </w:r>
    </w:p>
    <w:p w14:paraId="3A16264D" w14:textId="52EF3DFC" w:rsidR="004E78FE" w:rsidRPr="00FE7622" w:rsidRDefault="004E78FE" w:rsidP="004E78FE">
      <w:pPr>
        <w:pStyle w:val="65ReferencesTextstylesTextstyles"/>
        <w:rPr>
          <w:color w:val="auto"/>
        </w:rPr>
      </w:pPr>
      <w:r w:rsidRPr="00FE7622">
        <w:rPr>
          <w:color w:val="auto"/>
        </w:rPr>
        <w:t>13.</w:t>
      </w:r>
      <w:r w:rsidRPr="00FE7622">
        <w:rPr>
          <w:color w:val="auto"/>
        </w:rPr>
        <w:tab/>
        <w:t xml:space="preserve">Paddon-Jones D, Short KR, Campbell WW, Volpi E, Wolfe RR. Role of dietary protein in the sarcopenia of aging. </w:t>
      </w:r>
      <w:r w:rsidR="00E038BF" w:rsidRPr="00FE7622">
        <w:rPr>
          <w:i/>
          <w:color w:val="auto"/>
        </w:rPr>
        <w:t>Am J Clin Nutr</w:t>
      </w:r>
      <w:r w:rsidRPr="00FE7622">
        <w:rPr>
          <w:color w:val="auto"/>
        </w:rPr>
        <w:t xml:space="preserve"> 2008;</w:t>
      </w:r>
      <w:r w:rsidR="00E038BF" w:rsidRPr="00FE7622">
        <w:rPr>
          <w:b/>
          <w:color w:val="auto"/>
        </w:rPr>
        <w:t>87</w:t>
      </w:r>
      <w:r w:rsidRPr="00FE7622">
        <w:rPr>
          <w:color w:val="auto"/>
        </w:rPr>
        <w:t>:1562S–1566S.</w:t>
      </w:r>
    </w:p>
    <w:p w14:paraId="7EC820A6" w14:textId="3F29D3A6" w:rsidR="004E78FE" w:rsidRPr="00FE7622" w:rsidRDefault="004E78FE" w:rsidP="004E78FE">
      <w:pPr>
        <w:pStyle w:val="65ReferencesTextstylesTextstyles"/>
        <w:rPr>
          <w:color w:val="auto"/>
        </w:rPr>
      </w:pPr>
      <w:r w:rsidRPr="00FE7622">
        <w:rPr>
          <w:color w:val="auto"/>
        </w:rPr>
        <w:t>14.</w:t>
      </w:r>
      <w:r w:rsidRPr="00FE7622">
        <w:rPr>
          <w:color w:val="auto"/>
        </w:rPr>
        <w:tab/>
        <w:t xml:space="preserve">Hanach NI, McCullough F, Avery A. The </w:t>
      </w:r>
      <w:r w:rsidR="00463413" w:rsidRPr="00FE7622">
        <w:rPr>
          <w:color w:val="auto"/>
        </w:rPr>
        <w:t>impact of dairy protein intake on muscle mass, muscle strength, and physical performance in middle-aged to older adults with or without existing sarcopenia: a systematic review and meta-analysis</w:t>
      </w:r>
      <w:r w:rsidRPr="00FE7622">
        <w:rPr>
          <w:color w:val="auto"/>
        </w:rPr>
        <w:t xml:space="preserve">. </w:t>
      </w:r>
      <w:r w:rsidR="00E038BF" w:rsidRPr="00FE7622">
        <w:rPr>
          <w:i/>
          <w:color w:val="auto"/>
        </w:rPr>
        <w:t>Adv Nutr</w:t>
      </w:r>
      <w:r w:rsidRPr="00FE7622">
        <w:rPr>
          <w:color w:val="auto"/>
        </w:rPr>
        <w:t xml:space="preserve"> 2019;</w:t>
      </w:r>
      <w:r w:rsidR="00E038BF" w:rsidRPr="00FE7622">
        <w:rPr>
          <w:b/>
          <w:color w:val="auto"/>
        </w:rPr>
        <w:t>10</w:t>
      </w:r>
      <w:r w:rsidRPr="00FE7622">
        <w:rPr>
          <w:color w:val="auto"/>
        </w:rPr>
        <w:t>:59–69. https://doi.org/10.1093/advances/nmy065</w:t>
      </w:r>
    </w:p>
    <w:p w14:paraId="5E9987D9" w14:textId="42A95EBF" w:rsidR="004E78FE" w:rsidRPr="00FE7622" w:rsidRDefault="004E78FE" w:rsidP="004E78FE">
      <w:pPr>
        <w:pStyle w:val="65ReferencesTextstylesTextstyles"/>
        <w:rPr>
          <w:color w:val="auto"/>
        </w:rPr>
      </w:pPr>
      <w:r w:rsidRPr="00FE7622">
        <w:rPr>
          <w:color w:val="auto"/>
        </w:rPr>
        <w:t>15.</w:t>
      </w:r>
      <w:r w:rsidRPr="00FE7622">
        <w:rPr>
          <w:color w:val="auto"/>
        </w:rPr>
        <w:tab/>
        <w:t xml:space="preserve">Liao CD, Tsauo JY, Wu YT, Cheng CP, Chen HC, Huang YC, </w:t>
      </w:r>
      <w:r w:rsidR="00E038BF" w:rsidRPr="00FE7622">
        <w:rPr>
          <w:i/>
          <w:color w:val="auto"/>
        </w:rPr>
        <w:t>et al</w:t>
      </w:r>
      <w:r w:rsidRPr="00FE7622">
        <w:rPr>
          <w:color w:val="auto"/>
        </w:rPr>
        <w:t xml:space="preserve">. Effects of protein supplementation combined with resistance exercise on body composition and physical function in older adults: a systematic review and meta-analysis. </w:t>
      </w:r>
      <w:r w:rsidR="00E038BF" w:rsidRPr="00FE7622">
        <w:rPr>
          <w:i/>
          <w:color w:val="auto"/>
        </w:rPr>
        <w:t>Am J Clin Nutr</w:t>
      </w:r>
      <w:r w:rsidRPr="00FE7622">
        <w:rPr>
          <w:color w:val="auto"/>
        </w:rPr>
        <w:t xml:space="preserve"> 2017;</w:t>
      </w:r>
      <w:r w:rsidR="00E038BF" w:rsidRPr="00FE7622">
        <w:rPr>
          <w:b/>
          <w:color w:val="auto"/>
        </w:rPr>
        <w:t>106</w:t>
      </w:r>
      <w:r w:rsidRPr="00FE7622">
        <w:rPr>
          <w:color w:val="auto"/>
        </w:rPr>
        <w:t>:1078–91. https://doi.org/10.3945/ajcn.116.143594</w:t>
      </w:r>
    </w:p>
    <w:p w14:paraId="42FD804D" w14:textId="76A49E40" w:rsidR="004E78FE" w:rsidRPr="00FE7622" w:rsidRDefault="004E78FE" w:rsidP="004E78FE">
      <w:pPr>
        <w:pStyle w:val="65ReferencesTextstylesTextstyles"/>
        <w:rPr>
          <w:color w:val="auto"/>
        </w:rPr>
      </w:pPr>
      <w:r w:rsidRPr="00FE7622">
        <w:rPr>
          <w:color w:val="auto"/>
        </w:rPr>
        <w:t>16.</w:t>
      </w:r>
      <w:r w:rsidRPr="00FE7622">
        <w:rPr>
          <w:color w:val="auto"/>
        </w:rPr>
        <w:tab/>
        <w:t xml:space="preserve"> Thomas DK, Quinn MA, Saunders DH, Greig CA. Protein </w:t>
      </w:r>
      <w:r w:rsidR="00463413" w:rsidRPr="00FE7622">
        <w:rPr>
          <w:color w:val="auto"/>
        </w:rPr>
        <w:t>supplementation does not significantly augment the effects of resistance exercise training in older adults: a systematic review</w:t>
      </w:r>
      <w:r w:rsidRPr="00FE7622">
        <w:rPr>
          <w:color w:val="auto"/>
        </w:rPr>
        <w:t xml:space="preserve">. </w:t>
      </w:r>
      <w:r w:rsidR="00E038BF" w:rsidRPr="00FE7622">
        <w:rPr>
          <w:i/>
          <w:iCs/>
          <w:color w:val="auto"/>
        </w:rPr>
        <w:t>J Am Med Dir Assoc</w:t>
      </w:r>
      <w:r w:rsidRPr="00FE7622">
        <w:rPr>
          <w:color w:val="auto"/>
        </w:rPr>
        <w:t xml:space="preserve"> 2016;</w:t>
      </w:r>
      <w:r w:rsidR="00E038BF" w:rsidRPr="00FE7622">
        <w:rPr>
          <w:b/>
          <w:bCs/>
          <w:color w:val="auto"/>
        </w:rPr>
        <w:t>17</w:t>
      </w:r>
      <w:r w:rsidRPr="00FE7622">
        <w:rPr>
          <w:color w:val="auto"/>
        </w:rPr>
        <w:t>:959.e1</w:t>
      </w:r>
      <w:r w:rsidR="00463413" w:rsidRPr="00FE7622">
        <w:rPr>
          <w:color w:val="auto"/>
        </w:rPr>
        <w:t>–</w:t>
      </w:r>
      <w:r w:rsidRPr="00FE7622">
        <w:rPr>
          <w:color w:val="auto"/>
        </w:rPr>
        <w:t>9.</w:t>
      </w:r>
    </w:p>
    <w:p w14:paraId="122FD61A" w14:textId="2457E76D" w:rsidR="004E78FE" w:rsidRPr="00FE7622" w:rsidRDefault="004E78FE" w:rsidP="004E78FE">
      <w:pPr>
        <w:pStyle w:val="65ReferencesTextstylesTextstyles"/>
        <w:rPr>
          <w:color w:val="auto"/>
        </w:rPr>
      </w:pPr>
      <w:r w:rsidRPr="00FE7622">
        <w:rPr>
          <w:color w:val="auto"/>
        </w:rPr>
        <w:t>17.</w:t>
      </w:r>
      <w:r w:rsidRPr="00FE7622">
        <w:rPr>
          <w:color w:val="auto"/>
        </w:rPr>
        <w:tab/>
        <w:t xml:space="preserve">De Bandt JP. Leucine and </w:t>
      </w:r>
      <w:r w:rsidR="00C626DE" w:rsidRPr="00FE7622">
        <w:rPr>
          <w:color w:val="auto"/>
        </w:rPr>
        <w:t>mammalian target of rapamycin-dependent activation of muscle protein synthesis in aging</w:t>
      </w:r>
      <w:r w:rsidRPr="00FE7622">
        <w:rPr>
          <w:color w:val="auto"/>
        </w:rPr>
        <w:t xml:space="preserve">. </w:t>
      </w:r>
      <w:r w:rsidR="00E038BF" w:rsidRPr="00FE7622">
        <w:rPr>
          <w:i/>
          <w:color w:val="auto"/>
        </w:rPr>
        <w:t>J Nutr</w:t>
      </w:r>
      <w:r w:rsidRPr="00FE7622">
        <w:rPr>
          <w:color w:val="auto"/>
        </w:rPr>
        <w:t xml:space="preserve"> 2016;</w:t>
      </w:r>
      <w:r w:rsidR="00E038BF" w:rsidRPr="00FE7622">
        <w:rPr>
          <w:b/>
          <w:color w:val="auto"/>
        </w:rPr>
        <w:t>146</w:t>
      </w:r>
      <w:r w:rsidRPr="00FE7622">
        <w:rPr>
          <w:color w:val="auto"/>
        </w:rPr>
        <w:t>:2616S–2624S.</w:t>
      </w:r>
    </w:p>
    <w:p w14:paraId="50356BE6" w14:textId="5B5602E8" w:rsidR="004E78FE" w:rsidRPr="00FE7622" w:rsidRDefault="004E78FE" w:rsidP="004E78FE">
      <w:pPr>
        <w:pStyle w:val="65ReferencesTextstylesTextstyles"/>
        <w:rPr>
          <w:color w:val="auto"/>
        </w:rPr>
      </w:pPr>
      <w:r w:rsidRPr="00FE7622">
        <w:rPr>
          <w:color w:val="auto"/>
        </w:rPr>
        <w:t>18.</w:t>
      </w:r>
      <w:r w:rsidRPr="00FE7622">
        <w:rPr>
          <w:color w:val="auto"/>
        </w:rPr>
        <w:tab/>
        <w:t xml:space="preserve">Casperson SL, Sheffield-Moore M, Hewlings SJ, Paddon-Jones D. Leucine supplementation chronically improves muscle protein synthesis in older adults consuming the RDA for protein. </w:t>
      </w:r>
      <w:r w:rsidR="00E038BF" w:rsidRPr="00FE7622">
        <w:rPr>
          <w:i/>
          <w:color w:val="auto"/>
        </w:rPr>
        <w:t>Clin Nutr</w:t>
      </w:r>
      <w:r w:rsidRPr="00FE7622">
        <w:rPr>
          <w:color w:val="auto"/>
        </w:rPr>
        <w:t xml:space="preserve"> 2012;</w:t>
      </w:r>
      <w:r w:rsidR="00E038BF" w:rsidRPr="00FE7622">
        <w:rPr>
          <w:b/>
          <w:color w:val="auto"/>
        </w:rPr>
        <w:t>31</w:t>
      </w:r>
      <w:r w:rsidRPr="00FE7622">
        <w:rPr>
          <w:color w:val="auto"/>
        </w:rPr>
        <w:t>:512–19. https://doi.org/10.1016/j.clnu.2012.01.005</w:t>
      </w:r>
    </w:p>
    <w:p w14:paraId="2C794932" w14:textId="0DBA74F9" w:rsidR="004E78FE" w:rsidRPr="00FE7622" w:rsidRDefault="004E78FE" w:rsidP="004E78FE">
      <w:pPr>
        <w:pStyle w:val="65ReferencesTextstylesTextstyles"/>
        <w:rPr>
          <w:color w:val="auto"/>
        </w:rPr>
      </w:pPr>
      <w:r w:rsidRPr="00FE7622">
        <w:rPr>
          <w:color w:val="auto"/>
        </w:rPr>
        <w:t>19.</w:t>
      </w:r>
      <w:r w:rsidRPr="00FE7622">
        <w:rPr>
          <w:color w:val="auto"/>
        </w:rPr>
        <w:tab/>
        <w:t xml:space="preserve">Balage M, Dardevet D. Long-term effects of leucine supplementation on body composition. </w:t>
      </w:r>
      <w:r w:rsidR="00E038BF" w:rsidRPr="00FE7622">
        <w:rPr>
          <w:i/>
          <w:color w:val="auto"/>
        </w:rPr>
        <w:t>Curr Opin Clin Nutr Metab Care</w:t>
      </w:r>
      <w:r w:rsidRPr="00FE7622">
        <w:rPr>
          <w:color w:val="auto"/>
        </w:rPr>
        <w:t xml:space="preserve"> 2010;</w:t>
      </w:r>
      <w:r w:rsidR="00E038BF" w:rsidRPr="00FE7622">
        <w:rPr>
          <w:b/>
          <w:color w:val="auto"/>
        </w:rPr>
        <w:t>13</w:t>
      </w:r>
      <w:r w:rsidRPr="00FE7622">
        <w:rPr>
          <w:color w:val="auto"/>
        </w:rPr>
        <w:t>:265–70. https://doi.org/10.1097/MCO.0b013e328336f6b8</w:t>
      </w:r>
    </w:p>
    <w:p w14:paraId="43F9D98E" w14:textId="45261D25" w:rsidR="004E78FE" w:rsidRPr="00FE7622" w:rsidRDefault="004E78FE" w:rsidP="004E78FE">
      <w:pPr>
        <w:pStyle w:val="65ReferencesTextstylesTextstyles"/>
        <w:rPr>
          <w:color w:val="auto"/>
        </w:rPr>
      </w:pPr>
      <w:r w:rsidRPr="00FE7622">
        <w:rPr>
          <w:color w:val="auto"/>
        </w:rPr>
        <w:t>20.</w:t>
      </w:r>
      <w:r w:rsidRPr="00FE7622">
        <w:rPr>
          <w:color w:val="auto"/>
        </w:rPr>
        <w:tab/>
        <w:t xml:space="preserve">van Loon LJ, Kruijshoop M, Menheere PP, Wagenmakers AJ, Saris WH, Keizer HA. Amino acid ingestion strongly enhances insulin secretion in patients with long-term type 2 diabetes. </w:t>
      </w:r>
      <w:r w:rsidR="00E038BF" w:rsidRPr="00FE7622">
        <w:rPr>
          <w:i/>
          <w:color w:val="auto"/>
        </w:rPr>
        <w:t>Diabetes Care</w:t>
      </w:r>
      <w:r w:rsidRPr="00FE7622">
        <w:rPr>
          <w:color w:val="auto"/>
        </w:rPr>
        <w:t xml:space="preserve"> 2003;</w:t>
      </w:r>
      <w:r w:rsidR="00E038BF" w:rsidRPr="00FE7622">
        <w:rPr>
          <w:b/>
          <w:color w:val="auto"/>
        </w:rPr>
        <w:t>26</w:t>
      </w:r>
      <w:r w:rsidRPr="00FE7622">
        <w:rPr>
          <w:color w:val="auto"/>
        </w:rPr>
        <w:t>:625–30. https://doi.org/10.2337/diacare.26.3.625</w:t>
      </w:r>
    </w:p>
    <w:p w14:paraId="631C06FB" w14:textId="6238E01E" w:rsidR="004E78FE" w:rsidRPr="00FE7622" w:rsidRDefault="004E78FE" w:rsidP="004E78FE">
      <w:pPr>
        <w:pStyle w:val="65ReferencesTextstylesTextstyles"/>
        <w:rPr>
          <w:color w:val="auto"/>
        </w:rPr>
      </w:pPr>
      <w:r w:rsidRPr="00FE7622">
        <w:rPr>
          <w:color w:val="auto"/>
        </w:rPr>
        <w:t>21.</w:t>
      </w:r>
      <w:r w:rsidRPr="00FE7622">
        <w:rPr>
          <w:color w:val="auto"/>
        </w:rPr>
        <w:tab/>
        <w:t xml:space="preserve">Tieland M, van de Rest O, Dirks ML, van der Zwaluw N, Mensink M, van Loon LJ, de Groot LC. Protein supplementation improves physical performance in frail elderly people: a randomized, double-blind, placebo-controlled trial. </w:t>
      </w:r>
      <w:r w:rsidR="00E038BF" w:rsidRPr="00FE7622">
        <w:rPr>
          <w:i/>
          <w:color w:val="auto"/>
        </w:rPr>
        <w:t>J Am Med Dir Assoc</w:t>
      </w:r>
      <w:r w:rsidRPr="00FE7622">
        <w:rPr>
          <w:color w:val="auto"/>
        </w:rPr>
        <w:t xml:space="preserve"> 2012;</w:t>
      </w:r>
      <w:r w:rsidR="00E038BF" w:rsidRPr="00FE7622">
        <w:rPr>
          <w:b/>
          <w:color w:val="auto"/>
        </w:rPr>
        <w:t>13</w:t>
      </w:r>
      <w:r w:rsidRPr="00FE7622">
        <w:rPr>
          <w:color w:val="auto"/>
        </w:rPr>
        <w:t>:720–6. https://doi.org/10.1016/j.jamda.2012.07.005</w:t>
      </w:r>
    </w:p>
    <w:p w14:paraId="4544C8B0" w14:textId="3AFACA45" w:rsidR="004E78FE" w:rsidRPr="00FE7622" w:rsidRDefault="004E78FE" w:rsidP="004E78FE">
      <w:pPr>
        <w:pStyle w:val="65ReferencesTextstylesTextstyles"/>
        <w:rPr>
          <w:color w:val="auto"/>
        </w:rPr>
      </w:pPr>
      <w:r w:rsidRPr="00FE7622">
        <w:rPr>
          <w:color w:val="auto"/>
        </w:rPr>
        <w:t>22.</w:t>
      </w:r>
      <w:r w:rsidRPr="00FE7622">
        <w:rPr>
          <w:color w:val="auto"/>
        </w:rPr>
        <w:tab/>
        <w:t xml:space="preserve">Tieland M, Dirks ML, van der Zwaluw N, Verdijk LB, van de Rest O, de Groot LC, van Loon LJ. Protein supplementation increases muscle mass gain during prolonged resistance-type exercise training in frail elderly people: a randomized, double-blind, placebo-controlled trial. </w:t>
      </w:r>
      <w:r w:rsidR="00E038BF" w:rsidRPr="00FE7622">
        <w:rPr>
          <w:i/>
          <w:color w:val="auto"/>
        </w:rPr>
        <w:t>J Am Med Dir Assoc</w:t>
      </w:r>
      <w:r w:rsidRPr="00FE7622">
        <w:rPr>
          <w:color w:val="auto"/>
        </w:rPr>
        <w:t xml:space="preserve"> 2012;</w:t>
      </w:r>
      <w:r w:rsidR="00E038BF" w:rsidRPr="00FE7622">
        <w:rPr>
          <w:b/>
          <w:color w:val="auto"/>
        </w:rPr>
        <w:t>13</w:t>
      </w:r>
      <w:r w:rsidRPr="00FE7622">
        <w:rPr>
          <w:color w:val="auto"/>
        </w:rPr>
        <w:t>:713–19. https://doi.org/10.1016/j.jamda.2012.05.020</w:t>
      </w:r>
    </w:p>
    <w:p w14:paraId="7AD3EB4A" w14:textId="422E9E12" w:rsidR="004E78FE" w:rsidRPr="00FE7622" w:rsidRDefault="004E78FE" w:rsidP="004E78FE">
      <w:pPr>
        <w:pStyle w:val="65ReferencesTextstylesTextstyles"/>
        <w:rPr>
          <w:color w:val="auto"/>
        </w:rPr>
      </w:pPr>
      <w:r w:rsidRPr="00FE7622">
        <w:rPr>
          <w:color w:val="auto"/>
        </w:rPr>
        <w:t>23.</w:t>
      </w:r>
      <w:r w:rsidRPr="00FE7622">
        <w:rPr>
          <w:color w:val="auto"/>
        </w:rPr>
        <w:tab/>
        <w:t xml:space="preserve">Steckelings UM, Rompe F, Kaschina E, Unger T. The evolving story of the RAAS in hypertension, diabetes and CV disease: moving from macrovascular to microvascular targets. </w:t>
      </w:r>
      <w:r w:rsidR="00E038BF" w:rsidRPr="00FE7622">
        <w:rPr>
          <w:i/>
          <w:color w:val="auto"/>
        </w:rPr>
        <w:t>Fundam Clin Pharmacol</w:t>
      </w:r>
      <w:r w:rsidRPr="00FE7622">
        <w:rPr>
          <w:color w:val="auto"/>
        </w:rPr>
        <w:t xml:space="preserve"> 2009;</w:t>
      </w:r>
      <w:r w:rsidR="00E038BF" w:rsidRPr="00FE7622">
        <w:rPr>
          <w:b/>
          <w:color w:val="auto"/>
        </w:rPr>
        <w:t>23</w:t>
      </w:r>
      <w:r w:rsidRPr="00FE7622">
        <w:rPr>
          <w:color w:val="auto"/>
        </w:rPr>
        <w:t>:693–703. https://doi.org/10.1111/j.1472-8206.2009.00780.x</w:t>
      </w:r>
    </w:p>
    <w:p w14:paraId="2EF6708B" w14:textId="1172ECB0" w:rsidR="004E78FE" w:rsidRPr="00FE7622" w:rsidRDefault="004E78FE" w:rsidP="004E78FE">
      <w:pPr>
        <w:pStyle w:val="65ReferencesTextstylesTextstyles"/>
        <w:rPr>
          <w:color w:val="auto"/>
        </w:rPr>
      </w:pPr>
      <w:r w:rsidRPr="00FE7622">
        <w:rPr>
          <w:color w:val="auto"/>
        </w:rPr>
        <w:t>24.</w:t>
      </w:r>
      <w:r w:rsidRPr="00FE7622">
        <w:rPr>
          <w:color w:val="auto"/>
        </w:rPr>
        <w:tab/>
        <w:t xml:space="preserve">Brasier AR, Recinos A, Eledrisi MS. Vascular inflammation and the renin-angiotensin system. </w:t>
      </w:r>
      <w:r w:rsidR="00E038BF" w:rsidRPr="00FE7622">
        <w:rPr>
          <w:i/>
          <w:color w:val="auto"/>
        </w:rPr>
        <w:t>Arterioscler Thromb Vasc Biol</w:t>
      </w:r>
      <w:r w:rsidRPr="00FE7622">
        <w:rPr>
          <w:color w:val="auto"/>
        </w:rPr>
        <w:t xml:space="preserve"> 2002;</w:t>
      </w:r>
      <w:r w:rsidR="00E038BF" w:rsidRPr="00FE7622">
        <w:rPr>
          <w:b/>
          <w:color w:val="auto"/>
        </w:rPr>
        <w:t>22</w:t>
      </w:r>
      <w:r w:rsidRPr="00FE7622">
        <w:rPr>
          <w:color w:val="auto"/>
        </w:rPr>
        <w:t>:1257–66. https://doi.org/10.1161/01.atv.0000021412.56621.a2</w:t>
      </w:r>
    </w:p>
    <w:p w14:paraId="3F48454F" w14:textId="00EECEBE" w:rsidR="004E78FE" w:rsidRPr="00FE7622" w:rsidRDefault="004E78FE" w:rsidP="004E78FE">
      <w:pPr>
        <w:pStyle w:val="65ReferencesTextstylesTextstyles"/>
        <w:rPr>
          <w:color w:val="auto"/>
        </w:rPr>
      </w:pPr>
      <w:r w:rsidRPr="00FE7622">
        <w:rPr>
          <w:color w:val="auto"/>
        </w:rPr>
        <w:t>25.</w:t>
      </w:r>
      <w:r w:rsidRPr="00FE7622">
        <w:rPr>
          <w:color w:val="auto"/>
        </w:rPr>
        <w:tab/>
        <w:t xml:space="preserve">Kackstein K, Teren A, Matsumoto Y, Mangner N, Möbius-Winkler S, Linke A, </w:t>
      </w:r>
      <w:r w:rsidR="00E038BF" w:rsidRPr="00FE7622">
        <w:rPr>
          <w:i/>
          <w:color w:val="auto"/>
        </w:rPr>
        <w:t>et al</w:t>
      </w:r>
      <w:r w:rsidRPr="00FE7622">
        <w:rPr>
          <w:color w:val="auto"/>
        </w:rPr>
        <w:t xml:space="preserve">. Impact of angiotensin II on skeletal muscle metabolism and function in mice: contribution of </w:t>
      </w:r>
      <w:r w:rsidRPr="00842651">
        <w:rPr>
          <w:color w:val="auto"/>
        </w:rPr>
        <w:t>IGF-1</w:t>
      </w:r>
      <w:r w:rsidRPr="00FE7622">
        <w:rPr>
          <w:color w:val="auto"/>
        </w:rPr>
        <w:t>, Sirtuin-1 and PGC-1</w:t>
      </w:r>
      <w:r w:rsidRPr="00FE7622">
        <w:rPr>
          <w:rFonts w:ascii="Cambria" w:hAnsi="Cambria" w:cs="Cambria"/>
          <w:color w:val="auto"/>
        </w:rPr>
        <w:t>α</w:t>
      </w:r>
      <w:r w:rsidRPr="00FE7622">
        <w:rPr>
          <w:color w:val="auto"/>
        </w:rPr>
        <w:t xml:space="preserve">. </w:t>
      </w:r>
      <w:r w:rsidR="00E038BF" w:rsidRPr="00FE7622">
        <w:rPr>
          <w:i/>
          <w:color w:val="auto"/>
        </w:rPr>
        <w:t>Acta Histochem</w:t>
      </w:r>
      <w:r w:rsidRPr="00FE7622">
        <w:rPr>
          <w:color w:val="auto"/>
        </w:rPr>
        <w:t xml:space="preserve"> 2013;</w:t>
      </w:r>
      <w:r w:rsidR="00E038BF" w:rsidRPr="00FE7622">
        <w:rPr>
          <w:b/>
          <w:color w:val="auto"/>
        </w:rPr>
        <w:t>115</w:t>
      </w:r>
      <w:r w:rsidRPr="00FE7622">
        <w:rPr>
          <w:color w:val="auto"/>
        </w:rPr>
        <w:t>:363–70. https://doi.org/10.1016/j.acthis.2012.09.009</w:t>
      </w:r>
    </w:p>
    <w:p w14:paraId="5297C61C" w14:textId="647E0857" w:rsidR="004E78FE" w:rsidRPr="00FE7622" w:rsidRDefault="004E78FE" w:rsidP="004E78FE">
      <w:pPr>
        <w:pStyle w:val="65ReferencesTextstylesTextstyles"/>
        <w:rPr>
          <w:color w:val="auto"/>
        </w:rPr>
      </w:pPr>
      <w:r w:rsidRPr="00FE7622">
        <w:rPr>
          <w:color w:val="auto"/>
        </w:rPr>
        <w:t>26.</w:t>
      </w:r>
      <w:r w:rsidRPr="00FE7622">
        <w:rPr>
          <w:color w:val="auto"/>
        </w:rPr>
        <w:tab/>
        <w:t xml:space="preserve"> Burton LA, McMurdo ME, Struthers AD. Mineralocorticoid antagonism: a novel way to treat sarcopenia and physical impairment in older people? </w:t>
      </w:r>
      <w:r w:rsidR="00E038BF" w:rsidRPr="00FE7622">
        <w:rPr>
          <w:i/>
          <w:iCs/>
          <w:color w:val="auto"/>
        </w:rPr>
        <w:t>Clin Endocrinol</w:t>
      </w:r>
      <w:r w:rsidRPr="00FE7622">
        <w:rPr>
          <w:color w:val="auto"/>
        </w:rPr>
        <w:t xml:space="preserve"> 2011;</w:t>
      </w:r>
      <w:r w:rsidR="00E038BF" w:rsidRPr="00FE7622">
        <w:rPr>
          <w:b/>
          <w:bCs/>
          <w:color w:val="auto"/>
        </w:rPr>
        <w:t>75</w:t>
      </w:r>
      <w:r w:rsidRPr="00FE7622">
        <w:rPr>
          <w:color w:val="auto"/>
        </w:rPr>
        <w:t>:725</w:t>
      </w:r>
      <w:r w:rsidR="00ED4A6C" w:rsidRPr="00FE7622">
        <w:rPr>
          <w:color w:val="auto"/>
        </w:rPr>
        <w:t>–</w:t>
      </w:r>
      <w:r w:rsidRPr="00FE7622">
        <w:rPr>
          <w:color w:val="auto"/>
        </w:rPr>
        <w:t>9.</w:t>
      </w:r>
    </w:p>
    <w:p w14:paraId="2397F4EB" w14:textId="5212F016" w:rsidR="004E78FE" w:rsidRPr="00FE7622" w:rsidRDefault="004E78FE" w:rsidP="004E78FE">
      <w:pPr>
        <w:pStyle w:val="65ReferencesTextstylesTextstyles"/>
        <w:rPr>
          <w:color w:val="auto"/>
        </w:rPr>
      </w:pPr>
      <w:r w:rsidRPr="00FE7622">
        <w:rPr>
          <w:color w:val="auto"/>
        </w:rPr>
        <w:t>27.</w:t>
      </w:r>
      <w:r w:rsidRPr="00FE7622">
        <w:rPr>
          <w:color w:val="auto"/>
        </w:rPr>
        <w:tab/>
        <w:t xml:space="preserve">da Cunha V, Tham DM, Martin-McNulty B, Deng G, Ho JJ, Wilson DW, </w:t>
      </w:r>
      <w:r w:rsidR="00E038BF" w:rsidRPr="00FE7622">
        <w:rPr>
          <w:i/>
          <w:color w:val="auto"/>
        </w:rPr>
        <w:t>et al</w:t>
      </w:r>
      <w:r w:rsidRPr="00FE7622">
        <w:rPr>
          <w:color w:val="auto"/>
        </w:rPr>
        <w:t xml:space="preserve">. Enalapril attenuates angiotensin II-induced atherosclerosis and vascular inflammation. </w:t>
      </w:r>
      <w:r w:rsidR="00E038BF" w:rsidRPr="00FE7622">
        <w:rPr>
          <w:i/>
          <w:color w:val="auto"/>
        </w:rPr>
        <w:t>Atherosclerosis</w:t>
      </w:r>
      <w:r w:rsidRPr="00FE7622">
        <w:rPr>
          <w:color w:val="auto"/>
        </w:rPr>
        <w:t xml:space="preserve"> 2005;</w:t>
      </w:r>
      <w:r w:rsidR="00E038BF" w:rsidRPr="00FE7622">
        <w:rPr>
          <w:b/>
          <w:color w:val="auto"/>
        </w:rPr>
        <w:t>178</w:t>
      </w:r>
      <w:r w:rsidRPr="00FE7622">
        <w:rPr>
          <w:color w:val="auto"/>
        </w:rPr>
        <w:t>:9–17.</w:t>
      </w:r>
    </w:p>
    <w:p w14:paraId="179B9F8F" w14:textId="3B91524F" w:rsidR="004E78FE" w:rsidRPr="00FE7622" w:rsidRDefault="004E78FE" w:rsidP="004E78FE">
      <w:pPr>
        <w:pStyle w:val="65ReferencesTextstylesTextstyles"/>
        <w:rPr>
          <w:color w:val="auto"/>
        </w:rPr>
      </w:pPr>
      <w:r w:rsidRPr="00FE7622">
        <w:rPr>
          <w:color w:val="auto"/>
        </w:rPr>
        <w:t>28.</w:t>
      </w:r>
      <w:r w:rsidRPr="00FE7622">
        <w:rPr>
          <w:color w:val="auto"/>
        </w:rPr>
        <w:tab/>
        <w:t xml:space="preserve">Gullestad L, Aukrust P, Ueland T, Espevik T, Yee G, Vagelos R, </w:t>
      </w:r>
      <w:r w:rsidR="00E038BF" w:rsidRPr="00FE7622">
        <w:rPr>
          <w:i/>
          <w:color w:val="auto"/>
        </w:rPr>
        <w:t>et al</w:t>
      </w:r>
      <w:r w:rsidRPr="00FE7622">
        <w:rPr>
          <w:color w:val="auto"/>
        </w:rPr>
        <w:t xml:space="preserve">. Effect of high- versus low-dose angiotensin converting enzyme inhibition on cytokine levels in chronic heart failure. </w:t>
      </w:r>
      <w:r w:rsidR="00E038BF" w:rsidRPr="00FE7622">
        <w:rPr>
          <w:i/>
          <w:color w:val="auto"/>
        </w:rPr>
        <w:t>J Am Coll Cardiol</w:t>
      </w:r>
      <w:r w:rsidRPr="00FE7622">
        <w:rPr>
          <w:color w:val="auto"/>
        </w:rPr>
        <w:t xml:space="preserve"> 1999;</w:t>
      </w:r>
      <w:r w:rsidR="00E038BF" w:rsidRPr="00FE7622">
        <w:rPr>
          <w:b/>
          <w:color w:val="auto"/>
        </w:rPr>
        <w:t>34</w:t>
      </w:r>
      <w:r w:rsidRPr="00FE7622">
        <w:rPr>
          <w:color w:val="auto"/>
        </w:rPr>
        <w:t>:2061–7.</w:t>
      </w:r>
    </w:p>
    <w:p w14:paraId="4844EFAA" w14:textId="510F8421" w:rsidR="004E78FE" w:rsidRPr="00FE7622" w:rsidRDefault="004E78FE" w:rsidP="004E78FE">
      <w:pPr>
        <w:pStyle w:val="65ReferencesTextstylesTextstyles"/>
        <w:rPr>
          <w:color w:val="auto"/>
        </w:rPr>
      </w:pPr>
      <w:r w:rsidRPr="00FE7622">
        <w:rPr>
          <w:color w:val="auto"/>
        </w:rPr>
        <w:t>29.</w:t>
      </w:r>
      <w:r w:rsidRPr="00FE7622">
        <w:rPr>
          <w:color w:val="auto"/>
        </w:rPr>
        <w:tab/>
        <w:t xml:space="preserve">Dietze GJ, Henriksen EJ. Angiotensin-converting enzyme in skeletal muscle: sentinel of blood pressure control and glucose homeostasis. </w:t>
      </w:r>
      <w:r w:rsidR="00E038BF" w:rsidRPr="00FE7622">
        <w:rPr>
          <w:i/>
          <w:color w:val="auto"/>
        </w:rPr>
        <w:t>J Renin Angiotensin Aldosterone Syst</w:t>
      </w:r>
      <w:r w:rsidRPr="00FE7622">
        <w:rPr>
          <w:color w:val="auto"/>
        </w:rPr>
        <w:t xml:space="preserve"> 2008;</w:t>
      </w:r>
      <w:r w:rsidR="00E038BF" w:rsidRPr="00FE7622">
        <w:rPr>
          <w:b/>
          <w:color w:val="auto"/>
        </w:rPr>
        <w:t>9</w:t>
      </w:r>
      <w:r w:rsidRPr="00FE7622">
        <w:rPr>
          <w:color w:val="auto"/>
        </w:rPr>
        <w:t>:75–88. https://doi.org/10.3317/jraas.2008.011</w:t>
      </w:r>
    </w:p>
    <w:p w14:paraId="17AB27E0" w14:textId="5B4CC140" w:rsidR="004E78FE" w:rsidRPr="00FE7622" w:rsidRDefault="004E78FE" w:rsidP="004E78FE">
      <w:pPr>
        <w:pStyle w:val="65ReferencesTextstylesTextstyles"/>
        <w:rPr>
          <w:color w:val="auto"/>
        </w:rPr>
      </w:pPr>
      <w:r w:rsidRPr="00FE7622">
        <w:rPr>
          <w:color w:val="auto"/>
        </w:rPr>
        <w:t>30.</w:t>
      </w:r>
      <w:r w:rsidRPr="00FE7622">
        <w:rPr>
          <w:color w:val="auto"/>
        </w:rPr>
        <w:tab/>
        <w:t xml:space="preserve">Sumukadas D, Witham MD, Struthers AD, McMurdo MET. Effect of perindopril on physical function in elderly people with functional impairment: a randomised controlled trial. </w:t>
      </w:r>
      <w:r w:rsidR="00E038BF" w:rsidRPr="00FE7622">
        <w:rPr>
          <w:i/>
          <w:iCs/>
          <w:color w:val="auto"/>
        </w:rPr>
        <w:t>CMAJ</w:t>
      </w:r>
      <w:r w:rsidRPr="00FE7622">
        <w:rPr>
          <w:color w:val="auto"/>
        </w:rPr>
        <w:t xml:space="preserve"> 2007;</w:t>
      </w:r>
      <w:r w:rsidR="00E038BF" w:rsidRPr="00FE7622">
        <w:rPr>
          <w:b/>
          <w:bCs/>
          <w:color w:val="auto"/>
        </w:rPr>
        <w:t>177</w:t>
      </w:r>
      <w:r w:rsidRPr="00FE7622">
        <w:rPr>
          <w:color w:val="auto"/>
        </w:rPr>
        <w:t>:867</w:t>
      </w:r>
      <w:r w:rsidR="00CC3A17" w:rsidRPr="00FE7622">
        <w:rPr>
          <w:color w:val="auto"/>
        </w:rPr>
        <w:t>–</w:t>
      </w:r>
      <w:r w:rsidRPr="00FE7622">
        <w:rPr>
          <w:color w:val="auto"/>
        </w:rPr>
        <w:t>74.</w:t>
      </w:r>
    </w:p>
    <w:p w14:paraId="1C256B0F" w14:textId="2A9E973B" w:rsidR="004E78FE" w:rsidRPr="00FE7622" w:rsidRDefault="004E78FE" w:rsidP="004E78FE">
      <w:pPr>
        <w:pStyle w:val="65ReferencesTextstylesTextstyles"/>
        <w:rPr>
          <w:color w:val="auto"/>
        </w:rPr>
      </w:pPr>
      <w:r w:rsidRPr="00FE7622">
        <w:rPr>
          <w:color w:val="auto"/>
        </w:rPr>
        <w:t>31.</w:t>
      </w:r>
      <w:r w:rsidRPr="00FE7622">
        <w:rPr>
          <w:color w:val="auto"/>
        </w:rPr>
        <w:tab/>
        <w:t xml:space="preserve">Onder G, Penninx BW, Balkrishnan R, Fried LP, Chaves PH, Williamson J, </w:t>
      </w:r>
      <w:r w:rsidR="00E038BF" w:rsidRPr="00FE7622">
        <w:rPr>
          <w:i/>
          <w:color w:val="auto"/>
        </w:rPr>
        <w:t>et al</w:t>
      </w:r>
      <w:r w:rsidRPr="00FE7622">
        <w:rPr>
          <w:color w:val="auto"/>
        </w:rPr>
        <w:t xml:space="preserve">. Relation between use of angiotensin-converting enzyme inhibitors and muscle strength and physical function in older women: an observational study. </w:t>
      </w:r>
      <w:r w:rsidR="00E038BF" w:rsidRPr="00FE7622">
        <w:rPr>
          <w:i/>
          <w:color w:val="auto"/>
        </w:rPr>
        <w:t>Lancet</w:t>
      </w:r>
      <w:r w:rsidRPr="00FE7622">
        <w:rPr>
          <w:color w:val="auto"/>
        </w:rPr>
        <w:t xml:space="preserve"> 2002;</w:t>
      </w:r>
      <w:r w:rsidR="00E038BF" w:rsidRPr="00FE7622">
        <w:rPr>
          <w:b/>
          <w:color w:val="auto"/>
        </w:rPr>
        <w:t>359</w:t>
      </w:r>
      <w:r w:rsidRPr="00FE7622">
        <w:rPr>
          <w:color w:val="auto"/>
        </w:rPr>
        <w:t>:926–30.</w:t>
      </w:r>
    </w:p>
    <w:p w14:paraId="6288D824" w14:textId="19FB78FD" w:rsidR="004E78FE" w:rsidRPr="00FE7622" w:rsidRDefault="004E78FE" w:rsidP="004E78FE">
      <w:pPr>
        <w:pStyle w:val="65ReferencesTextstylesTextstyles"/>
        <w:rPr>
          <w:color w:val="auto"/>
        </w:rPr>
      </w:pPr>
      <w:r w:rsidRPr="00FE7622">
        <w:rPr>
          <w:color w:val="auto"/>
        </w:rPr>
        <w:t>32.</w:t>
      </w:r>
      <w:r w:rsidRPr="00FE7622">
        <w:rPr>
          <w:color w:val="auto"/>
        </w:rPr>
        <w:tab/>
        <w:t xml:space="preserve"> Ng TP, Nguyen TN, Gao Q, Nyunt MSZ, Yap KB, Wee SL. Angiotensin receptor blockers use and changes in frailty, muscle mass, and function indexes: Singapore Longitudinal Ageing Study. </w:t>
      </w:r>
      <w:r w:rsidR="00E038BF" w:rsidRPr="00FE7622">
        <w:rPr>
          <w:i/>
          <w:iCs/>
          <w:color w:val="auto"/>
        </w:rPr>
        <w:t>JCSM Rapid Comms</w:t>
      </w:r>
      <w:r w:rsidRPr="00FE7622">
        <w:rPr>
          <w:color w:val="auto"/>
        </w:rPr>
        <w:t xml:space="preserve"> 2021; https://doi.org/10.1002/rco2.31 [online ahead of print.]</w:t>
      </w:r>
    </w:p>
    <w:p w14:paraId="36D8D809" w14:textId="211C8A40" w:rsidR="004E78FE" w:rsidRPr="00FE7622" w:rsidRDefault="004E78FE" w:rsidP="004E78FE">
      <w:pPr>
        <w:pStyle w:val="65ReferencesTextstylesTextstyles"/>
        <w:rPr>
          <w:color w:val="auto"/>
        </w:rPr>
      </w:pPr>
      <w:r w:rsidRPr="00FE7622">
        <w:rPr>
          <w:color w:val="auto"/>
        </w:rPr>
        <w:t>33.</w:t>
      </w:r>
      <w:r w:rsidRPr="00FE7622">
        <w:rPr>
          <w:color w:val="auto"/>
        </w:rPr>
        <w:tab/>
        <w:t xml:space="preserve"> O’Caoimh R, Healy L, Gao Y, Svendrovski A, Kerins DM, Eustace J, et al. Effects of </w:t>
      </w:r>
      <w:r w:rsidR="00463413" w:rsidRPr="00FE7622">
        <w:rPr>
          <w:color w:val="auto"/>
        </w:rPr>
        <w:t>centrally acting angiotensin converting enzyme inhibitors on functional decline in patients with Alzheimer’s disease</w:t>
      </w:r>
      <w:r w:rsidRPr="00FE7622">
        <w:rPr>
          <w:color w:val="auto"/>
        </w:rPr>
        <w:t>.</w:t>
      </w:r>
      <w:r w:rsidR="00E038BF" w:rsidRPr="00FE7622">
        <w:rPr>
          <w:i/>
          <w:iCs/>
          <w:color w:val="auto"/>
        </w:rPr>
        <w:t xml:space="preserve"> J Alzheimers Dis </w:t>
      </w:r>
      <w:r w:rsidRPr="00FE7622">
        <w:rPr>
          <w:color w:val="auto"/>
        </w:rPr>
        <w:t>2014;</w:t>
      </w:r>
      <w:r w:rsidR="00E038BF" w:rsidRPr="00FE7622">
        <w:rPr>
          <w:b/>
          <w:bCs/>
          <w:color w:val="auto"/>
        </w:rPr>
        <w:t>40</w:t>
      </w:r>
      <w:r w:rsidRPr="00FE7622">
        <w:rPr>
          <w:color w:val="auto"/>
        </w:rPr>
        <w:t>:595</w:t>
      </w:r>
      <w:r w:rsidR="00463413" w:rsidRPr="00FE7622">
        <w:rPr>
          <w:color w:val="auto"/>
        </w:rPr>
        <w:t>–</w:t>
      </w:r>
      <w:r w:rsidRPr="00FE7622">
        <w:rPr>
          <w:color w:val="auto"/>
        </w:rPr>
        <w:t>603.</w:t>
      </w:r>
    </w:p>
    <w:p w14:paraId="37E4ADE2" w14:textId="5EF08E97" w:rsidR="004E78FE" w:rsidRPr="00FE7622" w:rsidRDefault="004E78FE" w:rsidP="004E78FE">
      <w:pPr>
        <w:pStyle w:val="65ReferencesTextstylesTextstyles"/>
        <w:rPr>
          <w:color w:val="auto"/>
        </w:rPr>
      </w:pPr>
      <w:r w:rsidRPr="00FE7622">
        <w:rPr>
          <w:color w:val="auto"/>
        </w:rPr>
        <w:t>34.</w:t>
      </w:r>
      <w:r w:rsidRPr="00FE7622">
        <w:rPr>
          <w:color w:val="auto"/>
        </w:rPr>
        <w:tab/>
        <w:t xml:space="preserve"> Sumukadas D, Band M, Miller S, Cvoro V, Witham MD, Struthers AD, McConnachie A, Lloyd SM, McMurdo ME. Do ACE inhibitors improve the response to exercise training in functionally impaired older adults?: a randomised controlled trial. </w:t>
      </w:r>
      <w:r w:rsidR="00E038BF" w:rsidRPr="00FE7622">
        <w:rPr>
          <w:i/>
          <w:iCs/>
          <w:color w:val="auto"/>
        </w:rPr>
        <w:t>J Gerontol A Med Sci</w:t>
      </w:r>
      <w:r w:rsidRPr="00FE7622">
        <w:rPr>
          <w:color w:val="auto"/>
        </w:rPr>
        <w:t xml:space="preserve"> 2013;</w:t>
      </w:r>
      <w:r w:rsidR="00E038BF" w:rsidRPr="00FE7622">
        <w:rPr>
          <w:b/>
          <w:bCs/>
          <w:color w:val="auto"/>
        </w:rPr>
        <w:t>69</w:t>
      </w:r>
      <w:r w:rsidRPr="00FE7622">
        <w:rPr>
          <w:color w:val="auto"/>
        </w:rPr>
        <w:t>:736</w:t>
      </w:r>
      <w:r w:rsidR="00463413" w:rsidRPr="00FE7622">
        <w:rPr>
          <w:color w:val="auto"/>
        </w:rPr>
        <w:t>–</w:t>
      </w:r>
      <w:r w:rsidRPr="00FE7622">
        <w:rPr>
          <w:color w:val="auto"/>
        </w:rPr>
        <w:t>43.</w:t>
      </w:r>
    </w:p>
    <w:p w14:paraId="5AEF7E0F" w14:textId="4D9B32C9" w:rsidR="004E78FE" w:rsidRPr="00FE7622" w:rsidRDefault="004E78FE" w:rsidP="004E78FE">
      <w:pPr>
        <w:pStyle w:val="65ReferencesTextstylesTextstyles"/>
        <w:rPr>
          <w:color w:val="auto"/>
        </w:rPr>
      </w:pPr>
      <w:r w:rsidRPr="00FE7622">
        <w:rPr>
          <w:color w:val="auto"/>
        </w:rPr>
        <w:t>35.</w:t>
      </w:r>
      <w:r w:rsidRPr="00FE7622">
        <w:rPr>
          <w:color w:val="auto"/>
        </w:rPr>
        <w:tab/>
        <w:t xml:space="preserve">Cruz-Jentoft AJ, Baeyens JP, Bauer JM, Boirie Y, Cederholm T, Landi F, </w:t>
      </w:r>
      <w:r w:rsidR="00E038BF" w:rsidRPr="00FE7622">
        <w:rPr>
          <w:i/>
          <w:color w:val="auto"/>
        </w:rPr>
        <w:t>et al</w:t>
      </w:r>
      <w:r w:rsidRPr="00FE7622">
        <w:rPr>
          <w:color w:val="auto"/>
        </w:rPr>
        <w:t xml:space="preserve">. Sarcopenia: European consensus on definition and diagnosis: </w:t>
      </w:r>
      <w:r w:rsidR="00AB7D8F" w:rsidRPr="00FE7622">
        <w:rPr>
          <w:color w:val="auto"/>
        </w:rPr>
        <w:t>r</w:t>
      </w:r>
      <w:r w:rsidRPr="00FE7622">
        <w:rPr>
          <w:color w:val="auto"/>
        </w:rPr>
        <w:t xml:space="preserve">eport of the European Working Group on Sarcopenia in Older People. </w:t>
      </w:r>
      <w:r w:rsidR="00E038BF" w:rsidRPr="00FE7622">
        <w:rPr>
          <w:i/>
          <w:color w:val="auto"/>
        </w:rPr>
        <w:t>Age Ageing</w:t>
      </w:r>
      <w:r w:rsidRPr="00FE7622">
        <w:rPr>
          <w:color w:val="auto"/>
        </w:rPr>
        <w:t xml:space="preserve"> 2010;</w:t>
      </w:r>
      <w:r w:rsidR="00E038BF" w:rsidRPr="00FE7622">
        <w:rPr>
          <w:b/>
          <w:color w:val="auto"/>
        </w:rPr>
        <w:t>39</w:t>
      </w:r>
      <w:r w:rsidRPr="00FE7622">
        <w:rPr>
          <w:color w:val="auto"/>
        </w:rPr>
        <w:t>:412–23. https://doi.org/10.1093/ageing/afq034</w:t>
      </w:r>
    </w:p>
    <w:p w14:paraId="30C3DFD0" w14:textId="55F8337E" w:rsidR="004E78FE" w:rsidRPr="00FE7622" w:rsidRDefault="004E78FE" w:rsidP="004E78FE">
      <w:pPr>
        <w:pStyle w:val="65ReferencesTextstylesTextstyles"/>
        <w:rPr>
          <w:color w:val="auto"/>
        </w:rPr>
      </w:pPr>
      <w:r w:rsidRPr="00FE7622">
        <w:rPr>
          <w:color w:val="auto"/>
        </w:rPr>
        <w:t>36.</w:t>
      </w:r>
      <w:r w:rsidRPr="00FE7622">
        <w:rPr>
          <w:color w:val="auto"/>
        </w:rPr>
        <w:tab/>
        <w:t xml:space="preserve">Sergi G, De Rui M, Veronese N, Bolzetta F, Berton L, Carraro S, </w:t>
      </w:r>
      <w:r w:rsidR="00E038BF" w:rsidRPr="00FE7622">
        <w:rPr>
          <w:i/>
          <w:color w:val="auto"/>
        </w:rPr>
        <w:t>et al</w:t>
      </w:r>
      <w:r w:rsidRPr="00FE7622">
        <w:rPr>
          <w:color w:val="auto"/>
        </w:rPr>
        <w:t xml:space="preserve">. Assessing appendicular skeletal muscle mass with bioelectrical impedance analysis in free-living Caucasian older adults. </w:t>
      </w:r>
      <w:r w:rsidR="00E038BF" w:rsidRPr="00FE7622">
        <w:rPr>
          <w:i/>
          <w:color w:val="auto"/>
        </w:rPr>
        <w:t>Clin Nutr</w:t>
      </w:r>
      <w:r w:rsidRPr="00FE7622">
        <w:rPr>
          <w:color w:val="auto"/>
        </w:rPr>
        <w:t xml:space="preserve"> 2015;</w:t>
      </w:r>
      <w:r w:rsidR="00E038BF" w:rsidRPr="00FE7622">
        <w:rPr>
          <w:b/>
          <w:color w:val="auto"/>
        </w:rPr>
        <w:t>34</w:t>
      </w:r>
      <w:r w:rsidRPr="00FE7622">
        <w:rPr>
          <w:color w:val="auto"/>
        </w:rPr>
        <w:t>:667–73. https://doi.org/10.1016/j.clnu.2014.07.010</w:t>
      </w:r>
    </w:p>
    <w:p w14:paraId="656E0AA6" w14:textId="2DDC46E3" w:rsidR="004E78FE" w:rsidRPr="00FE7622" w:rsidRDefault="004E78FE" w:rsidP="004E78FE">
      <w:pPr>
        <w:pStyle w:val="65ReferencesTextstylesTextstyles"/>
        <w:rPr>
          <w:color w:val="auto"/>
        </w:rPr>
      </w:pPr>
      <w:r w:rsidRPr="00FE7622">
        <w:rPr>
          <w:color w:val="auto"/>
        </w:rPr>
        <w:t>37.</w:t>
      </w:r>
      <w:r w:rsidRPr="00FE7622">
        <w:rPr>
          <w:color w:val="auto"/>
        </w:rPr>
        <w:tab/>
        <w:t xml:space="preserve">Franssen FM, Rutten EP, Groenen MT, Vanfleteren LE, Wouters EF, Spruit MA. New reference values for body composition by bioelectrical impedance analysis in the general population: results from the UK Biobank. </w:t>
      </w:r>
      <w:r w:rsidR="00E038BF" w:rsidRPr="00FE7622">
        <w:rPr>
          <w:i/>
          <w:color w:val="auto"/>
        </w:rPr>
        <w:t>J Am Med Dir Assoc</w:t>
      </w:r>
      <w:r w:rsidRPr="00FE7622">
        <w:rPr>
          <w:color w:val="auto"/>
        </w:rPr>
        <w:t xml:space="preserve"> 2014;</w:t>
      </w:r>
      <w:r w:rsidR="00E038BF" w:rsidRPr="00FE7622">
        <w:rPr>
          <w:b/>
          <w:color w:val="auto"/>
        </w:rPr>
        <w:t>15</w:t>
      </w:r>
      <w:r w:rsidRPr="00FE7622">
        <w:rPr>
          <w:color w:val="auto"/>
        </w:rPr>
        <w:t>:448.e1–6. https://doi.org/10.1016/j.jamda.2014.03.012</w:t>
      </w:r>
    </w:p>
    <w:p w14:paraId="499B6536" w14:textId="76982B55" w:rsidR="004E78FE" w:rsidRPr="00FE7622" w:rsidRDefault="004E78FE" w:rsidP="004E78FE">
      <w:pPr>
        <w:pStyle w:val="65ReferencesTextstylesTextstyles"/>
        <w:rPr>
          <w:color w:val="auto"/>
        </w:rPr>
      </w:pPr>
      <w:r w:rsidRPr="00FE7622">
        <w:rPr>
          <w:color w:val="auto"/>
        </w:rPr>
        <w:t>38.</w:t>
      </w:r>
      <w:r w:rsidRPr="00FE7622">
        <w:rPr>
          <w:color w:val="auto"/>
        </w:rPr>
        <w:tab/>
        <w:t xml:space="preserve">Band MM, Sumukadas D, Struthers AD, Avenell A, Donnan PT, Kemp PR, </w:t>
      </w:r>
      <w:r w:rsidR="00E038BF" w:rsidRPr="00FE7622">
        <w:rPr>
          <w:i/>
          <w:color w:val="auto"/>
        </w:rPr>
        <w:t>et al</w:t>
      </w:r>
      <w:r w:rsidRPr="00FE7622">
        <w:rPr>
          <w:color w:val="auto"/>
        </w:rPr>
        <w:t>. Leucine and ACE inhibitors as therapies for sarcopenia (</w:t>
      </w:r>
      <w:r w:rsidRPr="00842651">
        <w:rPr>
          <w:color w:val="auto"/>
        </w:rPr>
        <w:t>LACE</w:t>
      </w:r>
      <w:r w:rsidRPr="00FE7622">
        <w:rPr>
          <w:color w:val="auto"/>
        </w:rPr>
        <w:t xml:space="preserve"> trial): study protocol for a randomised controlled trial. </w:t>
      </w:r>
      <w:r w:rsidR="00E038BF" w:rsidRPr="00FE7622">
        <w:rPr>
          <w:i/>
          <w:color w:val="auto"/>
        </w:rPr>
        <w:t>Trials</w:t>
      </w:r>
      <w:r w:rsidRPr="00FE7622">
        <w:rPr>
          <w:color w:val="auto"/>
        </w:rPr>
        <w:t xml:space="preserve"> 2018;</w:t>
      </w:r>
      <w:r w:rsidR="00E038BF" w:rsidRPr="00FE7622">
        <w:rPr>
          <w:b/>
          <w:color w:val="auto"/>
        </w:rPr>
        <w:t>19</w:t>
      </w:r>
      <w:r w:rsidRPr="00FE7622">
        <w:rPr>
          <w:color w:val="auto"/>
        </w:rPr>
        <w:t>:6. https://doi.org/10.1186/s13063-017-2390-9</w:t>
      </w:r>
    </w:p>
    <w:p w14:paraId="69869976" w14:textId="46C356E9" w:rsidR="004E78FE" w:rsidRPr="00FE7622" w:rsidRDefault="004E78FE" w:rsidP="004E78FE">
      <w:pPr>
        <w:pStyle w:val="65ReferencesTextstylesTextstyles"/>
        <w:rPr>
          <w:color w:val="auto"/>
        </w:rPr>
      </w:pPr>
      <w:r w:rsidRPr="00FE7622">
        <w:rPr>
          <w:color w:val="auto"/>
        </w:rPr>
        <w:t>39.</w:t>
      </w:r>
      <w:r w:rsidRPr="00FE7622">
        <w:rPr>
          <w:color w:val="auto"/>
        </w:rPr>
        <w:tab/>
        <w:t xml:space="preserve">Ponikowski P, Voors AA, Anker </w:t>
      </w:r>
      <w:r w:rsidRPr="00842651">
        <w:rPr>
          <w:color w:val="auto"/>
        </w:rPr>
        <w:t>SD</w:t>
      </w:r>
      <w:r w:rsidRPr="00FE7622">
        <w:rPr>
          <w:color w:val="auto"/>
        </w:rPr>
        <w:t xml:space="preserve">, Bueno H, Cleland JGF, Coats AJS, </w:t>
      </w:r>
      <w:r w:rsidR="00E038BF" w:rsidRPr="00FE7622">
        <w:rPr>
          <w:i/>
          <w:color w:val="auto"/>
        </w:rPr>
        <w:t>et al</w:t>
      </w:r>
      <w:r w:rsidRPr="00FE7622">
        <w:rPr>
          <w:color w:val="auto"/>
        </w:rPr>
        <w:t xml:space="preserve">. 2016 ESC Guidelines for the diagnosis and treatment of acute and chronic heart failure: The Task Force for the diagnosis and treatment of acute and chronic heart failure of the European Society of Cardiology (ESC)Developed with the special contribution of the Heart Failure Association (HFA) of the ESC. </w:t>
      </w:r>
      <w:r w:rsidR="00E038BF" w:rsidRPr="00FE7622">
        <w:rPr>
          <w:i/>
          <w:color w:val="auto"/>
        </w:rPr>
        <w:t>Eur Heart J</w:t>
      </w:r>
      <w:r w:rsidRPr="00FE7622">
        <w:rPr>
          <w:color w:val="auto"/>
        </w:rPr>
        <w:t xml:space="preserve"> 2016;</w:t>
      </w:r>
      <w:r w:rsidR="00E038BF" w:rsidRPr="00FE7622">
        <w:rPr>
          <w:b/>
          <w:color w:val="auto"/>
        </w:rPr>
        <w:t>37</w:t>
      </w:r>
      <w:r w:rsidRPr="00FE7622">
        <w:rPr>
          <w:color w:val="auto"/>
        </w:rPr>
        <w:t>:2129–200. https://doi.org/10.1093/eurheartj/ehw128</w:t>
      </w:r>
    </w:p>
    <w:p w14:paraId="6BBA43B1" w14:textId="4EEA0C60" w:rsidR="004E78FE" w:rsidRPr="00FE7622" w:rsidRDefault="004E78FE" w:rsidP="004E78FE">
      <w:pPr>
        <w:pStyle w:val="65ReferencesTextstylesTextstyles"/>
        <w:rPr>
          <w:color w:val="auto"/>
        </w:rPr>
      </w:pPr>
      <w:r w:rsidRPr="00FE7622">
        <w:rPr>
          <w:color w:val="auto"/>
        </w:rPr>
        <w:t>40.</w:t>
      </w:r>
      <w:r w:rsidRPr="00FE7622">
        <w:rPr>
          <w:color w:val="auto"/>
        </w:rPr>
        <w:tab/>
        <w:t xml:space="preserve">Levey AS, Stevens LA, Schmid CH, Zhang YL, Castro AF, Feldman HI, </w:t>
      </w:r>
      <w:r w:rsidR="00E038BF" w:rsidRPr="00FE7622">
        <w:rPr>
          <w:i/>
          <w:color w:val="auto"/>
        </w:rPr>
        <w:t>et al</w:t>
      </w:r>
      <w:r w:rsidRPr="00FE7622">
        <w:rPr>
          <w:color w:val="auto"/>
        </w:rPr>
        <w:t xml:space="preserve">. A new equation to estimate glomerular filtration rate. </w:t>
      </w:r>
      <w:r w:rsidR="00E038BF" w:rsidRPr="00FE7622">
        <w:rPr>
          <w:i/>
          <w:color w:val="auto"/>
        </w:rPr>
        <w:t>Ann Intern Med</w:t>
      </w:r>
      <w:r w:rsidRPr="00FE7622">
        <w:rPr>
          <w:color w:val="auto"/>
        </w:rPr>
        <w:t xml:space="preserve"> 2009;</w:t>
      </w:r>
      <w:r w:rsidR="00E038BF" w:rsidRPr="00FE7622">
        <w:rPr>
          <w:b/>
          <w:color w:val="auto"/>
        </w:rPr>
        <w:t>150</w:t>
      </w:r>
      <w:r w:rsidRPr="00FE7622">
        <w:rPr>
          <w:color w:val="auto"/>
        </w:rPr>
        <w:t>:604–12.</w:t>
      </w:r>
    </w:p>
    <w:p w14:paraId="63C3D8DB" w14:textId="03E98FA7" w:rsidR="004E78FE" w:rsidRPr="00FE7622" w:rsidRDefault="004E78FE" w:rsidP="004E78FE">
      <w:pPr>
        <w:pStyle w:val="65ReferencesTextstylesTextstyles"/>
        <w:rPr>
          <w:color w:val="auto"/>
        </w:rPr>
      </w:pPr>
      <w:r w:rsidRPr="00FE7622">
        <w:rPr>
          <w:color w:val="auto"/>
        </w:rPr>
        <w:t>41.</w:t>
      </w:r>
      <w:r w:rsidRPr="00FE7622">
        <w:rPr>
          <w:color w:val="auto"/>
        </w:rPr>
        <w:tab/>
        <w:t xml:space="preserve">Vestbo J, Hurd SS, Agustí AG, Jones PW, Vogelmeier C, Anzueto A, </w:t>
      </w:r>
      <w:r w:rsidR="00E038BF" w:rsidRPr="00FE7622">
        <w:rPr>
          <w:i/>
          <w:color w:val="auto"/>
        </w:rPr>
        <w:t>et al</w:t>
      </w:r>
      <w:r w:rsidRPr="00FE7622">
        <w:rPr>
          <w:color w:val="auto"/>
        </w:rPr>
        <w:t xml:space="preserve">. Global strategy for the diagnosis, management, and prevention of chronic obstructive pulmonary disease: GOLD executive summary. </w:t>
      </w:r>
      <w:r w:rsidR="00E038BF" w:rsidRPr="00FE7622">
        <w:rPr>
          <w:i/>
          <w:color w:val="auto"/>
        </w:rPr>
        <w:t>Am J Respir Crit Care Med</w:t>
      </w:r>
      <w:r w:rsidRPr="00FE7622">
        <w:rPr>
          <w:color w:val="auto"/>
        </w:rPr>
        <w:t xml:space="preserve"> 2013;</w:t>
      </w:r>
      <w:r w:rsidR="00E038BF" w:rsidRPr="00FE7622">
        <w:rPr>
          <w:b/>
          <w:color w:val="auto"/>
        </w:rPr>
        <w:t>187</w:t>
      </w:r>
      <w:r w:rsidRPr="00FE7622">
        <w:rPr>
          <w:color w:val="auto"/>
        </w:rPr>
        <w:t>:347–65. https://doi.org/10.1164/rccm.201204-0596PP</w:t>
      </w:r>
    </w:p>
    <w:p w14:paraId="6B6337A0" w14:textId="3238A5CD" w:rsidR="004E78FE" w:rsidRPr="00FE7622" w:rsidRDefault="004E78FE" w:rsidP="004E78FE">
      <w:pPr>
        <w:pStyle w:val="65ReferencesTextstylesTextstyles"/>
        <w:rPr>
          <w:color w:val="auto"/>
        </w:rPr>
      </w:pPr>
      <w:r w:rsidRPr="00FE7622">
        <w:rPr>
          <w:color w:val="auto"/>
        </w:rPr>
        <w:t>42.</w:t>
      </w:r>
      <w:r w:rsidRPr="00FE7622">
        <w:rPr>
          <w:color w:val="auto"/>
        </w:rPr>
        <w:tab/>
        <w:t xml:space="preserve">Guralnik JM, Simonsick EM, Ferrucci L, Glynn RJ, Berkman LF, Blazer DG, </w:t>
      </w:r>
      <w:r w:rsidR="00E038BF" w:rsidRPr="00FE7622">
        <w:rPr>
          <w:i/>
          <w:color w:val="auto"/>
        </w:rPr>
        <w:t>et al</w:t>
      </w:r>
      <w:r w:rsidRPr="00FE7622">
        <w:rPr>
          <w:color w:val="auto"/>
        </w:rPr>
        <w:t xml:space="preserve">. A short physical performance battery assessing lower extremity function: association with self-reported disability and prediction of mortality and nursing home admission. </w:t>
      </w:r>
      <w:r w:rsidR="00E038BF" w:rsidRPr="00FE7622">
        <w:rPr>
          <w:i/>
          <w:color w:val="auto"/>
        </w:rPr>
        <w:t>J Gerontol</w:t>
      </w:r>
      <w:r w:rsidRPr="00FE7622">
        <w:rPr>
          <w:color w:val="auto"/>
        </w:rPr>
        <w:t xml:space="preserve"> 1994;</w:t>
      </w:r>
      <w:r w:rsidR="00E038BF" w:rsidRPr="00FE7622">
        <w:rPr>
          <w:b/>
          <w:color w:val="auto"/>
        </w:rPr>
        <w:t>49</w:t>
      </w:r>
      <w:r w:rsidRPr="00FE7622">
        <w:rPr>
          <w:color w:val="auto"/>
        </w:rPr>
        <w:t>:M85–94. https://doi.org/10.1093/geronj/49.2.m85</w:t>
      </w:r>
    </w:p>
    <w:p w14:paraId="5859EECF" w14:textId="423D82CA" w:rsidR="004E78FE" w:rsidRPr="00FE7622" w:rsidRDefault="004E78FE" w:rsidP="004E78FE">
      <w:pPr>
        <w:pStyle w:val="65ReferencesTextstylesTextstyles"/>
        <w:rPr>
          <w:color w:val="auto"/>
        </w:rPr>
      </w:pPr>
      <w:r w:rsidRPr="00FE7622">
        <w:rPr>
          <w:color w:val="auto"/>
        </w:rPr>
        <w:t>43.</w:t>
      </w:r>
      <w:r w:rsidRPr="00FE7622">
        <w:rPr>
          <w:color w:val="auto"/>
        </w:rPr>
        <w:tab/>
        <w:t xml:space="preserve">Guralnik JM, Ferrucci L, Simonsick EM, Salive ME, Wallace RB. Lower-extremity function in persons over the age of 70 years as a predictor of subsequent disability. </w:t>
      </w:r>
      <w:r w:rsidR="00E038BF" w:rsidRPr="00FE7622">
        <w:rPr>
          <w:i/>
          <w:color w:val="auto"/>
        </w:rPr>
        <w:t>N Engl J Med</w:t>
      </w:r>
      <w:r w:rsidRPr="00FE7622">
        <w:rPr>
          <w:color w:val="auto"/>
        </w:rPr>
        <w:t xml:space="preserve"> 1995;</w:t>
      </w:r>
      <w:r w:rsidR="00E038BF" w:rsidRPr="00FE7622">
        <w:rPr>
          <w:b/>
          <w:color w:val="auto"/>
        </w:rPr>
        <w:t>332</w:t>
      </w:r>
      <w:r w:rsidRPr="00FE7622">
        <w:rPr>
          <w:color w:val="auto"/>
        </w:rPr>
        <w:t>:556–61. https://doi.org/10.1056/NEJM199503023320902</w:t>
      </w:r>
    </w:p>
    <w:p w14:paraId="0D2B5471" w14:textId="4CCF46A4" w:rsidR="004E78FE" w:rsidRPr="00FE7622" w:rsidRDefault="004E78FE" w:rsidP="004E78FE">
      <w:pPr>
        <w:pStyle w:val="65ReferencesTextstylesTextstyles"/>
        <w:rPr>
          <w:color w:val="auto"/>
        </w:rPr>
      </w:pPr>
      <w:r w:rsidRPr="00FE7622">
        <w:rPr>
          <w:color w:val="auto"/>
        </w:rPr>
        <w:t>44.</w:t>
      </w:r>
      <w:r w:rsidRPr="00FE7622">
        <w:rPr>
          <w:color w:val="auto"/>
        </w:rPr>
        <w:tab/>
        <w:t xml:space="preserve">Roberts HC, Denison HJ, Martin HJ, Patel HP, Syddall H, Cooper C, Sayer AA. A review of the measurement of grip strength in clinical and epidemiological studies: towards a standardised approach. </w:t>
      </w:r>
      <w:r w:rsidR="00E038BF" w:rsidRPr="00FE7622">
        <w:rPr>
          <w:i/>
          <w:color w:val="auto"/>
        </w:rPr>
        <w:t>Age Ageing</w:t>
      </w:r>
      <w:r w:rsidRPr="00FE7622">
        <w:rPr>
          <w:color w:val="auto"/>
        </w:rPr>
        <w:t xml:space="preserve"> 2011;</w:t>
      </w:r>
      <w:r w:rsidR="00E038BF" w:rsidRPr="00FE7622">
        <w:rPr>
          <w:b/>
          <w:color w:val="auto"/>
        </w:rPr>
        <w:t>40</w:t>
      </w:r>
      <w:r w:rsidRPr="00FE7622">
        <w:rPr>
          <w:color w:val="auto"/>
        </w:rPr>
        <w:t>:423–9. https://doi.org/10.1093/ageing/afr051</w:t>
      </w:r>
    </w:p>
    <w:p w14:paraId="52533357" w14:textId="46D5D174" w:rsidR="004E78FE" w:rsidRPr="00FE7622" w:rsidRDefault="004E78FE" w:rsidP="004E78FE">
      <w:pPr>
        <w:pStyle w:val="65ReferencesTextstylesTextstyles"/>
        <w:rPr>
          <w:color w:val="auto"/>
        </w:rPr>
      </w:pPr>
      <w:r w:rsidRPr="00FE7622">
        <w:rPr>
          <w:color w:val="auto"/>
        </w:rPr>
        <w:t>45.</w:t>
      </w:r>
      <w:r w:rsidRPr="00FE7622">
        <w:rPr>
          <w:color w:val="auto"/>
        </w:rPr>
        <w:tab/>
        <w:t xml:space="preserve">Mentiplay BF, Perraton LG, Bower KJ, Adair B, Pua YH, Williams GP, </w:t>
      </w:r>
      <w:r w:rsidR="00E038BF" w:rsidRPr="00FE7622">
        <w:rPr>
          <w:i/>
          <w:color w:val="auto"/>
        </w:rPr>
        <w:t>et al</w:t>
      </w:r>
      <w:r w:rsidRPr="00FE7622">
        <w:rPr>
          <w:color w:val="auto"/>
        </w:rPr>
        <w:t xml:space="preserve">. Assessment of </w:t>
      </w:r>
      <w:r w:rsidR="00463413" w:rsidRPr="00FE7622">
        <w:rPr>
          <w:color w:val="auto"/>
        </w:rPr>
        <w:t>lower limb muscle strength and power using hand-held and fixed dynamometry: a reliability and validity study</w:t>
      </w:r>
      <w:r w:rsidRPr="00FE7622">
        <w:rPr>
          <w:color w:val="auto"/>
        </w:rPr>
        <w:t xml:space="preserve">. </w:t>
      </w:r>
      <w:r w:rsidR="00E038BF" w:rsidRPr="00FE7622">
        <w:rPr>
          <w:i/>
          <w:color w:val="auto"/>
        </w:rPr>
        <w:t>PLOS ONE</w:t>
      </w:r>
      <w:r w:rsidRPr="00FE7622">
        <w:rPr>
          <w:color w:val="auto"/>
        </w:rPr>
        <w:t xml:space="preserve"> 2015;</w:t>
      </w:r>
      <w:r w:rsidR="00E038BF" w:rsidRPr="00FE7622">
        <w:rPr>
          <w:b/>
          <w:color w:val="auto"/>
        </w:rPr>
        <w:t>10</w:t>
      </w:r>
      <w:r w:rsidRPr="00FE7622">
        <w:rPr>
          <w:color w:val="auto"/>
        </w:rPr>
        <w:t>:e0140822. https://doi.org/10.1371/journal.pone.0140822</w:t>
      </w:r>
    </w:p>
    <w:p w14:paraId="5CE56499" w14:textId="13D11ABF" w:rsidR="004E78FE" w:rsidRPr="00FE7622" w:rsidRDefault="004E78FE" w:rsidP="004E78FE">
      <w:pPr>
        <w:pStyle w:val="65ReferencesTextstylesTextstyles"/>
        <w:rPr>
          <w:color w:val="auto"/>
        </w:rPr>
      </w:pPr>
      <w:r w:rsidRPr="00FE7622">
        <w:rPr>
          <w:color w:val="auto"/>
        </w:rPr>
        <w:t>46.</w:t>
      </w:r>
      <w:r w:rsidRPr="00FE7622">
        <w:rPr>
          <w:color w:val="auto"/>
        </w:rPr>
        <w:tab/>
        <w:t xml:space="preserve">Guyatt GH, Sullivan MJ, Thompson PJ, Fallen EL, Pugsley SO, Taylor DW, Berman LB. The 6-minute walk: a new measure of exercise capacity in patients with chronic heart failure. </w:t>
      </w:r>
      <w:r w:rsidR="00E038BF" w:rsidRPr="00FE7622">
        <w:rPr>
          <w:i/>
          <w:color w:val="auto"/>
        </w:rPr>
        <w:t>Can Med Assoc J</w:t>
      </w:r>
      <w:r w:rsidRPr="00FE7622">
        <w:rPr>
          <w:color w:val="auto"/>
        </w:rPr>
        <w:t xml:space="preserve"> 1985;</w:t>
      </w:r>
      <w:r w:rsidR="00E038BF" w:rsidRPr="00FE7622">
        <w:rPr>
          <w:b/>
          <w:color w:val="auto"/>
        </w:rPr>
        <w:t>132</w:t>
      </w:r>
      <w:r w:rsidRPr="00FE7622">
        <w:rPr>
          <w:color w:val="auto"/>
        </w:rPr>
        <w:t>:919–23.</w:t>
      </w:r>
    </w:p>
    <w:p w14:paraId="6751332C" w14:textId="57FBCF6D" w:rsidR="004E78FE" w:rsidRPr="00FE7622" w:rsidRDefault="004E78FE" w:rsidP="004E78FE">
      <w:pPr>
        <w:pStyle w:val="65ReferencesTextstylesTextstyles"/>
        <w:rPr>
          <w:color w:val="auto"/>
        </w:rPr>
      </w:pPr>
      <w:r w:rsidRPr="00FE7622">
        <w:rPr>
          <w:color w:val="auto"/>
        </w:rPr>
        <w:t>47.</w:t>
      </w:r>
      <w:r w:rsidRPr="00FE7622">
        <w:rPr>
          <w:color w:val="auto"/>
        </w:rPr>
        <w:tab/>
        <w:t xml:space="preserve">Wennie Huang WN, Perera S, VanSwearingen J, Studenski S. Performance measures predict onset of activity of daily living difficulty in community-dwelling older adults. </w:t>
      </w:r>
      <w:r w:rsidR="00E038BF" w:rsidRPr="00FE7622">
        <w:rPr>
          <w:i/>
          <w:color w:val="auto"/>
        </w:rPr>
        <w:t>J Am Geriatr Soc</w:t>
      </w:r>
      <w:r w:rsidRPr="00FE7622">
        <w:rPr>
          <w:color w:val="auto"/>
        </w:rPr>
        <w:t xml:space="preserve"> 2010;</w:t>
      </w:r>
      <w:r w:rsidR="00E038BF" w:rsidRPr="00FE7622">
        <w:rPr>
          <w:b/>
          <w:color w:val="auto"/>
        </w:rPr>
        <w:t>58</w:t>
      </w:r>
      <w:r w:rsidRPr="00FE7622">
        <w:rPr>
          <w:color w:val="auto"/>
        </w:rPr>
        <w:t>:844–52. https://doi.org/10.1111/j.1532-5415.2010.02820.x</w:t>
      </w:r>
    </w:p>
    <w:p w14:paraId="312506E9" w14:textId="725171B8" w:rsidR="004E78FE" w:rsidRPr="00FE7622" w:rsidRDefault="004E78FE" w:rsidP="004E78FE">
      <w:pPr>
        <w:pStyle w:val="65ReferencesTextstylesTextstyles"/>
        <w:rPr>
          <w:color w:val="auto"/>
        </w:rPr>
      </w:pPr>
      <w:r w:rsidRPr="00FE7622">
        <w:rPr>
          <w:color w:val="auto"/>
        </w:rPr>
        <w:t>48.</w:t>
      </w:r>
      <w:r w:rsidRPr="00FE7622">
        <w:rPr>
          <w:color w:val="auto"/>
        </w:rPr>
        <w:tab/>
        <w:t xml:space="preserve">Bohannon RW. Reference values for the timed up and go test: a descriptive meta-analysis. </w:t>
      </w:r>
      <w:r w:rsidR="00E038BF" w:rsidRPr="00FE7622">
        <w:rPr>
          <w:i/>
          <w:color w:val="auto"/>
        </w:rPr>
        <w:t>J Geriatr Phys Ther</w:t>
      </w:r>
      <w:r w:rsidRPr="00FE7622">
        <w:rPr>
          <w:color w:val="auto"/>
        </w:rPr>
        <w:t xml:space="preserve"> 2006;</w:t>
      </w:r>
      <w:r w:rsidR="00E038BF" w:rsidRPr="00FE7622">
        <w:rPr>
          <w:b/>
          <w:color w:val="auto"/>
        </w:rPr>
        <w:t>29</w:t>
      </w:r>
      <w:r w:rsidRPr="00FE7622">
        <w:rPr>
          <w:color w:val="auto"/>
        </w:rPr>
        <w:t>:64–8. https://doi.org/10.1519/00139143-200608000-00004</w:t>
      </w:r>
    </w:p>
    <w:p w14:paraId="7486F002" w14:textId="398499FA" w:rsidR="004E78FE" w:rsidRPr="00FE7622" w:rsidRDefault="004E78FE" w:rsidP="004E78FE">
      <w:pPr>
        <w:pStyle w:val="65ReferencesTextstylesTextstyles"/>
        <w:rPr>
          <w:color w:val="auto"/>
        </w:rPr>
      </w:pPr>
      <w:r w:rsidRPr="00FE7622">
        <w:rPr>
          <w:color w:val="auto"/>
        </w:rPr>
        <w:t>49.</w:t>
      </w:r>
      <w:r w:rsidRPr="00FE7622">
        <w:rPr>
          <w:color w:val="auto"/>
        </w:rPr>
        <w:tab/>
        <w:t xml:space="preserve">Nouri FM, Lincoln NB. An extended activities of daily living scale for stroke patients. </w:t>
      </w:r>
      <w:r w:rsidR="00E038BF" w:rsidRPr="00FE7622">
        <w:rPr>
          <w:i/>
          <w:iCs/>
          <w:color w:val="auto"/>
        </w:rPr>
        <w:t>Clin Rehabil</w:t>
      </w:r>
      <w:r w:rsidRPr="00FE7622">
        <w:rPr>
          <w:color w:val="auto"/>
        </w:rPr>
        <w:t xml:space="preserve"> 1987;</w:t>
      </w:r>
      <w:r w:rsidR="00E038BF" w:rsidRPr="00FE7622">
        <w:rPr>
          <w:b/>
          <w:bCs/>
          <w:color w:val="auto"/>
        </w:rPr>
        <w:t>1</w:t>
      </w:r>
      <w:r w:rsidRPr="00FE7622">
        <w:rPr>
          <w:color w:val="auto"/>
        </w:rPr>
        <w:t>:301</w:t>
      </w:r>
      <w:r w:rsidR="00C1380B" w:rsidRPr="00FE7622">
        <w:rPr>
          <w:color w:val="auto"/>
        </w:rPr>
        <w:t>–</w:t>
      </w:r>
      <w:r w:rsidRPr="00FE7622">
        <w:rPr>
          <w:color w:val="auto"/>
        </w:rPr>
        <w:t>5.</w:t>
      </w:r>
    </w:p>
    <w:p w14:paraId="77B274FC" w14:textId="2F13E8A8" w:rsidR="004E78FE" w:rsidRPr="00FE7622" w:rsidRDefault="004E78FE" w:rsidP="004E78FE">
      <w:pPr>
        <w:pStyle w:val="65ReferencesTextstylesTextstyles"/>
        <w:rPr>
          <w:color w:val="auto"/>
        </w:rPr>
      </w:pPr>
      <w:r w:rsidRPr="00FE7622">
        <w:rPr>
          <w:color w:val="auto"/>
        </w:rPr>
        <w:t>50.</w:t>
      </w:r>
      <w:r w:rsidRPr="00FE7622">
        <w:rPr>
          <w:color w:val="auto"/>
        </w:rPr>
        <w:tab/>
        <w:t>EuroQol Group</w:t>
      </w:r>
      <w:r w:rsidR="009B3884" w:rsidRPr="00FE7622">
        <w:rPr>
          <w:color w:val="auto"/>
        </w:rPr>
        <w:t>.</w:t>
      </w:r>
      <w:r w:rsidRPr="00FE7622">
        <w:rPr>
          <w:color w:val="auto"/>
        </w:rPr>
        <w:t xml:space="preserve"> EuroQol</w:t>
      </w:r>
      <w:r w:rsidR="00463413" w:rsidRPr="00FE7622">
        <w:rPr>
          <w:color w:val="auto"/>
        </w:rPr>
        <w:t xml:space="preserve"> – </w:t>
      </w:r>
      <w:r w:rsidRPr="00FE7622">
        <w:rPr>
          <w:color w:val="auto"/>
        </w:rPr>
        <w:t xml:space="preserve">a new facility for the measurement of health-related quality of life. </w:t>
      </w:r>
      <w:r w:rsidR="00E038BF" w:rsidRPr="00FE7622">
        <w:rPr>
          <w:i/>
          <w:iCs/>
          <w:color w:val="auto"/>
        </w:rPr>
        <w:t>Health Policy</w:t>
      </w:r>
      <w:r w:rsidRPr="00FE7622">
        <w:rPr>
          <w:color w:val="auto"/>
        </w:rPr>
        <w:t xml:space="preserve"> 1990;</w:t>
      </w:r>
      <w:r w:rsidR="00E038BF" w:rsidRPr="00FE7622">
        <w:rPr>
          <w:b/>
          <w:bCs/>
          <w:color w:val="auto"/>
        </w:rPr>
        <w:t>16</w:t>
      </w:r>
      <w:r w:rsidRPr="00FE7622">
        <w:rPr>
          <w:color w:val="auto"/>
        </w:rPr>
        <w:t>:199–208.</w:t>
      </w:r>
    </w:p>
    <w:p w14:paraId="143ED5EB" w14:textId="29D150E5" w:rsidR="004E78FE" w:rsidRPr="00FE7622" w:rsidRDefault="004E78FE" w:rsidP="004E78FE">
      <w:pPr>
        <w:pStyle w:val="65ReferencesTextstylesTextstyles"/>
        <w:rPr>
          <w:color w:val="auto"/>
        </w:rPr>
      </w:pPr>
      <w:r w:rsidRPr="00FE7622">
        <w:rPr>
          <w:color w:val="auto"/>
        </w:rPr>
        <w:t>51.</w:t>
      </w:r>
      <w:r w:rsidRPr="00FE7622">
        <w:rPr>
          <w:color w:val="auto"/>
        </w:rPr>
        <w:tab/>
        <w:t xml:space="preserve">Matthews DR, Hosker JP, Rudenski AS, Naylor BA, Treacher DF, Turner RC. Homeostasis model assessment: insulin resistance and beta-cell function from fasting plasma glucose and insulin concentrations in man. </w:t>
      </w:r>
      <w:r w:rsidR="00E038BF" w:rsidRPr="00FE7622">
        <w:rPr>
          <w:i/>
          <w:color w:val="auto"/>
        </w:rPr>
        <w:t>Diabetologia</w:t>
      </w:r>
      <w:r w:rsidRPr="00FE7622">
        <w:rPr>
          <w:color w:val="auto"/>
        </w:rPr>
        <w:t xml:space="preserve"> 1985;</w:t>
      </w:r>
      <w:r w:rsidR="00E038BF" w:rsidRPr="00FE7622">
        <w:rPr>
          <w:b/>
          <w:color w:val="auto"/>
        </w:rPr>
        <w:t>28</w:t>
      </w:r>
      <w:r w:rsidRPr="00FE7622">
        <w:rPr>
          <w:color w:val="auto"/>
        </w:rPr>
        <w:t>:412–19. https://doi.org/10.1007/BF00280883</w:t>
      </w:r>
    </w:p>
    <w:p w14:paraId="49A16147" w14:textId="5E192F31" w:rsidR="004E78FE" w:rsidRPr="00FE7622" w:rsidRDefault="004E78FE" w:rsidP="004E78FE">
      <w:pPr>
        <w:pStyle w:val="65ReferencesTextstylesTextstyles"/>
        <w:rPr>
          <w:color w:val="auto"/>
        </w:rPr>
      </w:pPr>
      <w:r w:rsidRPr="00FE7622">
        <w:rPr>
          <w:color w:val="auto"/>
        </w:rPr>
        <w:t>52.</w:t>
      </w:r>
      <w:r w:rsidRPr="00FE7622">
        <w:rPr>
          <w:color w:val="auto"/>
        </w:rPr>
        <w:tab/>
        <w:t xml:space="preserve">Jia X, Craig LC, Aucott LS, Milne AC, McNeill G. Repeatability and validity of a food frequency questionnaire in free-living older people in relation to cognitive function. </w:t>
      </w:r>
      <w:r w:rsidR="00E038BF" w:rsidRPr="00FE7622">
        <w:rPr>
          <w:i/>
          <w:color w:val="auto"/>
        </w:rPr>
        <w:t>J Nutr Health Aging</w:t>
      </w:r>
      <w:r w:rsidRPr="00FE7622">
        <w:rPr>
          <w:color w:val="auto"/>
        </w:rPr>
        <w:t xml:space="preserve"> 2008;</w:t>
      </w:r>
      <w:r w:rsidR="00E038BF" w:rsidRPr="00FE7622">
        <w:rPr>
          <w:b/>
          <w:color w:val="auto"/>
        </w:rPr>
        <w:t>12</w:t>
      </w:r>
      <w:r w:rsidRPr="00FE7622">
        <w:rPr>
          <w:color w:val="auto"/>
        </w:rPr>
        <w:t>:735–41. https://doi.org/10.1007/BF03028622</w:t>
      </w:r>
    </w:p>
    <w:p w14:paraId="4F1DB084" w14:textId="07344804" w:rsidR="004E78FE" w:rsidRPr="00FE7622" w:rsidRDefault="004E78FE" w:rsidP="004E78FE">
      <w:pPr>
        <w:pStyle w:val="65ReferencesTextstylesTextstyles"/>
        <w:rPr>
          <w:color w:val="auto"/>
        </w:rPr>
      </w:pPr>
      <w:r w:rsidRPr="00FE7622">
        <w:rPr>
          <w:color w:val="auto"/>
        </w:rPr>
        <w:t>53.</w:t>
      </w:r>
      <w:r w:rsidRPr="00FE7622">
        <w:rPr>
          <w:color w:val="auto"/>
        </w:rPr>
        <w:tab/>
        <w:t xml:space="preserve">Bucci L, Yani SL, Fabbri C, Bijlsma AY, Maier AB, Meskers CG, </w:t>
      </w:r>
      <w:r w:rsidR="00E038BF" w:rsidRPr="00FE7622">
        <w:rPr>
          <w:i/>
          <w:color w:val="auto"/>
        </w:rPr>
        <w:t>et al</w:t>
      </w:r>
      <w:r w:rsidRPr="00FE7622">
        <w:rPr>
          <w:color w:val="auto"/>
        </w:rPr>
        <w:t xml:space="preserve">. Circulating levels of adipokines and </w:t>
      </w:r>
      <w:r w:rsidRPr="00842651">
        <w:rPr>
          <w:color w:val="auto"/>
        </w:rPr>
        <w:t>IGF-1</w:t>
      </w:r>
      <w:r w:rsidRPr="00FE7622">
        <w:rPr>
          <w:color w:val="auto"/>
        </w:rPr>
        <w:t xml:space="preserve"> are associated with skeletal muscle strength of young and old healthy subjects. </w:t>
      </w:r>
      <w:r w:rsidR="00E038BF" w:rsidRPr="00FE7622">
        <w:rPr>
          <w:i/>
          <w:color w:val="auto"/>
        </w:rPr>
        <w:t>Biogerontology</w:t>
      </w:r>
      <w:r w:rsidRPr="00FE7622">
        <w:rPr>
          <w:color w:val="auto"/>
        </w:rPr>
        <w:t xml:space="preserve"> 2013;</w:t>
      </w:r>
      <w:r w:rsidR="00E038BF" w:rsidRPr="00FE7622">
        <w:rPr>
          <w:b/>
          <w:color w:val="auto"/>
        </w:rPr>
        <w:t>14</w:t>
      </w:r>
      <w:r w:rsidRPr="00FE7622">
        <w:rPr>
          <w:color w:val="auto"/>
        </w:rPr>
        <w:t>:261–72. https://doi.org/10.1007/s10522-013-9428-5</w:t>
      </w:r>
    </w:p>
    <w:p w14:paraId="41099BFC" w14:textId="7BBB736D" w:rsidR="004E78FE" w:rsidRPr="00FE7622" w:rsidRDefault="004E78FE" w:rsidP="004E78FE">
      <w:pPr>
        <w:pStyle w:val="65ReferencesTextstylesTextstyles"/>
        <w:rPr>
          <w:color w:val="auto"/>
        </w:rPr>
      </w:pPr>
      <w:r w:rsidRPr="00FE7622">
        <w:rPr>
          <w:color w:val="auto"/>
        </w:rPr>
        <w:t>54.</w:t>
      </w:r>
      <w:r w:rsidRPr="00FE7622">
        <w:rPr>
          <w:color w:val="auto"/>
        </w:rPr>
        <w:tab/>
        <w:t xml:space="preserve">Haddad F, Zaldivar F, Cooper DM, Adams GR. </w:t>
      </w:r>
      <w:r w:rsidRPr="00842651">
        <w:rPr>
          <w:color w:val="auto"/>
        </w:rPr>
        <w:t>IL</w:t>
      </w:r>
      <w:r w:rsidRPr="00FE7622">
        <w:rPr>
          <w:color w:val="auto"/>
        </w:rPr>
        <w:t xml:space="preserve">-6-induced skeletal muscle atrophy. </w:t>
      </w:r>
      <w:r w:rsidR="00E038BF" w:rsidRPr="00FE7622">
        <w:rPr>
          <w:i/>
          <w:color w:val="auto"/>
        </w:rPr>
        <w:t>J Appl Physiol</w:t>
      </w:r>
      <w:r w:rsidRPr="00FE7622">
        <w:rPr>
          <w:color w:val="auto"/>
        </w:rPr>
        <w:t xml:space="preserve"> 2005;</w:t>
      </w:r>
      <w:r w:rsidR="00E038BF" w:rsidRPr="00FE7622">
        <w:rPr>
          <w:b/>
          <w:color w:val="auto"/>
        </w:rPr>
        <w:t>98</w:t>
      </w:r>
      <w:r w:rsidRPr="00FE7622">
        <w:rPr>
          <w:color w:val="auto"/>
        </w:rPr>
        <w:t>:911–17.</w:t>
      </w:r>
    </w:p>
    <w:p w14:paraId="28B1D8D5" w14:textId="614822B8" w:rsidR="004E78FE" w:rsidRPr="00FE7622" w:rsidRDefault="004E78FE" w:rsidP="004E78FE">
      <w:pPr>
        <w:pStyle w:val="65ReferencesTextstylesTextstyles"/>
        <w:rPr>
          <w:color w:val="auto"/>
        </w:rPr>
      </w:pPr>
      <w:r w:rsidRPr="00FE7622">
        <w:rPr>
          <w:color w:val="auto"/>
        </w:rPr>
        <w:t>55.</w:t>
      </w:r>
      <w:r w:rsidRPr="00FE7622">
        <w:rPr>
          <w:color w:val="auto"/>
        </w:rPr>
        <w:tab/>
        <w:t xml:space="preserve">Tuttle CSL, Thang LAN, Maier AB. Markers of inflammation and their association with muscle strength and mass: </w:t>
      </w:r>
      <w:r w:rsidR="00463413" w:rsidRPr="00FE7622">
        <w:rPr>
          <w:color w:val="auto"/>
        </w:rPr>
        <w:t>a</w:t>
      </w:r>
      <w:r w:rsidRPr="00FE7622">
        <w:rPr>
          <w:color w:val="auto"/>
        </w:rPr>
        <w:t xml:space="preserve"> systematic review and meta-analysis. </w:t>
      </w:r>
      <w:r w:rsidR="00E038BF" w:rsidRPr="00FE7622">
        <w:rPr>
          <w:i/>
          <w:color w:val="auto"/>
        </w:rPr>
        <w:t>Ageing Res Rev</w:t>
      </w:r>
      <w:r w:rsidRPr="00FE7622">
        <w:rPr>
          <w:color w:val="auto"/>
        </w:rPr>
        <w:t xml:space="preserve"> 2020;</w:t>
      </w:r>
      <w:r w:rsidR="00E038BF" w:rsidRPr="00FE7622">
        <w:rPr>
          <w:b/>
          <w:color w:val="auto"/>
        </w:rPr>
        <w:t>64</w:t>
      </w:r>
      <w:r w:rsidRPr="00FE7622">
        <w:rPr>
          <w:color w:val="auto"/>
        </w:rPr>
        <w:t>:101185.</w:t>
      </w:r>
    </w:p>
    <w:p w14:paraId="49D82564" w14:textId="2768CC14" w:rsidR="004E78FE" w:rsidRPr="00FE7622" w:rsidRDefault="004E78FE" w:rsidP="004E78FE">
      <w:pPr>
        <w:pStyle w:val="65ReferencesTextstylesTextstyles"/>
        <w:rPr>
          <w:color w:val="auto"/>
        </w:rPr>
      </w:pPr>
      <w:r w:rsidRPr="00FE7622">
        <w:rPr>
          <w:color w:val="auto"/>
        </w:rPr>
        <w:t>56.</w:t>
      </w:r>
      <w:r w:rsidRPr="00FE7622">
        <w:rPr>
          <w:color w:val="auto"/>
        </w:rPr>
        <w:tab/>
        <w:t xml:space="preserve">Li CW, Yu K, Shyh-Chang N, Li GX, Jiang LJ, Yu SL, </w:t>
      </w:r>
      <w:r w:rsidR="00E038BF" w:rsidRPr="00FE7622">
        <w:rPr>
          <w:i/>
          <w:color w:val="auto"/>
        </w:rPr>
        <w:t>et al</w:t>
      </w:r>
      <w:r w:rsidRPr="00FE7622">
        <w:rPr>
          <w:color w:val="auto"/>
        </w:rPr>
        <w:t xml:space="preserve">. Circulating factors associated with sarcopenia during ageing and after intensive lifestyle intervention. </w:t>
      </w:r>
      <w:r w:rsidR="00E038BF" w:rsidRPr="00FE7622">
        <w:rPr>
          <w:i/>
          <w:color w:val="auto"/>
        </w:rPr>
        <w:t>J Cachexia Sarcopenia Muscle</w:t>
      </w:r>
      <w:r w:rsidRPr="00FE7622">
        <w:rPr>
          <w:color w:val="auto"/>
        </w:rPr>
        <w:t xml:space="preserve"> 2019;</w:t>
      </w:r>
      <w:r w:rsidR="00E038BF" w:rsidRPr="00FE7622">
        <w:rPr>
          <w:b/>
          <w:color w:val="auto"/>
        </w:rPr>
        <w:t>10</w:t>
      </w:r>
      <w:r w:rsidRPr="00FE7622">
        <w:rPr>
          <w:color w:val="auto"/>
        </w:rPr>
        <w:t>:586–600. https://doi.org/10.1002/jcsm.12417</w:t>
      </w:r>
    </w:p>
    <w:p w14:paraId="041F4825" w14:textId="7A69EFEE" w:rsidR="004E78FE" w:rsidRPr="00FE7622" w:rsidRDefault="004E78FE" w:rsidP="004E78FE">
      <w:pPr>
        <w:pStyle w:val="65ReferencesTextstylesTextstyles"/>
        <w:rPr>
          <w:color w:val="auto"/>
        </w:rPr>
      </w:pPr>
      <w:r w:rsidRPr="00FE7622">
        <w:rPr>
          <w:color w:val="auto"/>
        </w:rPr>
        <w:t>57.</w:t>
      </w:r>
      <w:r w:rsidRPr="00FE7622">
        <w:rPr>
          <w:color w:val="auto"/>
        </w:rPr>
        <w:tab/>
        <w:t xml:space="preserve">Rebalka IA, Monaco CMF, Varah NE, Berger T, D’souza DM, Zhou S, </w:t>
      </w:r>
      <w:r w:rsidR="00E038BF" w:rsidRPr="00FE7622">
        <w:rPr>
          <w:i/>
          <w:color w:val="auto"/>
        </w:rPr>
        <w:t>et al</w:t>
      </w:r>
      <w:r w:rsidRPr="00FE7622">
        <w:rPr>
          <w:color w:val="auto"/>
        </w:rPr>
        <w:t xml:space="preserve">. Loss of the adipokine lipocalin-2 impairs satellite cell activation and skeletal muscle regeneration. </w:t>
      </w:r>
      <w:r w:rsidR="00E038BF" w:rsidRPr="00FE7622">
        <w:rPr>
          <w:i/>
          <w:color w:val="auto"/>
        </w:rPr>
        <w:t>Am J Physiol Cell Physiol</w:t>
      </w:r>
      <w:r w:rsidRPr="00FE7622">
        <w:rPr>
          <w:color w:val="auto"/>
        </w:rPr>
        <w:t xml:space="preserve"> 2018;</w:t>
      </w:r>
      <w:r w:rsidR="00E038BF" w:rsidRPr="00FE7622">
        <w:rPr>
          <w:b/>
          <w:color w:val="auto"/>
        </w:rPr>
        <w:t>315</w:t>
      </w:r>
      <w:r w:rsidRPr="00FE7622">
        <w:rPr>
          <w:color w:val="auto"/>
        </w:rPr>
        <w:t>:C714–C721. https://doi.org/10.1152/ajpcell.00195.2017</w:t>
      </w:r>
    </w:p>
    <w:p w14:paraId="3F1F6C9D" w14:textId="4D268767" w:rsidR="004E78FE" w:rsidRPr="00FE7622" w:rsidRDefault="004E78FE" w:rsidP="004E78FE">
      <w:pPr>
        <w:pStyle w:val="65ReferencesTextstylesTextstyles"/>
        <w:rPr>
          <w:color w:val="auto"/>
        </w:rPr>
      </w:pPr>
      <w:r w:rsidRPr="00FE7622">
        <w:rPr>
          <w:color w:val="auto"/>
        </w:rPr>
        <w:t>58.</w:t>
      </w:r>
      <w:r w:rsidRPr="00FE7622">
        <w:rPr>
          <w:color w:val="auto"/>
        </w:rPr>
        <w:tab/>
        <w:t xml:space="preserve">De Biase D, Piegari G, Prisco F, Cimmino I, d’Aquino I, Baldassarre V, </w:t>
      </w:r>
      <w:r w:rsidR="00E038BF" w:rsidRPr="00FE7622">
        <w:rPr>
          <w:i/>
          <w:color w:val="auto"/>
        </w:rPr>
        <w:t>et al</w:t>
      </w:r>
      <w:r w:rsidRPr="00FE7622">
        <w:rPr>
          <w:color w:val="auto"/>
        </w:rPr>
        <w:t xml:space="preserve">. Implication of the NLRP3 </w:t>
      </w:r>
      <w:r w:rsidR="00463413" w:rsidRPr="00FE7622">
        <w:rPr>
          <w:color w:val="auto"/>
        </w:rPr>
        <w:t>inflammasome in bovine age-related sarcopenia</w:t>
      </w:r>
      <w:r w:rsidRPr="00FE7622">
        <w:rPr>
          <w:color w:val="auto"/>
        </w:rPr>
        <w:t xml:space="preserve">. </w:t>
      </w:r>
      <w:r w:rsidR="00E038BF" w:rsidRPr="00FE7622">
        <w:rPr>
          <w:i/>
          <w:color w:val="auto"/>
        </w:rPr>
        <w:t>Int J Mol Sci</w:t>
      </w:r>
      <w:r w:rsidRPr="00FE7622">
        <w:rPr>
          <w:color w:val="auto"/>
        </w:rPr>
        <w:t xml:space="preserve"> 2021;</w:t>
      </w:r>
      <w:r w:rsidR="00E038BF" w:rsidRPr="00FE7622">
        <w:rPr>
          <w:b/>
          <w:color w:val="auto"/>
        </w:rPr>
        <w:t>22</w:t>
      </w:r>
      <w:r w:rsidRPr="00FE7622">
        <w:rPr>
          <w:color w:val="auto"/>
        </w:rPr>
        <w:t>:3609.</w:t>
      </w:r>
    </w:p>
    <w:p w14:paraId="33968D37" w14:textId="5A2563B1" w:rsidR="004E78FE" w:rsidRPr="00FE7622" w:rsidRDefault="004E78FE" w:rsidP="004E78FE">
      <w:pPr>
        <w:pStyle w:val="65ReferencesTextstylesTextstyles"/>
        <w:rPr>
          <w:color w:val="auto"/>
        </w:rPr>
      </w:pPr>
      <w:r w:rsidRPr="00FE7622">
        <w:rPr>
          <w:color w:val="auto"/>
        </w:rPr>
        <w:t>59.</w:t>
      </w:r>
      <w:r w:rsidRPr="00FE7622">
        <w:rPr>
          <w:color w:val="auto"/>
        </w:rPr>
        <w:tab/>
        <w:t xml:space="preserve">Kalyani RR, Corriere M, Ferrucci L. Age-related and disease-related muscle loss: the effect of diabetes, obesity, and other diseases. </w:t>
      </w:r>
      <w:r w:rsidR="00E038BF" w:rsidRPr="00FE7622">
        <w:rPr>
          <w:i/>
          <w:color w:val="auto"/>
        </w:rPr>
        <w:t>Lancet Diabetes Endocrinol</w:t>
      </w:r>
      <w:r w:rsidRPr="00FE7622">
        <w:rPr>
          <w:color w:val="auto"/>
        </w:rPr>
        <w:t xml:space="preserve"> 2014;</w:t>
      </w:r>
      <w:r w:rsidR="00E038BF" w:rsidRPr="00FE7622">
        <w:rPr>
          <w:b/>
          <w:color w:val="auto"/>
        </w:rPr>
        <w:t>2</w:t>
      </w:r>
      <w:r w:rsidRPr="00FE7622">
        <w:rPr>
          <w:color w:val="auto"/>
        </w:rPr>
        <w:t>:819–29. https://doi.org/10.1016/S2213-8587(14)70034-8</w:t>
      </w:r>
    </w:p>
    <w:p w14:paraId="31B44A14" w14:textId="676E5F01" w:rsidR="004E78FE" w:rsidRPr="00FE7622" w:rsidRDefault="004E78FE" w:rsidP="004E78FE">
      <w:pPr>
        <w:pStyle w:val="65ReferencesTextstylesTextstyles"/>
        <w:rPr>
          <w:color w:val="auto"/>
        </w:rPr>
      </w:pPr>
      <w:r w:rsidRPr="00FE7622">
        <w:rPr>
          <w:color w:val="auto"/>
        </w:rPr>
        <w:t>60.</w:t>
      </w:r>
      <w:r w:rsidRPr="00FE7622">
        <w:rPr>
          <w:color w:val="auto"/>
        </w:rPr>
        <w:tab/>
        <w:t xml:space="preserve">Payette H, Roubenoff R, Jacques PF, Dinarello CA, Wilson PW, Abad LW, Harris T. Insulin-like growth factor-1 and interleukin 6 predict sarcopenia in very old community-living men and women: the Framingham Heart Study. </w:t>
      </w:r>
      <w:r w:rsidR="00E038BF" w:rsidRPr="00FE7622">
        <w:rPr>
          <w:i/>
          <w:color w:val="auto"/>
        </w:rPr>
        <w:t>J Am Geriatr Soc</w:t>
      </w:r>
      <w:r w:rsidRPr="00FE7622">
        <w:rPr>
          <w:color w:val="auto"/>
        </w:rPr>
        <w:t xml:space="preserve"> 2003;</w:t>
      </w:r>
      <w:r w:rsidR="00E038BF" w:rsidRPr="00FE7622">
        <w:rPr>
          <w:b/>
          <w:color w:val="auto"/>
        </w:rPr>
        <w:t>51</w:t>
      </w:r>
      <w:r w:rsidRPr="00FE7622">
        <w:rPr>
          <w:color w:val="auto"/>
        </w:rPr>
        <w:t>:1237–43.</w:t>
      </w:r>
    </w:p>
    <w:p w14:paraId="6C8AA599" w14:textId="103FA42D" w:rsidR="004E78FE" w:rsidRPr="00FE7622" w:rsidRDefault="004E78FE" w:rsidP="004E78FE">
      <w:pPr>
        <w:pStyle w:val="65ReferencesTextstylesTextstyles"/>
        <w:rPr>
          <w:color w:val="auto"/>
        </w:rPr>
      </w:pPr>
      <w:r w:rsidRPr="00FE7622">
        <w:rPr>
          <w:color w:val="auto"/>
        </w:rPr>
        <w:t>61.</w:t>
      </w:r>
      <w:r w:rsidRPr="00FE7622">
        <w:rPr>
          <w:color w:val="auto"/>
        </w:rPr>
        <w:tab/>
        <w:t xml:space="preserve">Patel MS, Lee J, Baz M, Wells CE, Bloch S, Lewis A, </w:t>
      </w:r>
      <w:r w:rsidR="00E038BF" w:rsidRPr="00FE7622">
        <w:rPr>
          <w:i/>
          <w:color w:val="auto"/>
        </w:rPr>
        <w:t>et al</w:t>
      </w:r>
      <w:r w:rsidRPr="00FE7622">
        <w:rPr>
          <w:color w:val="auto"/>
        </w:rPr>
        <w:t xml:space="preserve">. Growth differentiation factor-15 is associated with muscle mass in chronic obstructive pulmonary disease and promotes muscle wasting in vivo. </w:t>
      </w:r>
      <w:r w:rsidR="00E038BF" w:rsidRPr="00FE7622">
        <w:rPr>
          <w:i/>
          <w:color w:val="auto"/>
        </w:rPr>
        <w:t>J Cachexia Sarcopenia Muscle</w:t>
      </w:r>
      <w:r w:rsidRPr="00FE7622">
        <w:rPr>
          <w:color w:val="auto"/>
        </w:rPr>
        <w:t xml:space="preserve"> 2016;</w:t>
      </w:r>
      <w:r w:rsidR="00E038BF" w:rsidRPr="00FE7622">
        <w:rPr>
          <w:b/>
          <w:color w:val="auto"/>
        </w:rPr>
        <w:t>7</w:t>
      </w:r>
      <w:r w:rsidRPr="00FE7622">
        <w:rPr>
          <w:color w:val="auto"/>
        </w:rPr>
        <w:t>:436–48. https://doi.org/10.1002/jcsm.12096</w:t>
      </w:r>
    </w:p>
    <w:p w14:paraId="1DFFD199" w14:textId="7489FAA8" w:rsidR="004E78FE" w:rsidRPr="00FE7622" w:rsidRDefault="004E78FE" w:rsidP="004E78FE">
      <w:pPr>
        <w:pStyle w:val="65ReferencesTextstylesTextstyles"/>
        <w:rPr>
          <w:color w:val="auto"/>
        </w:rPr>
      </w:pPr>
      <w:r w:rsidRPr="00FE7622">
        <w:rPr>
          <w:color w:val="auto"/>
        </w:rPr>
        <w:t>62.</w:t>
      </w:r>
      <w:r w:rsidRPr="00FE7622">
        <w:rPr>
          <w:color w:val="auto"/>
        </w:rPr>
        <w:tab/>
        <w:t xml:space="preserve">Barma M, Khan F, Price RJG, Donnan PT, Messow CM, Ford I, </w:t>
      </w:r>
      <w:r w:rsidR="00E038BF" w:rsidRPr="00FE7622">
        <w:rPr>
          <w:i/>
          <w:color w:val="auto"/>
        </w:rPr>
        <w:t>et al</w:t>
      </w:r>
      <w:r w:rsidRPr="00FE7622">
        <w:rPr>
          <w:color w:val="auto"/>
        </w:rPr>
        <w:t xml:space="preserve">. Association between GDF-15 levels and changes in vascular and physical function in older patients with hypertension. </w:t>
      </w:r>
      <w:r w:rsidR="00E038BF" w:rsidRPr="00FE7622">
        <w:rPr>
          <w:i/>
          <w:color w:val="auto"/>
        </w:rPr>
        <w:t>Aging Clin Exp Res</w:t>
      </w:r>
      <w:r w:rsidRPr="00FE7622">
        <w:rPr>
          <w:color w:val="auto"/>
        </w:rPr>
        <w:t xml:space="preserve"> 2017;</w:t>
      </w:r>
      <w:r w:rsidR="00E038BF" w:rsidRPr="00FE7622">
        <w:rPr>
          <w:b/>
          <w:color w:val="auto"/>
        </w:rPr>
        <w:t>29</w:t>
      </w:r>
      <w:r w:rsidRPr="00FE7622">
        <w:rPr>
          <w:color w:val="auto"/>
        </w:rPr>
        <w:t>:1055–9. https://doi.org/10.1007/s40520-016-0636-0</w:t>
      </w:r>
    </w:p>
    <w:p w14:paraId="7A18AD86" w14:textId="6C61F497" w:rsidR="004E78FE" w:rsidRPr="00FE7622" w:rsidRDefault="004E78FE" w:rsidP="004E78FE">
      <w:pPr>
        <w:pStyle w:val="65ReferencesTextstylesTextstyles"/>
        <w:rPr>
          <w:color w:val="auto"/>
        </w:rPr>
      </w:pPr>
      <w:r w:rsidRPr="00FE7622">
        <w:rPr>
          <w:color w:val="auto"/>
        </w:rPr>
        <w:t>63.</w:t>
      </w:r>
      <w:r w:rsidRPr="00FE7622">
        <w:rPr>
          <w:color w:val="auto"/>
        </w:rPr>
        <w:tab/>
        <w:t xml:space="preserve">Paul R, Lee J, Donaldson AV, Connolly M, Sharif M, Natanek SA, </w:t>
      </w:r>
      <w:r w:rsidR="00E038BF" w:rsidRPr="00FE7622">
        <w:rPr>
          <w:i/>
          <w:color w:val="auto"/>
        </w:rPr>
        <w:t>et al</w:t>
      </w:r>
      <w:r w:rsidRPr="00FE7622">
        <w:rPr>
          <w:color w:val="auto"/>
        </w:rPr>
        <w:t xml:space="preserve">. miR-422a suppresses SMAD4 protein expression and promotes resistance to muscle loss. </w:t>
      </w:r>
      <w:r w:rsidR="00E038BF" w:rsidRPr="00FE7622">
        <w:rPr>
          <w:i/>
          <w:color w:val="auto"/>
        </w:rPr>
        <w:t>J Cachexia Sarcopenia Muscle</w:t>
      </w:r>
      <w:r w:rsidRPr="00FE7622">
        <w:rPr>
          <w:color w:val="auto"/>
        </w:rPr>
        <w:t xml:space="preserve"> 2018;</w:t>
      </w:r>
      <w:r w:rsidR="00E038BF" w:rsidRPr="00FE7622">
        <w:rPr>
          <w:b/>
          <w:color w:val="auto"/>
        </w:rPr>
        <w:t>9</w:t>
      </w:r>
      <w:r w:rsidRPr="00FE7622">
        <w:rPr>
          <w:color w:val="auto"/>
        </w:rPr>
        <w:t>:119–28. https://doi.org/10.1002/jcsm.12236</w:t>
      </w:r>
    </w:p>
    <w:p w14:paraId="1FC5F0CE" w14:textId="04F144E9" w:rsidR="004E78FE" w:rsidRPr="00FE7622" w:rsidRDefault="004E78FE" w:rsidP="004E78FE">
      <w:pPr>
        <w:pStyle w:val="65ReferencesTextstylesTextstyles"/>
        <w:rPr>
          <w:color w:val="auto"/>
        </w:rPr>
      </w:pPr>
      <w:r w:rsidRPr="00FE7622">
        <w:rPr>
          <w:color w:val="auto"/>
        </w:rPr>
        <w:t>64.</w:t>
      </w:r>
      <w:r w:rsidRPr="00FE7622">
        <w:rPr>
          <w:color w:val="auto"/>
        </w:rPr>
        <w:tab/>
        <w:t xml:space="preserve">Lewis A, Lee JY, Donaldson AV, Natanek SA, Vaidyanathan S, Man WD, </w:t>
      </w:r>
      <w:r w:rsidR="00E038BF" w:rsidRPr="00FE7622">
        <w:rPr>
          <w:i/>
          <w:color w:val="auto"/>
        </w:rPr>
        <w:t>et al</w:t>
      </w:r>
      <w:r w:rsidRPr="00FE7622">
        <w:rPr>
          <w:color w:val="auto"/>
        </w:rPr>
        <w:t xml:space="preserve">. Increased expression of H19/miR-675 is associated with a low fat-free mass index in patients with </w:t>
      </w:r>
      <w:r w:rsidRPr="00842651">
        <w:rPr>
          <w:color w:val="auto"/>
        </w:rPr>
        <w:t>COPD</w:t>
      </w:r>
      <w:r w:rsidRPr="00FE7622">
        <w:rPr>
          <w:color w:val="auto"/>
        </w:rPr>
        <w:t xml:space="preserve">. </w:t>
      </w:r>
      <w:r w:rsidR="00E038BF" w:rsidRPr="00FE7622">
        <w:rPr>
          <w:i/>
          <w:color w:val="auto"/>
        </w:rPr>
        <w:t>J Cachexia Sarcopenia Muscle</w:t>
      </w:r>
      <w:r w:rsidRPr="00FE7622">
        <w:rPr>
          <w:color w:val="auto"/>
        </w:rPr>
        <w:t xml:space="preserve"> 2016;</w:t>
      </w:r>
      <w:r w:rsidR="00E038BF" w:rsidRPr="00FE7622">
        <w:rPr>
          <w:b/>
          <w:color w:val="auto"/>
        </w:rPr>
        <w:t>7</w:t>
      </w:r>
      <w:r w:rsidRPr="00FE7622">
        <w:rPr>
          <w:color w:val="auto"/>
        </w:rPr>
        <w:t>:330–44. https://doi.org/10.1002/jcsm.12078</w:t>
      </w:r>
    </w:p>
    <w:p w14:paraId="07B3E3E2" w14:textId="36ED6275" w:rsidR="004E78FE" w:rsidRPr="00FE7622" w:rsidRDefault="004E78FE" w:rsidP="004E78FE">
      <w:pPr>
        <w:pStyle w:val="65ReferencesTextstylesTextstyles"/>
        <w:rPr>
          <w:color w:val="auto"/>
        </w:rPr>
      </w:pPr>
      <w:r w:rsidRPr="00FE7622">
        <w:rPr>
          <w:color w:val="auto"/>
        </w:rPr>
        <w:t>65.</w:t>
      </w:r>
      <w:r w:rsidRPr="00FE7622">
        <w:rPr>
          <w:color w:val="auto"/>
        </w:rPr>
        <w:tab/>
        <w:t xml:space="preserve">Lee JY, Donaldson AV, Lewis A, Natanek SA, Polkey MI, Kemp PR. Circulating </w:t>
      </w:r>
      <w:r w:rsidRPr="00842651">
        <w:rPr>
          <w:color w:val="auto"/>
        </w:rPr>
        <w:t>miRNAs</w:t>
      </w:r>
      <w:r w:rsidRPr="00FE7622">
        <w:rPr>
          <w:color w:val="auto"/>
        </w:rPr>
        <w:t xml:space="preserve"> from imprinted genomic regions are associated with peripheral muscle strength in </w:t>
      </w:r>
      <w:r w:rsidRPr="00842651">
        <w:rPr>
          <w:color w:val="auto"/>
        </w:rPr>
        <w:t>COPD</w:t>
      </w:r>
      <w:r w:rsidR="005D4532" w:rsidRPr="00FE7622">
        <w:rPr>
          <w:color w:val="auto"/>
        </w:rPr>
        <w:t xml:space="preserve"> </w:t>
      </w:r>
      <w:r w:rsidRPr="00FE7622">
        <w:rPr>
          <w:color w:val="auto"/>
        </w:rPr>
        <w:t xml:space="preserve">patients. </w:t>
      </w:r>
      <w:r w:rsidR="00E038BF" w:rsidRPr="00FE7622">
        <w:rPr>
          <w:i/>
          <w:color w:val="auto"/>
        </w:rPr>
        <w:t>Eur Respir J</w:t>
      </w:r>
      <w:r w:rsidRPr="00FE7622">
        <w:rPr>
          <w:color w:val="auto"/>
        </w:rPr>
        <w:t xml:space="preserve"> 2017;</w:t>
      </w:r>
      <w:r w:rsidR="00E038BF" w:rsidRPr="00FE7622">
        <w:rPr>
          <w:b/>
          <w:color w:val="auto"/>
        </w:rPr>
        <w:t>49</w:t>
      </w:r>
      <w:r w:rsidRPr="00FE7622">
        <w:rPr>
          <w:color w:val="auto"/>
        </w:rPr>
        <w:t>:1601881.</w:t>
      </w:r>
    </w:p>
    <w:p w14:paraId="1B3A0ECD" w14:textId="4BE6E4BD" w:rsidR="004E78FE" w:rsidRPr="00FE7622" w:rsidRDefault="004E78FE" w:rsidP="004E78FE">
      <w:pPr>
        <w:pStyle w:val="65ReferencesTextstylesTextstyles"/>
        <w:rPr>
          <w:color w:val="auto"/>
        </w:rPr>
      </w:pPr>
      <w:r w:rsidRPr="00FE7622">
        <w:rPr>
          <w:color w:val="auto"/>
        </w:rPr>
        <w:t>66.</w:t>
      </w:r>
      <w:r w:rsidRPr="00FE7622">
        <w:rPr>
          <w:color w:val="auto"/>
        </w:rPr>
        <w:tab/>
        <w:t xml:space="preserve">Hopkinson NS, Nickol AH, Payne J, Hawe E, Man WD, Moxham J, </w:t>
      </w:r>
      <w:r w:rsidR="00E038BF" w:rsidRPr="00FE7622">
        <w:rPr>
          <w:i/>
          <w:color w:val="auto"/>
        </w:rPr>
        <w:t>et al</w:t>
      </w:r>
      <w:r w:rsidRPr="00FE7622">
        <w:rPr>
          <w:color w:val="auto"/>
        </w:rPr>
        <w:t xml:space="preserve">. Angiotensin converting enzyme genotype and strength in chronic obstructive pulmonary disease. </w:t>
      </w:r>
      <w:r w:rsidR="00E038BF" w:rsidRPr="00FE7622">
        <w:rPr>
          <w:i/>
          <w:color w:val="auto"/>
        </w:rPr>
        <w:t>Am J Respir Crit Care Med</w:t>
      </w:r>
      <w:r w:rsidRPr="00FE7622">
        <w:rPr>
          <w:color w:val="auto"/>
        </w:rPr>
        <w:t xml:space="preserve"> 2004;</w:t>
      </w:r>
      <w:r w:rsidR="00E038BF" w:rsidRPr="00FE7622">
        <w:rPr>
          <w:b/>
          <w:color w:val="auto"/>
        </w:rPr>
        <w:t>170</w:t>
      </w:r>
      <w:r w:rsidRPr="00FE7622">
        <w:rPr>
          <w:color w:val="auto"/>
        </w:rPr>
        <w:t>:395–9. https://doi.org/10.1164/rccm.200304-578OC</w:t>
      </w:r>
    </w:p>
    <w:p w14:paraId="1D567CB5" w14:textId="73E21660" w:rsidR="004E78FE" w:rsidRPr="00FE7622" w:rsidRDefault="004E78FE" w:rsidP="004E78FE">
      <w:pPr>
        <w:pStyle w:val="65ReferencesTextstylesTextstyles"/>
        <w:rPr>
          <w:color w:val="auto"/>
        </w:rPr>
      </w:pPr>
      <w:r w:rsidRPr="00FE7622">
        <w:rPr>
          <w:color w:val="auto"/>
        </w:rPr>
        <w:t>67.</w:t>
      </w:r>
      <w:r w:rsidRPr="00FE7622">
        <w:rPr>
          <w:color w:val="auto"/>
        </w:rPr>
        <w:tab/>
        <w:t xml:space="preserve">Windelinckx A, De Mars G, Huygens W, Peeters MW, Vincent B, Wijmenga C, </w:t>
      </w:r>
      <w:r w:rsidR="00E038BF" w:rsidRPr="00FE7622">
        <w:rPr>
          <w:i/>
          <w:color w:val="auto"/>
        </w:rPr>
        <w:t>et al</w:t>
      </w:r>
      <w:r w:rsidRPr="00FE7622">
        <w:rPr>
          <w:color w:val="auto"/>
        </w:rPr>
        <w:t xml:space="preserve">. Comprehensive fine mapping of chr12q12-14 and follow-up replication identify activin receptor 1B (ACVR1B) as a muscle strength gene. </w:t>
      </w:r>
      <w:r w:rsidR="00E038BF" w:rsidRPr="00FE7622">
        <w:rPr>
          <w:i/>
          <w:color w:val="auto"/>
        </w:rPr>
        <w:t>Eur J Hum Genet</w:t>
      </w:r>
      <w:r w:rsidRPr="00FE7622">
        <w:rPr>
          <w:color w:val="auto"/>
        </w:rPr>
        <w:t xml:space="preserve"> 2011;</w:t>
      </w:r>
      <w:r w:rsidR="00E038BF" w:rsidRPr="00FE7622">
        <w:rPr>
          <w:b/>
          <w:color w:val="auto"/>
        </w:rPr>
        <w:t>19</w:t>
      </w:r>
      <w:r w:rsidRPr="00FE7622">
        <w:rPr>
          <w:color w:val="auto"/>
        </w:rPr>
        <w:t>:208–15. https://doi.org/10.1038/ejhg.2010.173</w:t>
      </w:r>
    </w:p>
    <w:p w14:paraId="19FAE201" w14:textId="43815A69" w:rsidR="004E78FE" w:rsidRPr="00FE7622" w:rsidRDefault="004E78FE" w:rsidP="004E78FE">
      <w:pPr>
        <w:pStyle w:val="65ReferencesTextstylesTextstyles"/>
        <w:rPr>
          <w:color w:val="auto"/>
        </w:rPr>
      </w:pPr>
      <w:r w:rsidRPr="00FE7622">
        <w:rPr>
          <w:color w:val="auto"/>
        </w:rPr>
        <w:t>68.</w:t>
      </w:r>
      <w:r w:rsidRPr="00FE7622">
        <w:rPr>
          <w:color w:val="auto"/>
        </w:rPr>
        <w:tab/>
        <w:t xml:space="preserve">Pratt J, Boreham C, Ennis S, Ryan AW, De Vito G. </w:t>
      </w:r>
      <w:r w:rsidR="00463413" w:rsidRPr="00FE7622">
        <w:rPr>
          <w:color w:val="auto"/>
        </w:rPr>
        <w:t>genetic associations with aging muscle: a systematic review</w:t>
      </w:r>
      <w:r w:rsidRPr="00FE7622">
        <w:rPr>
          <w:color w:val="auto"/>
        </w:rPr>
        <w:t xml:space="preserve">. </w:t>
      </w:r>
      <w:r w:rsidR="00E038BF" w:rsidRPr="00FE7622">
        <w:rPr>
          <w:i/>
          <w:color w:val="auto"/>
        </w:rPr>
        <w:t>Cells</w:t>
      </w:r>
      <w:r w:rsidRPr="00FE7622">
        <w:rPr>
          <w:color w:val="auto"/>
        </w:rPr>
        <w:t xml:space="preserve"> 2019;</w:t>
      </w:r>
      <w:r w:rsidR="00E038BF" w:rsidRPr="00FE7622">
        <w:rPr>
          <w:b/>
          <w:color w:val="auto"/>
        </w:rPr>
        <w:t>9</w:t>
      </w:r>
      <w:r w:rsidRPr="00FE7622">
        <w:rPr>
          <w:color w:val="auto"/>
        </w:rPr>
        <w:t>:E12.</w:t>
      </w:r>
    </w:p>
    <w:p w14:paraId="48BD0752" w14:textId="54763999" w:rsidR="004E78FE" w:rsidRPr="00FE7622" w:rsidRDefault="004E78FE" w:rsidP="004E78FE">
      <w:pPr>
        <w:pStyle w:val="65ReferencesTextstylesTextstyles"/>
        <w:rPr>
          <w:color w:val="auto"/>
        </w:rPr>
      </w:pPr>
      <w:r w:rsidRPr="00FE7622">
        <w:rPr>
          <w:color w:val="auto"/>
        </w:rPr>
        <w:t>69.</w:t>
      </w:r>
      <w:r w:rsidRPr="00FE7622">
        <w:rPr>
          <w:color w:val="auto"/>
        </w:rPr>
        <w:tab/>
        <w:t xml:space="preserve">Perera S, Mody SH, Woodman RC, Studenski SA. Meaningful change and responsiveness in common physical performance measures in older adults. </w:t>
      </w:r>
      <w:r w:rsidR="00E038BF" w:rsidRPr="00FE7622">
        <w:rPr>
          <w:i/>
          <w:color w:val="auto"/>
        </w:rPr>
        <w:t>J Am Geriatr Soc</w:t>
      </w:r>
      <w:r w:rsidRPr="00FE7622">
        <w:rPr>
          <w:color w:val="auto"/>
        </w:rPr>
        <w:t xml:space="preserve"> 2006;</w:t>
      </w:r>
      <w:r w:rsidR="00E038BF" w:rsidRPr="00FE7622">
        <w:rPr>
          <w:b/>
          <w:color w:val="auto"/>
        </w:rPr>
        <w:t>54</w:t>
      </w:r>
      <w:r w:rsidRPr="00FE7622">
        <w:rPr>
          <w:color w:val="auto"/>
        </w:rPr>
        <w:t>:743–9.</w:t>
      </w:r>
    </w:p>
    <w:p w14:paraId="16CEAF28" w14:textId="568C790C" w:rsidR="004E78FE" w:rsidRPr="00FE7622" w:rsidRDefault="004E78FE" w:rsidP="004E78FE">
      <w:pPr>
        <w:pStyle w:val="65ReferencesTextstylesTextstyles"/>
        <w:rPr>
          <w:color w:val="auto"/>
        </w:rPr>
      </w:pPr>
      <w:r w:rsidRPr="00FE7622">
        <w:rPr>
          <w:color w:val="auto"/>
        </w:rPr>
        <w:t>70.</w:t>
      </w:r>
      <w:r w:rsidRPr="00FE7622">
        <w:rPr>
          <w:color w:val="auto"/>
        </w:rPr>
        <w:tab/>
        <w:t xml:space="preserve">Burton LA, Sumukadas D, Witham MD, Struthers AD, McMurdo ME. Effect of spironolactone on physical performance in older people with self-reported physical disability. </w:t>
      </w:r>
      <w:r w:rsidR="00E038BF" w:rsidRPr="00FE7622">
        <w:rPr>
          <w:i/>
          <w:color w:val="auto"/>
        </w:rPr>
        <w:t>Am J Med</w:t>
      </w:r>
      <w:r w:rsidRPr="00FE7622">
        <w:rPr>
          <w:color w:val="auto"/>
        </w:rPr>
        <w:t xml:space="preserve"> 2013;</w:t>
      </w:r>
      <w:r w:rsidR="00E038BF" w:rsidRPr="00FE7622">
        <w:rPr>
          <w:b/>
          <w:color w:val="auto"/>
        </w:rPr>
        <w:t>126</w:t>
      </w:r>
      <w:r w:rsidRPr="00FE7622">
        <w:rPr>
          <w:color w:val="auto"/>
        </w:rPr>
        <w:t>:590–7. https://doi.org/10.1016/j.amjmed.2012.11.032</w:t>
      </w:r>
    </w:p>
    <w:p w14:paraId="12224742" w14:textId="660CB2B9" w:rsidR="004E78FE" w:rsidRPr="00FE7622" w:rsidRDefault="004E78FE" w:rsidP="004E78FE">
      <w:pPr>
        <w:pStyle w:val="65ReferencesTextstylesTextstyles"/>
        <w:rPr>
          <w:color w:val="auto"/>
        </w:rPr>
      </w:pPr>
      <w:r w:rsidRPr="00FE7622">
        <w:rPr>
          <w:color w:val="auto"/>
        </w:rPr>
        <w:t>71.</w:t>
      </w:r>
      <w:r w:rsidRPr="00FE7622">
        <w:rPr>
          <w:color w:val="auto"/>
        </w:rPr>
        <w:tab/>
        <w:t xml:space="preserve">Malmstrom TK, Morley JE. Sarcopenia: </w:t>
      </w:r>
      <w:r w:rsidR="00463413" w:rsidRPr="00FE7622">
        <w:rPr>
          <w:color w:val="auto"/>
        </w:rPr>
        <w:t>the target population</w:t>
      </w:r>
      <w:r w:rsidRPr="00FE7622">
        <w:rPr>
          <w:color w:val="auto"/>
        </w:rPr>
        <w:t xml:space="preserve">. </w:t>
      </w:r>
      <w:r w:rsidR="00E038BF" w:rsidRPr="00FE7622">
        <w:rPr>
          <w:i/>
          <w:color w:val="auto"/>
        </w:rPr>
        <w:t>J Frailty Aging</w:t>
      </w:r>
      <w:r w:rsidRPr="00FE7622">
        <w:rPr>
          <w:color w:val="auto"/>
        </w:rPr>
        <w:t xml:space="preserve"> 2013;</w:t>
      </w:r>
      <w:r w:rsidR="00E038BF" w:rsidRPr="00FE7622">
        <w:rPr>
          <w:b/>
          <w:color w:val="auto"/>
        </w:rPr>
        <w:t>2</w:t>
      </w:r>
      <w:r w:rsidRPr="00FE7622">
        <w:rPr>
          <w:color w:val="auto"/>
        </w:rPr>
        <w:t>:55–6. https://doi.org/10.14283/jfa.2013.8</w:t>
      </w:r>
    </w:p>
    <w:p w14:paraId="48146B85" w14:textId="10315C98" w:rsidR="004E78FE" w:rsidRPr="00FE7622" w:rsidRDefault="004E78FE" w:rsidP="004E78FE">
      <w:pPr>
        <w:pStyle w:val="65ReferencesTextstylesTextstyles"/>
        <w:rPr>
          <w:color w:val="auto"/>
        </w:rPr>
      </w:pPr>
      <w:r w:rsidRPr="00FE7622">
        <w:rPr>
          <w:color w:val="auto"/>
        </w:rPr>
        <w:t>72.</w:t>
      </w:r>
      <w:r w:rsidRPr="00FE7622">
        <w:rPr>
          <w:color w:val="auto"/>
        </w:rPr>
        <w:tab/>
        <w:t xml:space="preserve">Janssen I, Heymsfield SB, Baumgartner RN, Ross R. Estimation of skeletal muscle mass by bioelectrical impedance analysis. </w:t>
      </w:r>
      <w:r w:rsidR="00E038BF" w:rsidRPr="00FE7622">
        <w:rPr>
          <w:i/>
          <w:color w:val="auto"/>
        </w:rPr>
        <w:t>J Appl Physiol</w:t>
      </w:r>
      <w:r w:rsidRPr="00FE7622">
        <w:rPr>
          <w:color w:val="auto"/>
        </w:rPr>
        <w:t xml:space="preserve"> 2000;</w:t>
      </w:r>
      <w:r w:rsidR="00E038BF" w:rsidRPr="00FE7622">
        <w:rPr>
          <w:b/>
          <w:color w:val="auto"/>
        </w:rPr>
        <w:t>89</w:t>
      </w:r>
      <w:r w:rsidRPr="00FE7622">
        <w:rPr>
          <w:color w:val="auto"/>
        </w:rPr>
        <w:t>:465–71. https://doi.org/10.1152/jappl.2000.89.2.465</w:t>
      </w:r>
    </w:p>
    <w:p w14:paraId="526D9E2A" w14:textId="50B9F096" w:rsidR="004E78FE" w:rsidRPr="00FE7622" w:rsidRDefault="004E78FE" w:rsidP="004E78FE">
      <w:pPr>
        <w:pStyle w:val="65ReferencesTextstylesTextstyles"/>
        <w:rPr>
          <w:color w:val="auto"/>
        </w:rPr>
      </w:pPr>
      <w:r w:rsidRPr="00FE7622">
        <w:rPr>
          <w:color w:val="auto"/>
        </w:rPr>
        <w:t>73.</w:t>
      </w:r>
      <w:r w:rsidRPr="00FE7622">
        <w:rPr>
          <w:color w:val="auto"/>
        </w:rPr>
        <w:tab/>
        <w:t xml:space="preserve">Cawthon PM, Peters KW, Shardell MD, McLean RR, Dam TT, Kenny AM, </w:t>
      </w:r>
      <w:r w:rsidR="00E038BF" w:rsidRPr="00FE7622">
        <w:rPr>
          <w:i/>
          <w:color w:val="auto"/>
        </w:rPr>
        <w:t>et al</w:t>
      </w:r>
      <w:r w:rsidRPr="00FE7622">
        <w:rPr>
          <w:color w:val="auto"/>
        </w:rPr>
        <w:t xml:space="preserve">. Cutpoints for low appendicular lean mass that identify older adults with clinically significant weakness. </w:t>
      </w:r>
      <w:r w:rsidR="00E038BF" w:rsidRPr="00FE7622">
        <w:rPr>
          <w:i/>
          <w:color w:val="auto"/>
        </w:rPr>
        <w:t>J Gerontol A Biol Sci Med Sci</w:t>
      </w:r>
      <w:r w:rsidRPr="00FE7622">
        <w:rPr>
          <w:color w:val="auto"/>
        </w:rPr>
        <w:t xml:space="preserve"> 2014;</w:t>
      </w:r>
      <w:r w:rsidR="00E038BF" w:rsidRPr="00FE7622">
        <w:rPr>
          <w:b/>
          <w:color w:val="auto"/>
        </w:rPr>
        <w:t>69</w:t>
      </w:r>
      <w:r w:rsidRPr="00FE7622">
        <w:rPr>
          <w:color w:val="auto"/>
        </w:rPr>
        <w:t>:567–75. https://doi.org/10.1093/gerona/glu023</w:t>
      </w:r>
    </w:p>
    <w:p w14:paraId="52598AB9" w14:textId="084F7B45" w:rsidR="004E78FE" w:rsidRPr="00FE7622" w:rsidRDefault="004E78FE" w:rsidP="004E78FE">
      <w:pPr>
        <w:pStyle w:val="65ReferencesTextstylesTextstyles"/>
        <w:rPr>
          <w:color w:val="auto"/>
        </w:rPr>
      </w:pPr>
      <w:r w:rsidRPr="00FE7622">
        <w:rPr>
          <w:color w:val="auto"/>
        </w:rPr>
        <w:t>74.</w:t>
      </w:r>
      <w:r w:rsidRPr="00FE7622">
        <w:rPr>
          <w:color w:val="auto"/>
        </w:rPr>
        <w:tab/>
        <w:t xml:space="preserve"> Caulfield L, Heslop P, Walesby KE, Sumukadas D, Sayer AA, Witham MD. Effect of </w:t>
      </w:r>
      <w:r w:rsidR="003F04BD" w:rsidRPr="00FE7622">
        <w:rPr>
          <w:color w:val="auto"/>
        </w:rPr>
        <w:t xml:space="preserve">angiotensin system inhibitors on physical performance in older people </w:t>
      </w:r>
      <w:r w:rsidR="00C1380B" w:rsidRPr="00FE7622">
        <w:rPr>
          <w:color w:val="auto"/>
        </w:rPr>
        <w:t>–</w:t>
      </w:r>
      <w:r w:rsidR="003F04BD" w:rsidRPr="00FE7622">
        <w:rPr>
          <w:color w:val="auto"/>
        </w:rPr>
        <w:t xml:space="preserve"> a systematic review and meta-analysis</w:t>
      </w:r>
      <w:r w:rsidRPr="00FE7622">
        <w:rPr>
          <w:color w:val="auto"/>
        </w:rPr>
        <w:t xml:space="preserve">. </w:t>
      </w:r>
      <w:r w:rsidR="00E038BF" w:rsidRPr="00FE7622">
        <w:rPr>
          <w:i/>
          <w:iCs/>
          <w:color w:val="auto"/>
        </w:rPr>
        <w:t>J Am Med Dir Assoc</w:t>
      </w:r>
      <w:r w:rsidRPr="00FE7622">
        <w:rPr>
          <w:color w:val="auto"/>
        </w:rPr>
        <w:t xml:space="preserve"> 202</w:t>
      </w:r>
      <w:r w:rsidR="007B7338" w:rsidRPr="00FE7622">
        <w:rPr>
          <w:color w:val="auto"/>
        </w:rPr>
        <w:t>1;</w:t>
      </w:r>
      <w:r w:rsidR="00E038BF" w:rsidRPr="00FE7622">
        <w:rPr>
          <w:b/>
          <w:bCs/>
          <w:color w:val="auto"/>
        </w:rPr>
        <w:t>22</w:t>
      </w:r>
      <w:r w:rsidR="007B7338" w:rsidRPr="00FE7622">
        <w:rPr>
          <w:color w:val="auto"/>
        </w:rPr>
        <w:t>:1215–21.</w:t>
      </w:r>
    </w:p>
    <w:p w14:paraId="502BB066" w14:textId="6C38B232" w:rsidR="004E78FE" w:rsidRPr="00FE7622" w:rsidRDefault="004E78FE" w:rsidP="004E78FE">
      <w:pPr>
        <w:pStyle w:val="65ReferencesTextstylesTextstyles"/>
        <w:rPr>
          <w:color w:val="auto"/>
        </w:rPr>
      </w:pPr>
      <w:r w:rsidRPr="00FE7622">
        <w:rPr>
          <w:color w:val="auto"/>
        </w:rPr>
        <w:t>75.</w:t>
      </w:r>
      <w:r w:rsidRPr="00FE7622">
        <w:rPr>
          <w:color w:val="auto"/>
        </w:rPr>
        <w:tab/>
        <w:t xml:space="preserve">Martínez-Arnau FM, Fonfría-Vivas R, Cauli O. Beneficial </w:t>
      </w:r>
      <w:r w:rsidR="003F04BD" w:rsidRPr="00FE7622">
        <w:rPr>
          <w:color w:val="auto"/>
        </w:rPr>
        <w:t>effects of leucine supplementation on criteria for sarcopenia: a systematic review</w:t>
      </w:r>
      <w:r w:rsidRPr="00FE7622">
        <w:rPr>
          <w:color w:val="auto"/>
        </w:rPr>
        <w:t xml:space="preserve">. </w:t>
      </w:r>
      <w:r w:rsidR="00E038BF" w:rsidRPr="00FE7622">
        <w:rPr>
          <w:i/>
          <w:color w:val="auto"/>
        </w:rPr>
        <w:t>Nutrients</w:t>
      </w:r>
      <w:r w:rsidRPr="00FE7622">
        <w:rPr>
          <w:color w:val="auto"/>
        </w:rPr>
        <w:t xml:space="preserve"> 2019;</w:t>
      </w:r>
      <w:r w:rsidR="00E038BF" w:rsidRPr="00FE7622">
        <w:rPr>
          <w:b/>
          <w:color w:val="auto"/>
        </w:rPr>
        <w:t>11</w:t>
      </w:r>
      <w:r w:rsidRPr="00FE7622">
        <w:rPr>
          <w:color w:val="auto"/>
        </w:rPr>
        <w:t>:E2504.</w:t>
      </w:r>
    </w:p>
    <w:p w14:paraId="371B270D" w14:textId="561927D7" w:rsidR="004E78FE" w:rsidRPr="00FE7622" w:rsidRDefault="004E78FE" w:rsidP="004E78FE">
      <w:pPr>
        <w:pStyle w:val="65ReferencesTextstylesTextstyles"/>
        <w:rPr>
          <w:color w:val="auto"/>
        </w:rPr>
      </w:pPr>
      <w:r w:rsidRPr="00FE7622">
        <w:rPr>
          <w:color w:val="auto"/>
        </w:rPr>
        <w:t>76.</w:t>
      </w:r>
      <w:r w:rsidRPr="00FE7622">
        <w:rPr>
          <w:color w:val="auto"/>
        </w:rPr>
        <w:tab/>
        <w:t xml:space="preserve">Rigat B, Hubert C, Corvol P, Soubrier F. PCR detection of the insertion/deletion polymorphism of the human angiotensin converting enzyme gene (DCP1) (dipeptidyl carboxypeptidase 1). </w:t>
      </w:r>
      <w:r w:rsidR="00E038BF" w:rsidRPr="00FE7622">
        <w:rPr>
          <w:i/>
          <w:color w:val="auto"/>
        </w:rPr>
        <w:t>Nucleic Acids Res</w:t>
      </w:r>
      <w:r w:rsidRPr="00FE7622">
        <w:rPr>
          <w:color w:val="auto"/>
        </w:rPr>
        <w:t xml:space="preserve"> 1992;</w:t>
      </w:r>
      <w:r w:rsidR="00E038BF" w:rsidRPr="00FE7622">
        <w:rPr>
          <w:b/>
          <w:color w:val="auto"/>
        </w:rPr>
        <w:t>20</w:t>
      </w:r>
      <w:r w:rsidRPr="00FE7622">
        <w:rPr>
          <w:color w:val="auto"/>
        </w:rPr>
        <w:t>:1433.</w:t>
      </w:r>
    </w:p>
    <w:p w14:paraId="27B5EA14" w14:textId="1E1A50BA" w:rsidR="004E78FE" w:rsidRPr="00FE7622" w:rsidRDefault="004E78FE" w:rsidP="004E78FE">
      <w:pPr>
        <w:pStyle w:val="65ReferencesTextstylesTextstyles"/>
        <w:rPr>
          <w:color w:val="auto"/>
        </w:rPr>
      </w:pPr>
      <w:r w:rsidRPr="00FE7622">
        <w:rPr>
          <w:color w:val="auto"/>
        </w:rPr>
        <w:t>77.</w:t>
      </w:r>
      <w:r w:rsidRPr="00FE7622">
        <w:rPr>
          <w:color w:val="auto"/>
        </w:rPr>
        <w:tab/>
        <w:t xml:space="preserve">Lewis A, Lee JY, Donaldson AV, Natanek SA, Vaidyanathan S, Man WD, </w:t>
      </w:r>
      <w:r w:rsidR="00E038BF" w:rsidRPr="00FE7622">
        <w:rPr>
          <w:i/>
          <w:color w:val="auto"/>
        </w:rPr>
        <w:t>et al</w:t>
      </w:r>
      <w:r w:rsidRPr="00FE7622">
        <w:rPr>
          <w:color w:val="auto"/>
        </w:rPr>
        <w:t xml:space="preserve">. Increased expression of H19/miR-675 is associated with a low fat-free mass index in patients with </w:t>
      </w:r>
      <w:r w:rsidRPr="00842651">
        <w:rPr>
          <w:color w:val="auto"/>
        </w:rPr>
        <w:t>COPD</w:t>
      </w:r>
      <w:r w:rsidRPr="00FE7622">
        <w:rPr>
          <w:color w:val="auto"/>
        </w:rPr>
        <w:t xml:space="preserve">. </w:t>
      </w:r>
      <w:r w:rsidR="00E038BF" w:rsidRPr="00FE7622">
        <w:rPr>
          <w:i/>
          <w:color w:val="auto"/>
        </w:rPr>
        <w:t>J Cachexia Sarcopenia Muscle</w:t>
      </w:r>
      <w:r w:rsidRPr="00FE7622">
        <w:rPr>
          <w:color w:val="auto"/>
        </w:rPr>
        <w:t xml:space="preserve"> 2016;</w:t>
      </w:r>
      <w:r w:rsidR="00E038BF" w:rsidRPr="00FE7622">
        <w:rPr>
          <w:b/>
          <w:color w:val="auto"/>
        </w:rPr>
        <w:t>7</w:t>
      </w:r>
      <w:r w:rsidRPr="00FE7622">
        <w:rPr>
          <w:color w:val="auto"/>
        </w:rPr>
        <w:t>:330–44. https://doi.org/10.1002/jcsm.12078</w:t>
      </w:r>
    </w:p>
    <w:p w14:paraId="08E1B844" w14:textId="140F095B" w:rsidR="004E78FE" w:rsidRPr="00FE7622" w:rsidRDefault="004E78FE" w:rsidP="004E78FE">
      <w:pPr>
        <w:pStyle w:val="65ReferencesTextstylesTextstyles"/>
        <w:rPr>
          <w:color w:val="auto"/>
        </w:rPr>
      </w:pPr>
      <w:r w:rsidRPr="00FE7622">
        <w:rPr>
          <w:color w:val="auto"/>
        </w:rPr>
        <w:t>78.</w:t>
      </w:r>
      <w:r w:rsidRPr="00FE7622">
        <w:rPr>
          <w:color w:val="auto"/>
        </w:rPr>
        <w:tab/>
        <w:t xml:space="preserve"> Witham MD, Achison M, Aspray TJ, Avenell A, Band MM, Donnan PT</w:t>
      </w:r>
      <w:r w:rsidR="00337564" w:rsidRPr="00FE7622">
        <w:rPr>
          <w:color w:val="auto"/>
        </w:rPr>
        <w:t>,</w:t>
      </w:r>
      <w:r w:rsidRPr="00FE7622">
        <w:rPr>
          <w:color w:val="auto"/>
        </w:rPr>
        <w:t xml:space="preserve"> </w:t>
      </w:r>
      <w:r w:rsidR="00E038BF" w:rsidRPr="00FE7622">
        <w:rPr>
          <w:i/>
          <w:iCs/>
          <w:color w:val="auto"/>
        </w:rPr>
        <w:t>et</w:t>
      </w:r>
      <w:r w:rsidRPr="00FE7622">
        <w:rPr>
          <w:color w:val="auto"/>
        </w:rPr>
        <w:t xml:space="preserve"> </w:t>
      </w:r>
      <w:r w:rsidR="00E038BF" w:rsidRPr="00FE7622">
        <w:rPr>
          <w:i/>
          <w:iCs/>
          <w:color w:val="auto"/>
        </w:rPr>
        <w:t>al</w:t>
      </w:r>
      <w:r w:rsidRPr="00FE7622">
        <w:rPr>
          <w:color w:val="auto"/>
        </w:rPr>
        <w:t xml:space="preserve">. Recruitment strategies for sarcopenia trials – lessons from the </w:t>
      </w:r>
      <w:r w:rsidRPr="00842651">
        <w:rPr>
          <w:color w:val="auto"/>
        </w:rPr>
        <w:t>LACE</w:t>
      </w:r>
      <w:r w:rsidRPr="00FE7622">
        <w:rPr>
          <w:color w:val="auto"/>
        </w:rPr>
        <w:t xml:space="preserve"> randomised controlled trial. </w:t>
      </w:r>
      <w:r w:rsidR="00E038BF" w:rsidRPr="00FE7622">
        <w:rPr>
          <w:i/>
          <w:iCs/>
          <w:color w:val="auto"/>
        </w:rPr>
        <w:t>JCSM Rapid Comms</w:t>
      </w:r>
      <w:r w:rsidRPr="00FE7622">
        <w:rPr>
          <w:color w:val="auto"/>
        </w:rPr>
        <w:t xml:space="preserve"> 2021</w:t>
      </w:r>
      <w:r w:rsidR="00337564" w:rsidRPr="00FE7622">
        <w:rPr>
          <w:color w:val="auto"/>
        </w:rPr>
        <w:t>;4:93–102.</w:t>
      </w:r>
    </w:p>
    <w:p w14:paraId="5666C89E" w14:textId="7297BF71" w:rsidR="004E78FE" w:rsidRPr="00FE7622" w:rsidRDefault="004E78FE" w:rsidP="004E78FE">
      <w:pPr>
        <w:pStyle w:val="65ReferencesTextstylesTextstyles"/>
        <w:rPr>
          <w:color w:val="auto"/>
        </w:rPr>
      </w:pPr>
      <w:r w:rsidRPr="00FE7622">
        <w:rPr>
          <w:color w:val="auto"/>
        </w:rPr>
        <w:t>79.</w:t>
      </w:r>
      <w:r w:rsidRPr="00FE7622">
        <w:rPr>
          <w:color w:val="auto"/>
        </w:rPr>
        <w:tab/>
        <w:t xml:space="preserve">Cruz-Jentoft AJ, Bahat G, Bauer J, Boirie Y, Bruyère O, Cederholm T, </w:t>
      </w:r>
      <w:r w:rsidR="00E038BF" w:rsidRPr="00FE7622">
        <w:rPr>
          <w:i/>
          <w:color w:val="auto"/>
        </w:rPr>
        <w:t>et al</w:t>
      </w:r>
      <w:r w:rsidRPr="00FE7622">
        <w:rPr>
          <w:color w:val="auto"/>
        </w:rPr>
        <w:t xml:space="preserve">. Sarcopenia: revised European consensus on definition and diagnosis. </w:t>
      </w:r>
      <w:r w:rsidR="00E038BF" w:rsidRPr="00FE7622">
        <w:rPr>
          <w:i/>
          <w:color w:val="auto"/>
        </w:rPr>
        <w:t>Age Ageing</w:t>
      </w:r>
      <w:r w:rsidRPr="00FE7622">
        <w:rPr>
          <w:color w:val="auto"/>
        </w:rPr>
        <w:t xml:space="preserve"> 2019;</w:t>
      </w:r>
      <w:r w:rsidR="00E038BF" w:rsidRPr="00FE7622">
        <w:rPr>
          <w:b/>
          <w:color w:val="auto"/>
        </w:rPr>
        <w:t>48</w:t>
      </w:r>
      <w:r w:rsidRPr="00FE7622">
        <w:rPr>
          <w:color w:val="auto"/>
        </w:rPr>
        <w:t>:16–31. https://doi.org/10.1093/ageing/afy169</w:t>
      </w:r>
    </w:p>
    <w:p w14:paraId="402B2CEA" w14:textId="42984404" w:rsidR="004E78FE" w:rsidRPr="00FE7622" w:rsidRDefault="004E78FE" w:rsidP="004E78FE">
      <w:pPr>
        <w:pStyle w:val="65ReferencesTextstylesTextstyles"/>
        <w:rPr>
          <w:color w:val="auto"/>
        </w:rPr>
      </w:pPr>
      <w:r w:rsidRPr="00FE7622">
        <w:rPr>
          <w:color w:val="auto"/>
        </w:rPr>
        <w:t>80.</w:t>
      </w:r>
      <w:r w:rsidRPr="00FE7622">
        <w:rPr>
          <w:color w:val="auto"/>
        </w:rPr>
        <w:tab/>
        <w:t xml:space="preserve">Leonetti G, Mazzola C, Pasotti C, Angioni L, Vaccarella A, Capra A, </w:t>
      </w:r>
      <w:r w:rsidR="00E038BF" w:rsidRPr="00FE7622">
        <w:rPr>
          <w:i/>
          <w:color w:val="auto"/>
        </w:rPr>
        <w:t>et al</w:t>
      </w:r>
      <w:r w:rsidRPr="00FE7622">
        <w:rPr>
          <w:color w:val="auto"/>
        </w:rPr>
        <w:t xml:space="preserve">. Treatment of hypertension in the elderly: effects on blood pressure, heart rate, and physical fitness. </w:t>
      </w:r>
      <w:r w:rsidR="00E038BF" w:rsidRPr="00FE7622">
        <w:rPr>
          <w:i/>
          <w:color w:val="auto"/>
        </w:rPr>
        <w:t>Am J Med</w:t>
      </w:r>
      <w:r w:rsidRPr="00FE7622">
        <w:rPr>
          <w:color w:val="auto"/>
        </w:rPr>
        <w:t xml:space="preserve"> 1991;</w:t>
      </w:r>
      <w:r w:rsidR="00E038BF" w:rsidRPr="00FE7622">
        <w:rPr>
          <w:b/>
          <w:color w:val="auto"/>
        </w:rPr>
        <w:t>90</w:t>
      </w:r>
      <w:r w:rsidRPr="00FE7622">
        <w:rPr>
          <w:color w:val="auto"/>
        </w:rPr>
        <w:t>:12S–13S.</w:t>
      </w:r>
    </w:p>
    <w:p w14:paraId="5366ECD7" w14:textId="667631EE" w:rsidR="004E78FE" w:rsidRPr="00FE7622" w:rsidRDefault="004E78FE" w:rsidP="004E78FE">
      <w:pPr>
        <w:pStyle w:val="65ReferencesTextstylesTextstyles"/>
        <w:rPr>
          <w:color w:val="auto"/>
        </w:rPr>
      </w:pPr>
      <w:r w:rsidRPr="00FE7622">
        <w:rPr>
          <w:color w:val="auto"/>
        </w:rPr>
        <w:t>81.</w:t>
      </w:r>
      <w:r w:rsidRPr="00FE7622">
        <w:rPr>
          <w:color w:val="auto"/>
        </w:rPr>
        <w:tab/>
        <w:t xml:space="preserve">Gerdts E, Björnstad H, Devereux RB, Lund-Jhansen P, Davidsen ES, Omvik P. Exercise performance during losartan- or atenolol-based treatment in hypertensive patients with electrocardiographic left ventricular hypertrophy (a LIFE substudy). </w:t>
      </w:r>
      <w:r w:rsidR="00E038BF" w:rsidRPr="00FE7622">
        <w:rPr>
          <w:i/>
          <w:color w:val="auto"/>
        </w:rPr>
        <w:t>Blood Press</w:t>
      </w:r>
      <w:r w:rsidRPr="00FE7622">
        <w:rPr>
          <w:color w:val="auto"/>
        </w:rPr>
        <w:t xml:space="preserve"> 2006;</w:t>
      </w:r>
      <w:r w:rsidR="00E038BF" w:rsidRPr="00FE7622">
        <w:rPr>
          <w:b/>
          <w:color w:val="auto"/>
        </w:rPr>
        <w:t>15</w:t>
      </w:r>
      <w:r w:rsidRPr="00FE7622">
        <w:rPr>
          <w:color w:val="auto"/>
        </w:rPr>
        <w:t>:220–6.</w:t>
      </w:r>
    </w:p>
    <w:p w14:paraId="2E98DA29" w14:textId="5F66678D" w:rsidR="004E78FE" w:rsidRPr="00FE7622" w:rsidRDefault="004E78FE" w:rsidP="004E78FE">
      <w:pPr>
        <w:pStyle w:val="65ReferencesTextstylesTextstyles"/>
        <w:rPr>
          <w:color w:val="auto"/>
        </w:rPr>
      </w:pPr>
      <w:r w:rsidRPr="00FE7622">
        <w:rPr>
          <w:color w:val="auto"/>
        </w:rPr>
        <w:t>82.</w:t>
      </w:r>
      <w:r w:rsidRPr="00FE7622">
        <w:rPr>
          <w:color w:val="auto"/>
        </w:rPr>
        <w:tab/>
        <w:t xml:space="preserve">Bunout D, Barrera G, de la Maza MP, Leiva L, Backhouse C, Hirsch S. Effects of enalapril or nifedipine on muscle strength or functional capacity in elderly subjects. A double blind trial. </w:t>
      </w:r>
      <w:r w:rsidR="00E038BF" w:rsidRPr="00FE7622">
        <w:rPr>
          <w:i/>
          <w:color w:val="auto"/>
        </w:rPr>
        <w:t>J Renin Angiotensin Aldosterone Syst</w:t>
      </w:r>
      <w:r w:rsidRPr="00FE7622">
        <w:rPr>
          <w:color w:val="auto"/>
        </w:rPr>
        <w:t xml:space="preserve"> 2009;</w:t>
      </w:r>
      <w:r w:rsidR="00E038BF" w:rsidRPr="00FE7622">
        <w:rPr>
          <w:b/>
          <w:color w:val="auto"/>
        </w:rPr>
        <w:t>10</w:t>
      </w:r>
      <w:r w:rsidRPr="00FE7622">
        <w:rPr>
          <w:color w:val="auto"/>
        </w:rPr>
        <w:t>:77–84. https://doi.org/10.1177/1470320309105338</w:t>
      </w:r>
    </w:p>
    <w:p w14:paraId="38F61982" w14:textId="769F823B" w:rsidR="004E78FE" w:rsidRPr="00FE7622" w:rsidRDefault="004E78FE" w:rsidP="004E78FE">
      <w:pPr>
        <w:pStyle w:val="65ReferencesTextstylesTextstyles"/>
        <w:rPr>
          <w:color w:val="auto"/>
        </w:rPr>
      </w:pPr>
      <w:r w:rsidRPr="00FE7622">
        <w:rPr>
          <w:color w:val="auto"/>
        </w:rPr>
        <w:t>83.</w:t>
      </w:r>
      <w:r w:rsidRPr="00FE7622">
        <w:rPr>
          <w:color w:val="auto"/>
        </w:rPr>
        <w:tab/>
        <w:t xml:space="preserve">Cesari M, Pedone C, Incalzi RA, Pahor M. ACE-inhibition and physical function: results from the Trial of Angiotensin-Converting Enzyme Inhibition and Novel Cardiovascular Risk Factors (TRAIN) study. </w:t>
      </w:r>
      <w:r w:rsidR="00E038BF" w:rsidRPr="00FE7622">
        <w:rPr>
          <w:i/>
          <w:color w:val="auto"/>
        </w:rPr>
        <w:t>J Am Med Dir Assoc</w:t>
      </w:r>
      <w:r w:rsidRPr="00FE7622">
        <w:rPr>
          <w:color w:val="auto"/>
        </w:rPr>
        <w:t xml:space="preserve"> 2010;</w:t>
      </w:r>
      <w:r w:rsidR="00E038BF" w:rsidRPr="00FE7622">
        <w:rPr>
          <w:b/>
          <w:color w:val="auto"/>
        </w:rPr>
        <w:t>11</w:t>
      </w:r>
      <w:r w:rsidRPr="00FE7622">
        <w:rPr>
          <w:color w:val="auto"/>
        </w:rPr>
        <w:t>:26–32. https://doi.org/10.1016/j.jamda.2009.09.014</w:t>
      </w:r>
    </w:p>
    <w:p w14:paraId="543D560F" w14:textId="605414DB" w:rsidR="004E78FE" w:rsidRPr="00FE7622" w:rsidRDefault="004E78FE" w:rsidP="004E78FE">
      <w:pPr>
        <w:pStyle w:val="65ReferencesTextstylesTextstyles"/>
        <w:rPr>
          <w:color w:val="auto"/>
        </w:rPr>
      </w:pPr>
      <w:r w:rsidRPr="00FE7622">
        <w:rPr>
          <w:color w:val="auto"/>
        </w:rPr>
        <w:t>84.</w:t>
      </w:r>
      <w:r w:rsidRPr="00FE7622">
        <w:rPr>
          <w:color w:val="auto"/>
        </w:rPr>
        <w:tab/>
        <w:t xml:space="preserve">Sumukadas D, Price R, McMurdo MET, Rauchhaus P, Struthers A, McSwiggan S, </w:t>
      </w:r>
      <w:r w:rsidR="00E038BF" w:rsidRPr="00FE7622">
        <w:rPr>
          <w:i/>
          <w:color w:val="auto"/>
        </w:rPr>
        <w:t>et al</w:t>
      </w:r>
      <w:r w:rsidRPr="00FE7622">
        <w:rPr>
          <w:color w:val="auto"/>
        </w:rPr>
        <w:t>. The effect of perindopril on postural instability in older people with a history of falls</w:t>
      </w:r>
      <w:r w:rsidR="00024F97" w:rsidRPr="00FE7622">
        <w:rPr>
          <w:color w:val="auto"/>
        </w:rPr>
        <w:t xml:space="preserve"> – </w:t>
      </w:r>
      <w:r w:rsidRPr="00FE7622">
        <w:rPr>
          <w:color w:val="auto"/>
        </w:rPr>
        <w:t xml:space="preserve">a randomised controlled trial. </w:t>
      </w:r>
      <w:r w:rsidR="00E038BF" w:rsidRPr="00FE7622">
        <w:rPr>
          <w:i/>
          <w:color w:val="auto"/>
        </w:rPr>
        <w:t>Age Ageing</w:t>
      </w:r>
      <w:r w:rsidRPr="00FE7622">
        <w:rPr>
          <w:color w:val="auto"/>
        </w:rPr>
        <w:t xml:space="preserve"> 2018;</w:t>
      </w:r>
      <w:r w:rsidR="00E038BF" w:rsidRPr="00FE7622">
        <w:rPr>
          <w:b/>
          <w:color w:val="auto"/>
        </w:rPr>
        <w:t>47</w:t>
      </w:r>
      <w:r w:rsidRPr="00FE7622">
        <w:rPr>
          <w:color w:val="auto"/>
        </w:rPr>
        <w:t>:75–81. https://doi.org/10.1093/ageing/afx127</w:t>
      </w:r>
    </w:p>
    <w:p w14:paraId="501B6261" w14:textId="14B1067A" w:rsidR="004E78FE" w:rsidRPr="00FE7622" w:rsidRDefault="004E78FE" w:rsidP="004E78FE">
      <w:pPr>
        <w:pStyle w:val="65ReferencesTextstylesTextstyles"/>
        <w:rPr>
          <w:color w:val="auto"/>
        </w:rPr>
      </w:pPr>
      <w:r w:rsidRPr="00FE7622">
        <w:rPr>
          <w:color w:val="auto"/>
        </w:rPr>
        <w:t>85.</w:t>
      </w:r>
      <w:r w:rsidRPr="00FE7622">
        <w:rPr>
          <w:color w:val="auto"/>
        </w:rPr>
        <w:tab/>
        <w:t xml:space="preserve">Heisterberg MF, Andersen JL, Schjerling P, Lund A, Dalskov S, Jønsson AO, </w:t>
      </w:r>
      <w:r w:rsidR="00E038BF" w:rsidRPr="00FE7622">
        <w:rPr>
          <w:i/>
          <w:color w:val="auto"/>
        </w:rPr>
        <w:t>et al</w:t>
      </w:r>
      <w:r w:rsidRPr="00FE7622">
        <w:rPr>
          <w:color w:val="auto"/>
        </w:rPr>
        <w:t xml:space="preserve">. Losartan has no additive effect on the response to heavy-resistance exercise in human elderly skeletal muscle. </w:t>
      </w:r>
      <w:r w:rsidR="00E038BF" w:rsidRPr="00FE7622">
        <w:rPr>
          <w:i/>
          <w:color w:val="auto"/>
        </w:rPr>
        <w:t>J Appl Physiol</w:t>
      </w:r>
      <w:r w:rsidRPr="00FE7622">
        <w:rPr>
          <w:color w:val="auto"/>
        </w:rPr>
        <w:t xml:space="preserve"> 2018;</w:t>
      </w:r>
      <w:r w:rsidR="00E038BF" w:rsidRPr="00FE7622">
        <w:rPr>
          <w:b/>
          <w:color w:val="auto"/>
        </w:rPr>
        <w:t>125</w:t>
      </w:r>
      <w:r w:rsidRPr="00FE7622">
        <w:rPr>
          <w:color w:val="auto"/>
        </w:rPr>
        <w:t>:1536–54. https://doi.org/10.1152/japplphysiol.00106.2018</w:t>
      </w:r>
    </w:p>
    <w:p w14:paraId="4599F06A" w14:textId="665245E4" w:rsidR="004E78FE" w:rsidRPr="00FE7622" w:rsidRDefault="004E78FE" w:rsidP="004E78FE">
      <w:pPr>
        <w:pStyle w:val="65ReferencesTextstylesTextstyles"/>
        <w:rPr>
          <w:color w:val="auto"/>
        </w:rPr>
      </w:pPr>
      <w:r w:rsidRPr="00FE7622">
        <w:rPr>
          <w:color w:val="auto"/>
        </w:rPr>
        <w:t>86.</w:t>
      </w:r>
      <w:r w:rsidRPr="00FE7622">
        <w:rPr>
          <w:color w:val="auto"/>
        </w:rPr>
        <w:tab/>
        <w:t xml:space="preserve">Oliveira A, Rebelo P, Paixão C, Jácome C, Cruz J, Martins V, </w:t>
      </w:r>
      <w:r w:rsidR="00E038BF" w:rsidRPr="00FE7622">
        <w:rPr>
          <w:i/>
          <w:color w:val="auto"/>
        </w:rPr>
        <w:t>et al</w:t>
      </w:r>
      <w:r w:rsidRPr="00FE7622">
        <w:rPr>
          <w:color w:val="auto"/>
        </w:rPr>
        <w:t xml:space="preserve">. Minimal </w:t>
      </w:r>
      <w:r w:rsidR="003F04BD" w:rsidRPr="00FE7622">
        <w:rPr>
          <w:color w:val="auto"/>
        </w:rPr>
        <w:t>clinically important difference for quadriceps muscle strength in peo</w:t>
      </w:r>
      <w:r w:rsidRPr="00FE7622">
        <w:rPr>
          <w:color w:val="auto"/>
        </w:rPr>
        <w:t xml:space="preserve">ple with </w:t>
      </w:r>
      <w:r w:rsidRPr="00842651">
        <w:rPr>
          <w:color w:val="auto"/>
        </w:rPr>
        <w:t>COPD</w:t>
      </w:r>
      <w:r w:rsidRPr="00FE7622">
        <w:rPr>
          <w:color w:val="auto"/>
        </w:rPr>
        <w:t xml:space="preserve"> following </w:t>
      </w:r>
      <w:r w:rsidR="003F04BD" w:rsidRPr="00FE7622">
        <w:rPr>
          <w:color w:val="auto"/>
        </w:rPr>
        <w:t>pulmonary rehabilitation</w:t>
      </w:r>
      <w:r w:rsidRPr="00FE7622">
        <w:rPr>
          <w:color w:val="auto"/>
        </w:rPr>
        <w:t xml:space="preserve">. </w:t>
      </w:r>
      <w:r w:rsidR="00E038BF" w:rsidRPr="00842651">
        <w:rPr>
          <w:i/>
          <w:color w:val="auto"/>
        </w:rPr>
        <w:t>COPD</w:t>
      </w:r>
      <w:r w:rsidRPr="00FE7622">
        <w:rPr>
          <w:color w:val="auto"/>
        </w:rPr>
        <w:t xml:space="preserve"> 2021;</w:t>
      </w:r>
      <w:r w:rsidR="00E038BF" w:rsidRPr="00FE7622">
        <w:rPr>
          <w:b/>
          <w:color w:val="auto"/>
        </w:rPr>
        <w:t>18</w:t>
      </w:r>
      <w:r w:rsidRPr="00FE7622">
        <w:rPr>
          <w:color w:val="auto"/>
        </w:rPr>
        <w:t>:35–44. https://doi.org/10.1080/15412555.2021.1874897</w:t>
      </w:r>
    </w:p>
    <w:p w14:paraId="3DA8EFCB" w14:textId="7D503848" w:rsidR="004E78FE" w:rsidRPr="00FE7622" w:rsidRDefault="004E78FE" w:rsidP="004E78FE">
      <w:pPr>
        <w:pStyle w:val="65ReferencesTextstylesTextstyles"/>
        <w:rPr>
          <w:color w:val="auto"/>
        </w:rPr>
      </w:pPr>
      <w:r w:rsidRPr="00FE7622">
        <w:rPr>
          <w:color w:val="auto"/>
        </w:rPr>
        <w:t>87.</w:t>
      </w:r>
      <w:r w:rsidRPr="00FE7622">
        <w:rPr>
          <w:color w:val="auto"/>
        </w:rPr>
        <w:tab/>
        <w:t xml:space="preserve">Bobos P, Nazari G, Lu Z, MacDermid JC. Measurement </w:t>
      </w:r>
      <w:r w:rsidR="003F04BD" w:rsidRPr="00FE7622">
        <w:rPr>
          <w:color w:val="auto"/>
        </w:rPr>
        <w:t>properties of the hand grip strength assessment: a systematic review with meta-analy</w:t>
      </w:r>
      <w:r w:rsidRPr="00FE7622">
        <w:rPr>
          <w:color w:val="auto"/>
        </w:rPr>
        <w:t xml:space="preserve">sis. </w:t>
      </w:r>
      <w:r w:rsidR="00E038BF" w:rsidRPr="00FE7622">
        <w:rPr>
          <w:i/>
          <w:color w:val="auto"/>
        </w:rPr>
        <w:t>Arch Phys Med Rehabil</w:t>
      </w:r>
      <w:r w:rsidRPr="00FE7622">
        <w:rPr>
          <w:color w:val="auto"/>
        </w:rPr>
        <w:t xml:space="preserve"> 2020;</w:t>
      </w:r>
      <w:r w:rsidR="00E038BF" w:rsidRPr="00FE7622">
        <w:rPr>
          <w:b/>
          <w:color w:val="auto"/>
        </w:rPr>
        <w:t>101</w:t>
      </w:r>
      <w:r w:rsidRPr="00FE7622">
        <w:rPr>
          <w:color w:val="auto"/>
        </w:rPr>
        <w:t>:553–65.</w:t>
      </w:r>
    </w:p>
    <w:p w14:paraId="15041E0F" w14:textId="098C170C" w:rsidR="004E78FE" w:rsidRPr="00FE7622" w:rsidRDefault="004E78FE" w:rsidP="004E78FE">
      <w:pPr>
        <w:pStyle w:val="65ReferencesTextstylesTextstyles"/>
        <w:rPr>
          <w:color w:val="auto"/>
        </w:rPr>
      </w:pPr>
      <w:r w:rsidRPr="00FE7622">
        <w:rPr>
          <w:color w:val="auto"/>
        </w:rPr>
        <w:t>88.</w:t>
      </w:r>
      <w:r w:rsidRPr="00FE7622">
        <w:rPr>
          <w:color w:val="auto"/>
        </w:rPr>
        <w:tab/>
        <w:t xml:space="preserve">Verhoeven S, Vanschoonbeek K, Verdijk LB, Koopman R, Wodzig WK, Dendale P, van Loon LJ. Long-term leucine supplementation does not increase muscle mass or strength in healthy elderly men. </w:t>
      </w:r>
      <w:r w:rsidR="00E038BF" w:rsidRPr="00FE7622">
        <w:rPr>
          <w:i/>
          <w:color w:val="auto"/>
        </w:rPr>
        <w:t>Am J Clin Nutr</w:t>
      </w:r>
      <w:r w:rsidRPr="00FE7622">
        <w:rPr>
          <w:color w:val="auto"/>
        </w:rPr>
        <w:t xml:space="preserve"> 2009;</w:t>
      </w:r>
      <w:r w:rsidR="00E038BF" w:rsidRPr="00FE7622">
        <w:rPr>
          <w:b/>
          <w:color w:val="auto"/>
        </w:rPr>
        <w:t>89</w:t>
      </w:r>
      <w:r w:rsidRPr="00FE7622">
        <w:rPr>
          <w:color w:val="auto"/>
        </w:rPr>
        <w:t>:1468–75. https://doi.org/10.3945/ajcn.2008.26668</w:t>
      </w:r>
    </w:p>
    <w:p w14:paraId="5A01DAB9" w14:textId="5E5CE89F" w:rsidR="004E78FE" w:rsidRPr="00FE7622" w:rsidRDefault="004E78FE" w:rsidP="004E78FE">
      <w:pPr>
        <w:pStyle w:val="65ReferencesTextstylesTextstyles"/>
        <w:rPr>
          <w:color w:val="auto"/>
        </w:rPr>
      </w:pPr>
      <w:r w:rsidRPr="00FE7622">
        <w:rPr>
          <w:color w:val="auto"/>
        </w:rPr>
        <w:t>89.</w:t>
      </w:r>
      <w:r w:rsidRPr="00FE7622">
        <w:rPr>
          <w:color w:val="auto"/>
        </w:rPr>
        <w:tab/>
        <w:t xml:space="preserve">Leenders M, Verdijk LB, van der Hoeven L, van Kranenburg J, Hartgens F, Wodzig WK, </w:t>
      </w:r>
      <w:r w:rsidR="00E038BF" w:rsidRPr="00FE7622">
        <w:rPr>
          <w:i/>
          <w:color w:val="auto"/>
        </w:rPr>
        <w:t>et al</w:t>
      </w:r>
      <w:r w:rsidRPr="00FE7622">
        <w:rPr>
          <w:color w:val="auto"/>
        </w:rPr>
        <w:t xml:space="preserve">. Prolonged leucine supplementation does not augment muscle mass or affect glycemic control in elderly type 2 diabetic men. </w:t>
      </w:r>
      <w:r w:rsidR="00E038BF" w:rsidRPr="00FE7622">
        <w:rPr>
          <w:i/>
          <w:color w:val="auto"/>
        </w:rPr>
        <w:t>J Nutr</w:t>
      </w:r>
      <w:r w:rsidRPr="00FE7622">
        <w:rPr>
          <w:color w:val="auto"/>
        </w:rPr>
        <w:t xml:space="preserve"> 2011;</w:t>
      </w:r>
      <w:r w:rsidR="00E038BF" w:rsidRPr="00FE7622">
        <w:rPr>
          <w:b/>
          <w:color w:val="auto"/>
        </w:rPr>
        <w:t>141</w:t>
      </w:r>
      <w:r w:rsidRPr="00FE7622">
        <w:rPr>
          <w:color w:val="auto"/>
        </w:rPr>
        <w:t>:1070–6. https://doi.org/10.3945/jn.111.138495</w:t>
      </w:r>
    </w:p>
    <w:p w14:paraId="1430CAAB" w14:textId="2D54FD9F" w:rsidR="004E78FE" w:rsidRPr="00FE7622" w:rsidRDefault="004E78FE" w:rsidP="004E78FE">
      <w:pPr>
        <w:pStyle w:val="65ReferencesTextstylesTextstyles"/>
        <w:rPr>
          <w:color w:val="auto"/>
        </w:rPr>
      </w:pPr>
      <w:r w:rsidRPr="00FE7622">
        <w:rPr>
          <w:color w:val="auto"/>
        </w:rPr>
        <w:t>90.</w:t>
      </w:r>
      <w:r w:rsidRPr="00FE7622">
        <w:rPr>
          <w:color w:val="auto"/>
        </w:rPr>
        <w:tab/>
        <w:t xml:space="preserve">Ispoglou T, White H, Preston T, McElhone S, McKenna J, Hind K. Double-blind, placebo-controlled pilot trial of L-Leucine-enriched amino-acid mixtures on body composition and physical performance in men and women aged 65-75 years. </w:t>
      </w:r>
      <w:r w:rsidR="00E038BF" w:rsidRPr="00FE7622">
        <w:rPr>
          <w:i/>
          <w:color w:val="auto"/>
        </w:rPr>
        <w:t>Eur J Clin Nutr</w:t>
      </w:r>
      <w:r w:rsidRPr="00FE7622">
        <w:rPr>
          <w:color w:val="auto"/>
        </w:rPr>
        <w:t xml:space="preserve"> 2016;</w:t>
      </w:r>
      <w:r w:rsidR="00E038BF" w:rsidRPr="00FE7622">
        <w:rPr>
          <w:b/>
          <w:color w:val="auto"/>
        </w:rPr>
        <w:t>70</w:t>
      </w:r>
      <w:r w:rsidRPr="00FE7622">
        <w:rPr>
          <w:color w:val="auto"/>
        </w:rPr>
        <w:t>:182–8. https://doi.org/10.1038/ejcn.2015.91</w:t>
      </w:r>
    </w:p>
    <w:p w14:paraId="2EDBC555" w14:textId="309278C8" w:rsidR="004E78FE" w:rsidRPr="00FE7622" w:rsidRDefault="004E78FE" w:rsidP="004E78FE">
      <w:pPr>
        <w:pStyle w:val="65ReferencesTextstylesTextstyles"/>
        <w:rPr>
          <w:color w:val="auto"/>
        </w:rPr>
      </w:pPr>
      <w:r w:rsidRPr="00FE7622">
        <w:rPr>
          <w:color w:val="auto"/>
        </w:rPr>
        <w:t>91.</w:t>
      </w:r>
      <w:r w:rsidRPr="00FE7622">
        <w:rPr>
          <w:color w:val="auto"/>
        </w:rPr>
        <w:tab/>
        <w:t xml:space="preserve">Martínez-Arnau FM, Fonfría-Vivas R, Buigues C, Castillo Y, Molina P, Hoogland AJ, </w:t>
      </w:r>
      <w:r w:rsidR="00E038BF" w:rsidRPr="00FE7622">
        <w:rPr>
          <w:i/>
          <w:color w:val="auto"/>
        </w:rPr>
        <w:t>et al</w:t>
      </w:r>
      <w:r w:rsidRPr="00FE7622">
        <w:rPr>
          <w:color w:val="auto"/>
        </w:rPr>
        <w:t xml:space="preserve">. Effects of </w:t>
      </w:r>
      <w:r w:rsidR="003F04BD" w:rsidRPr="00FE7622">
        <w:rPr>
          <w:color w:val="auto"/>
        </w:rPr>
        <w:t>leucine administration in sarcopenia: a randomized and placebo-controlled clinical trial</w:t>
      </w:r>
      <w:r w:rsidRPr="00FE7622">
        <w:rPr>
          <w:color w:val="auto"/>
        </w:rPr>
        <w:t xml:space="preserve">. </w:t>
      </w:r>
      <w:r w:rsidR="00E038BF" w:rsidRPr="00FE7622">
        <w:rPr>
          <w:i/>
          <w:color w:val="auto"/>
        </w:rPr>
        <w:t>Nutrients</w:t>
      </w:r>
      <w:r w:rsidRPr="00FE7622">
        <w:rPr>
          <w:color w:val="auto"/>
        </w:rPr>
        <w:t xml:space="preserve"> 2020;</w:t>
      </w:r>
      <w:r w:rsidR="00E038BF" w:rsidRPr="00FE7622">
        <w:rPr>
          <w:b/>
          <w:color w:val="auto"/>
        </w:rPr>
        <w:t>12</w:t>
      </w:r>
      <w:r w:rsidRPr="00FE7622">
        <w:rPr>
          <w:color w:val="auto"/>
        </w:rPr>
        <w:t>:E932.</w:t>
      </w:r>
    </w:p>
    <w:p w14:paraId="402E2519" w14:textId="7E305716" w:rsidR="004E78FE" w:rsidRPr="00FE7622" w:rsidRDefault="004E78FE" w:rsidP="004E78FE">
      <w:pPr>
        <w:pStyle w:val="65ReferencesTextstylesTextstyles"/>
        <w:rPr>
          <w:color w:val="auto"/>
        </w:rPr>
      </w:pPr>
      <w:r w:rsidRPr="00FE7622">
        <w:rPr>
          <w:color w:val="auto"/>
        </w:rPr>
        <w:t>92.</w:t>
      </w:r>
      <w:r w:rsidRPr="00FE7622">
        <w:rPr>
          <w:color w:val="auto"/>
        </w:rPr>
        <w:tab/>
        <w:t xml:space="preserve">Bauer JM, Verlaan S, Bautmans I, Brandt K, Donini LM, Maggio M, </w:t>
      </w:r>
      <w:r w:rsidR="00E038BF" w:rsidRPr="00FE7622">
        <w:rPr>
          <w:i/>
          <w:color w:val="auto"/>
        </w:rPr>
        <w:t>et al</w:t>
      </w:r>
      <w:r w:rsidRPr="00FE7622">
        <w:rPr>
          <w:color w:val="auto"/>
        </w:rPr>
        <w:t xml:space="preserve">. Effects of a vitamin D and leucine-enriched whey protein nutritional supplement on measures of sarcopenia in older adults, the PROVIDE study: a randomized, double-blind, placebo-controlled trial. </w:t>
      </w:r>
      <w:r w:rsidR="00E038BF" w:rsidRPr="00FE7622">
        <w:rPr>
          <w:i/>
          <w:color w:val="auto"/>
        </w:rPr>
        <w:t>J Am Med Dir Assoc</w:t>
      </w:r>
      <w:r w:rsidRPr="00FE7622">
        <w:rPr>
          <w:color w:val="auto"/>
        </w:rPr>
        <w:t xml:space="preserve"> 2015;</w:t>
      </w:r>
      <w:r w:rsidR="00E038BF" w:rsidRPr="00FE7622">
        <w:rPr>
          <w:b/>
          <w:color w:val="auto"/>
        </w:rPr>
        <w:t>16</w:t>
      </w:r>
      <w:r w:rsidRPr="00FE7622">
        <w:rPr>
          <w:color w:val="auto"/>
        </w:rPr>
        <w:t>:740–7. https://doi.org/10.1016/j.jamda.2015.05.021</w:t>
      </w:r>
    </w:p>
    <w:p w14:paraId="4551F40B" w14:textId="1F89DD4E" w:rsidR="004E78FE" w:rsidRPr="00FE7622" w:rsidRDefault="004E78FE" w:rsidP="004E78FE">
      <w:pPr>
        <w:pStyle w:val="65ReferencesTextstylesTextstyles"/>
        <w:rPr>
          <w:color w:val="auto"/>
        </w:rPr>
      </w:pPr>
      <w:r w:rsidRPr="00FE7622">
        <w:rPr>
          <w:color w:val="auto"/>
        </w:rPr>
        <w:t>93.</w:t>
      </w:r>
      <w:r w:rsidRPr="00FE7622">
        <w:rPr>
          <w:color w:val="auto"/>
        </w:rPr>
        <w:tab/>
        <w:t xml:space="preserve">Burnier M, Egan BM. Adherence in </w:t>
      </w:r>
      <w:r w:rsidR="003F04BD" w:rsidRPr="00FE7622">
        <w:rPr>
          <w:color w:val="auto"/>
        </w:rPr>
        <w:t>h</w:t>
      </w:r>
      <w:r w:rsidRPr="00FE7622">
        <w:rPr>
          <w:color w:val="auto"/>
        </w:rPr>
        <w:t xml:space="preserve">ypertension. </w:t>
      </w:r>
      <w:r w:rsidR="00E038BF" w:rsidRPr="00FE7622">
        <w:rPr>
          <w:i/>
          <w:iCs/>
          <w:color w:val="auto"/>
        </w:rPr>
        <w:t>Circ Res</w:t>
      </w:r>
      <w:r w:rsidRPr="00FE7622">
        <w:rPr>
          <w:color w:val="auto"/>
        </w:rPr>
        <w:t xml:space="preserve"> 2019;</w:t>
      </w:r>
      <w:r w:rsidR="00E038BF" w:rsidRPr="00FE7622">
        <w:rPr>
          <w:b/>
          <w:bCs/>
          <w:color w:val="auto"/>
        </w:rPr>
        <w:t>124</w:t>
      </w:r>
      <w:r w:rsidRPr="00FE7622">
        <w:rPr>
          <w:color w:val="auto"/>
        </w:rPr>
        <w:t>:1124</w:t>
      </w:r>
      <w:r w:rsidR="003F04BD" w:rsidRPr="00FE7622">
        <w:rPr>
          <w:color w:val="auto"/>
        </w:rPr>
        <w:t>–</w:t>
      </w:r>
      <w:r w:rsidRPr="00FE7622">
        <w:rPr>
          <w:color w:val="auto"/>
        </w:rPr>
        <w:t>40.</w:t>
      </w:r>
    </w:p>
    <w:p w14:paraId="740C1A2B" w14:textId="06FBCBFC" w:rsidR="004E78FE" w:rsidRPr="00FE7622" w:rsidRDefault="004E78FE" w:rsidP="004E78FE">
      <w:pPr>
        <w:pStyle w:val="65ReferencesTextstylesTextstyles"/>
        <w:rPr>
          <w:color w:val="auto"/>
        </w:rPr>
      </w:pPr>
      <w:r w:rsidRPr="00FE7622">
        <w:rPr>
          <w:color w:val="auto"/>
        </w:rPr>
        <w:t>94.</w:t>
      </w:r>
      <w:r w:rsidRPr="00FE7622">
        <w:rPr>
          <w:color w:val="auto"/>
        </w:rPr>
        <w:tab/>
        <w:t xml:space="preserve">Roberts H, Khee TS, Philip I. Setting </w:t>
      </w:r>
      <w:r w:rsidR="006D3100" w:rsidRPr="00FE7622">
        <w:rPr>
          <w:color w:val="auto"/>
        </w:rPr>
        <w:t>91</w:t>
      </w:r>
      <w:r w:rsidRPr="00FE7622">
        <w:rPr>
          <w:color w:val="auto"/>
        </w:rPr>
        <w:t xml:space="preserve">priorities for measures of performance for geriatric medical services. </w:t>
      </w:r>
      <w:r w:rsidR="00E038BF" w:rsidRPr="00FE7622">
        <w:rPr>
          <w:i/>
          <w:color w:val="auto"/>
        </w:rPr>
        <w:t>Age Ageing</w:t>
      </w:r>
      <w:r w:rsidRPr="00FE7622">
        <w:rPr>
          <w:color w:val="auto"/>
        </w:rPr>
        <w:t xml:space="preserve"> 1994;</w:t>
      </w:r>
      <w:r w:rsidR="00E038BF" w:rsidRPr="00FE7622">
        <w:rPr>
          <w:b/>
          <w:color w:val="auto"/>
        </w:rPr>
        <w:t>23</w:t>
      </w:r>
      <w:r w:rsidRPr="00FE7622">
        <w:rPr>
          <w:color w:val="auto"/>
        </w:rPr>
        <w:t>:154–7. https://doi.org/10.1093/ageing/23.2.154</w:t>
      </w:r>
    </w:p>
    <w:p w14:paraId="0F54CB1A" w14:textId="04CD4370" w:rsidR="004E78FE" w:rsidRPr="00FE7622" w:rsidRDefault="004E78FE" w:rsidP="004E78FE">
      <w:pPr>
        <w:pStyle w:val="65ReferencesTextstylesTextstyles"/>
        <w:rPr>
          <w:color w:val="auto"/>
        </w:rPr>
      </w:pPr>
      <w:r w:rsidRPr="00FE7622">
        <w:rPr>
          <w:color w:val="auto"/>
        </w:rPr>
        <w:t>95.</w:t>
      </w:r>
      <w:r w:rsidRPr="00FE7622">
        <w:rPr>
          <w:color w:val="auto"/>
        </w:rPr>
        <w:tab/>
        <w:t xml:space="preserve">Bhasin S, Travison TG, Manini TM, Patel S, Pencina KM, Fielding RA, </w:t>
      </w:r>
      <w:r w:rsidR="00E038BF" w:rsidRPr="00FE7622">
        <w:rPr>
          <w:i/>
          <w:color w:val="auto"/>
        </w:rPr>
        <w:t>et al</w:t>
      </w:r>
      <w:r w:rsidRPr="00FE7622">
        <w:rPr>
          <w:color w:val="auto"/>
        </w:rPr>
        <w:t xml:space="preserve">. Sarcopenia </w:t>
      </w:r>
      <w:r w:rsidR="003F04BD" w:rsidRPr="00FE7622">
        <w:rPr>
          <w:color w:val="auto"/>
        </w:rPr>
        <w:t xml:space="preserve">definition: the position statements </w:t>
      </w:r>
      <w:r w:rsidRPr="00FE7622">
        <w:rPr>
          <w:color w:val="auto"/>
        </w:rPr>
        <w:t xml:space="preserve">of the Sarcopenia Definition and Outcomes Consortium. </w:t>
      </w:r>
      <w:r w:rsidR="00E038BF" w:rsidRPr="00FE7622">
        <w:rPr>
          <w:i/>
          <w:color w:val="auto"/>
        </w:rPr>
        <w:t>J Am Geriatr Soc</w:t>
      </w:r>
      <w:r w:rsidRPr="00FE7622">
        <w:rPr>
          <w:color w:val="auto"/>
        </w:rPr>
        <w:t xml:space="preserve"> 2020;</w:t>
      </w:r>
      <w:r w:rsidR="00E038BF" w:rsidRPr="00FE7622">
        <w:rPr>
          <w:b/>
          <w:color w:val="auto"/>
        </w:rPr>
        <w:t>68</w:t>
      </w:r>
      <w:r w:rsidRPr="00FE7622">
        <w:rPr>
          <w:color w:val="auto"/>
        </w:rPr>
        <w:t>:1410–18. https://doi.org/10.1111/jgs.16372</w:t>
      </w:r>
    </w:p>
    <w:p w14:paraId="43005214" w14:textId="51A0DEB4" w:rsidR="004E78FE" w:rsidRPr="00FE7622" w:rsidRDefault="004E78FE" w:rsidP="004E78FE">
      <w:pPr>
        <w:pStyle w:val="65ReferencesTextstylesTextstyles"/>
        <w:rPr>
          <w:color w:val="auto"/>
        </w:rPr>
      </w:pPr>
      <w:r w:rsidRPr="00FE7622">
        <w:rPr>
          <w:color w:val="auto"/>
        </w:rPr>
        <w:t>96.</w:t>
      </w:r>
      <w:r w:rsidRPr="00FE7622">
        <w:rPr>
          <w:color w:val="auto"/>
        </w:rPr>
        <w:tab/>
        <w:t xml:space="preserve">Rooks D, Swan T, Goswami B, Filosa LA, Bunte O, Panchaud N, </w:t>
      </w:r>
      <w:r w:rsidR="00E038BF" w:rsidRPr="00FE7622">
        <w:rPr>
          <w:i/>
          <w:color w:val="auto"/>
        </w:rPr>
        <w:t>et al</w:t>
      </w:r>
      <w:r w:rsidRPr="00FE7622">
        <w:rPr>
          <w:color w:val="auto"/>
        </w:rPr>
        <w:t xml:space="preserve">. Bimagrumab vs </w:t>
      </w:r>
      <w:r w:rsidR="003F04BD" w:rsidRPr="00FE7622">
        <w:rPr>
          <w:color w:val="auto"/>
        </w:rPr>
        <w:t>optimized standard of care for treatment of sarcopenia in community-dwelling older adults: a randomized clinical trial</w:t>
      </w:r>
      <w:r w:rsidRPr="00FE7622">
        <w:rPr>
          <w:color w:val="auto"/>
        </w:rPr>
        <w:t xml:space="preserve">. </w:t>
      </w:r>
      <w:r w:rsidR="00E038BF" w:rsidRPr="00FE7622">
        <w:rPr>
          <w:i/>
          <w:color w:val="auto"/>
        </w:rPr>
        <w:t>JAMA Netw Open</w:t>
      </w:r>
      <w:r w:rsidRPr="00FE7622">
        <w:rPr>
          <w:color w:val="auto"/>
        </w:rPr>
        <w:t xml:space="preserve"> 2020;</w:t>
      </w:r>
      <w:r w:rsidR="00E038BF" w:rsidRPr="00FE7622">
        <w:rPr>
          <w:b/>
          <w:color w:val="auto"/>
        </w:rPr>
        <w:t>3</w:t>
      </w:r>
      <w:r w:rsidRPr="00FE7622">
        <w:rPr>
          <w:color w:val="auto"/>
        </w:rPr>
        <w:t>:e2020836. https://doi.org/10.1001/jamanetworkopen.2020.20836</w:t>
      </w:r>
    </w:p>
    <w:p w14:paraId="338B5464" w14:textId="238C7004" w:rsidR="004E78FE" w:rsidRPr="00FE7622" w:rsidRDefault="004E78FE" w:rsidP="004E78FE">
      <w:pPr>
        <w:pStyle w:val="65ReferencesTextstylesTextstyles"/>
        <w:rPr>
          <w:color w:val="auto"/>
        </w:rPr>
      </w:pPr>
      <w:r w:rsidRPr="00FE7622">
        <w:rPr>
          <w:color w:val="auto"/>
        </w:rPr>
        <w:t>97.</w:t>
      </w:r>
      <w:r w:rsidRPr="00FE7622">
        <w:rPr>
          <w:color w:val="auto"/>
        </w:rPr>
        <w:tab/>
        <w:t xml:space="preserve">Witham MD, Heslop P, Dodds RM, Clegg AP, Hope SV, McDonald C, </w:t>
      </w:r>
      <w:r w:rsidR="00E038BF" w:rsidRPr="00FE7622">
        <w:rPr>
          <w:i/>
          <w:color w:val="auto"/>
        </w:rPr>
        <w:t>et al</w:t>
      </w:r>
      <w:r w:rsidRPr="00FE7622">
        <w:rPr>
          <w:color w:val="auto"/>
        </w:rPr>
        <w:t xml:space="preserve">. Developing a UK sarcopenia registry: recruitment and baseline characteristics of the SarcNet pilot. </w:t>
      </w:r>
      <w:r w:rsidR="00E038BF" w:rsidRPr="00FE7622">
        <w:rPr>
          <w:i/>
          <w:color w:val="auto"/>
        </w:rPr>
        <w:t>Age Ageing</w:t>
      </w:r>
      <w:r w:rsidRPr="00FE7622">
        <w:rPr>
          <w:color w:val="auto"/>
        </w:rPr>
        <w:t xml:space="preserve"> 2021;</w:t>
      </w:r>
      <w:r w:rsidR="00E038BF" w:rsidRPr="00FE7622">
        <w:rPr>
          <w:b/>
          <w:color w:val="auto"/>
        </w:rPr>
        <w:t>50</w:t>
      </w:r>
      <w:r w:rsidRPr="00FE7622">
        <w:rPr>
          <w:color w:val="auto"/>
        </w:rPr>
        <w:t>:1762–9. https://doi.org/10.1093/ageing/afab084</w:t>
      </w:r>
    </w:p>
    <w:p w14:paraId="1904F536" w14:textId="5DB20E03" w:rsidR="00A66EEC" w:rsidRPr="00FE7622" w:rsidRDefault="00A66EEC" w:rsidP="00794FD5">
      <w:pPr>
        <w:pStyle w:val="65ReferencesTextstylesTextstyles"/>
        <w:rPr>
          <w:color w:val="auto"/>
        </w:rPr>
      </w:pPr>
      <w:r w:rsidRPr="00FE7622">
        <w:rPr>
          <w:color w:val="auto"/>
        </w:rPr>
        <w:t>800.</w:t>
      </w:r>
      <w:r w:rsidRPr="00FE7622">
        <w:rPr>
          <w:color w:val="auto"/>
        </w:rPr>
        <w:tab/>
      </w:r>
      <w:r w:rsidR="00794FD5" w:rsidRPr="00FE7622">
        <w:rPr>
          <w:color w:val="auto"/>
        </w:rPr>
        <w:t xml:space="preserve">Steeds RP, Wardle A, Smith PD, Martin D, Channer KS, Samani NJ. Analysis of the postulated interaction between the angiotensin II sub-type 1 receptor gene A1166C polymorphism and the insertion/deletion polymorphism of the angiotensin converting enzyme gene on risk of myocardial infarction. </w:t>
      </w:r>
      <w:r w:rsidR="00E038BF" w:rsidRPr="00FE7622">
        <w:rPr>
          <w:i/>
          <w:iCs/>
          <w:color w:val="auto"/>
        </w:rPr>
        <w:t>Atherosclerosis</w:t>
      </w:r>
      <w:r w:rsidR="00011705" w:rsidRPr="00FE7622">
        <w:rPr>
          <w:color w:val="auto"/>
        </w:rPr>
        <w:t xml:space="preserve"> 2001;</w:t>
      </w:r>
      <w:r w:rsidR="00E038BF" w:rsidRPr="00FE7622">
        <w:rPr>
          <w:b/>
          <w:bCs/>
          <w:color w:val="auto"/>
        </w:rPr>
        <w:t>154</w:t>
      </w:r>
      <w:r w:rsidR="00011705" w:rsidRPr="00FE7622">
        <w:rPr>
          <w:color w:val="auto"/>
        </w:rPr>
        <w:t>:123–8.</w:t>
      </w:r>
    </w:p>
    <w:p w14:paraId="2FE3F717" w14:textId="22D85052" w:rsidR="00E038BF" w:rsidRPr="00FE7622" w:rsidRDefault="00E038BF" w:rsidP="001E2BE2">
      <w:pPr>
        <w:pStyle w:val="43AppendixtitleHeadingsHeadingstyles"/>
      </w:pPr>
      <w:bookmarkStart w:id="162" w:name="_Toc79684571"/>
      <w:r w:rsidRPr="00FE7622">
        <w:t>Appendix 1</w:t>
      </w:r>
      <w:r w:rsidRPr="00FE7622">
        <w:t> </w:t>
      </w:r>
      <w:r w:rsidRPr="00FE7622">
        <w:t>Recruitment by site</w:t>
      </w:r>
      <w:bookmarkEnd w:id="162"/>
    </w:p>
    <w:p w14:paraId="75D37213" w14:textId="609828D0" w:rsidR="00F026E8" w:rsidRPr="00FE7622" w:rsidRDefault="00E038BF" w:rsidP="00F026E8">
      <w:pPr>
        <w:pStyle w:val="70TablelegendTablesTableFigureBoxstyles"/>
        <w:rPr>
          <w:lang w:val="en-GB"/>
        </w:rPr>
      </w:pPr>
      <w:r w:rsidRPr="00FE7622">
        <w:rPr>
          <w:b/>
        </w:rPr>
        <w:t>TABLE 20</w:t>
      </w:r>
      <w:r w:rsidRPr="00FE7622">
        <w:rPr>
          <w:b/>
        </w:rPr>
        <w:t> </w:t>
      </w:r>
      <w:r w:rsidR="00F026E8" w:rsidRPr="00FE7622">
        <w:rPr>
          <w:lang w:val="en-GB"/>
        </w:rPr>
        <w:t>Recruitment by site</w:t>
      </w:r>
    </w:p>
    <w:tbl>
      <w:tblPr>
        <w:tblW w:w="0" w:type="auto"/>
        <w:tblCellMar>
          <w:top w:w="40" w:type="dxa"/>
          <w:left w:w="60" w:type="dxa"/>
          <w:bottom w:w="40" w:type="dxa"/>
          <w:right w:w="60" w:type="dxa"/>
        </w:tblCellMar>
        <w:tblLook w:val="04A0" w:firstRow="1" w:lastRow="0" w:firstColumn="1" w:lastColumn="0" w:noHBand="0" w:noVBand="1"/>
      </w:tblPr>
      <w:tblGrid>
        <w:gridCol w:w="1155"/>
        <w:gridCol w:w="2350"/>
        <w:gridCol w:w="2797"/>
        <w:gridCol w:w="1689"/>
      </w:tblGrid>
      <w:tr w:rsidR="00F026E8" w:rsidRPr="00FE7622" w14:paraId="45279DC0" w14:textId="77777777" w:rsidTr="00AF19CC">
        <w:trPr>
          <w:cantSplit/>
        </w:trPr>
        <w:tc>
          <w:tcPr>
            <w:tcW w:w="0" w:type="auto"/>
            <w:shd w:val="clear" w:color="auto" w:fill="auto"/>
          </w:tcPr>
          <w:p w14:paraId="4BCC2954" w14:textId="48628A7B" w:rsidR="00F026E8" w:rsidRPr="00FE7622" w:rsidRDefault="00E038BF" w:rsidP="00AF19CC">
            <w:pPr>
              <w:pStyle w:val="710TableheadTablesTableFigureBoxstyles"/>
            </w:pPr>
            <w:r w:rsidRPr="00FE7622">
              <w:t>Site</w:t>
            </w:r>
          </w:p>
        </w:tc>
        <w:tc>
          <w:tcPr>
            <w:tcW w:w="0" w:type="auto"/>
            <w:shd w:val="clear" w:color="auto" w:fill="auto"/>
          </w:tcPr>
          <w:p w14:paraId="725A610A" w14:textId="07675F23" w:rsidR="00F026E8" w:rsidRPr="00FE7622" w:rsidRDefault="00E038BF" w:rsidP="00AF19CC">
            <w:pPr>
              <w:pStyle w:val="710TableheadTablesTableFigureBoxstyles"/>
            </w:pPr>
            <w:r w:rsidRPr="00FE7622">
              <w:t>Number of months recruiting</w:t>
            </w:r>
          </w:p>
        </w:tc>
        <w:tc>
          <w:tcPr>
            <w:tcW w:w="0" w:type="auto"/>
            <w:shd w:val="clear" w:color="auto" w:fill="auto"/>
          </w:tcPr>
          <w:p w14:paraId="1049C18F" w14:textId="23B97C03" w:rsidR="00F026E8" w:rsidRPr="00FE7622" w:rsidRDefault="00E038BF" w:rsidP="00AF19CC">
            <w:pPr>
              <w:pStyle w:val="710TableheadTablesTableFigureBoxstyles"/>
            </w:pPr>
            <w:r w:rsidRPr="00FE7622">
              <w:t>Number undergoing screening visit</w:t>
            </w:r>
          </w:p>
        </w:tc>
        <w:tc>
          <w:tcPr>
            <w:tcW w:w="0" w:type="auto"/>
            <w:shd w:val="clear" w:color="auto" w:fill="auto"/>
          </w:tcPr>
          <w:p w14:paraId="7893476A" w14:textId="1DD73EB5" w:rsidR="00F026E8" w:rsidRPr="00FE7622" w:rsidRDefault="00E038BF" w:rsidP="00AF19CC">
            <w:pPr>
              <w:pStyle w:val="710TableheadTablesTableFigureBoxstyles"/>
            </w:pPr>
            <w:r w:rsidRPr="00FE7622">
              <w:t>Number randomised</w:t>
            </w:r>
          </w:p>
        </w:tc>
      </w:tr>
      <w:tr w:rsidR="00F026E8" w:rsidRPr="00FE7622" w14:paraId="1E89722B" w14:textId="77777777" w:rsidTr="00AF19CC">
        <w:trPr>
          <w:cantSplit/>
        </w:trPr>
        <w:tc>
          <w:tcPr>
            <w:tcW w:w="0" w:type="auto"/>
            <w:shd w:val="clear" w:color="auto" w:fill="auto"/>
          </w:tcPr>
          <w:p w14:paraId="1BDBAC7D" w14:textId="77777777" w:rsidR="00F026E8" w:rsidRPr="00FE7622" w:rsidRDefault="00F026E8" w:rsidP="00AF19CC">
            <w:pPr>
              <w:pStyle w:val="72TabletextTablesTableFigureBoxstyles"/>
            </w:pPr>
            <w:r w:rsidRPr="00FE7622">
              <w:rPr>
                <w:color w:val="auto"/>
              </w:rPr>
              <w:t>Bath</w:t>
            </w:r>
          </w:p>
        </w:tc>
        <w:tc>
          <w:tcPr>
            <w:tcW w:w="0" w:type="auto"/>
            <w:shd w:val="clear" w:color="auto" w:fill="auto"/>
          </w:tcPr>
          <w:p w14:paraId="5574F3CD" w14:textId="77777777" w:rsidR="00F026E8" w:rsidRPr="00FE7622" w:rsidRDefault="00F026E8" w:rsidP="00AF19CC">
            <w:pPr>
              <w:pStyle w:val="72TabletextTablesTableFigureBoxstyles"/>
            </w:pPr>
            <w:r w:rsidRPr="00FE7622">
              <w:rPr>
                <w:color w:val="auto"/>
              </w:rPr>
              <w:t>30</w:t>
            </w:r>
          </w:p>
        </w:tc>
        <w:tc>
          <w:tcPr>
            <w:tcW w:w="0" w:type="auto"/>
            <w:shd w:val="clear" w:color="auto" w:fill="auto"/>
          </w:tcPr>
          <w:p w14:paraId="02B9E8C0" w14:textId="77777777" w:rsidR="00F026E8" w:rsidRPr="00FE7622" w:rsidRDefault="00F026E8" w:rsidP="00AF19CC">
            <w:pPr>
              <w:pStyle w:val="72TabletextTablesTableFigureBoxstyles"/>
            </w:pPr>
            <w:r w:rsidRPr="00FE7622">
              <w:rPr>
                <w:color w:val="auto"/>
              </w:rPr>
              <w:t>23</w:t>
            </w:r>
          </w:p>
        </w:tc>
        <w:tc>
          <w:tcPr>
            <w:tcW w:w="0" w:type="auto"/>
            <w:shd w:val="clear" w:color="auto" w:fill="auto"/>
          </w:tcPr>
          <w:p w14:paraId="3122C918" w14:textId="77777777" w:rsidR="00F026E8" w:rsidRPr="00FE7622" w:rsidRDefault="00F026E8" w:rsidP="00AF19CC">
            <w:pPr>
              <w:pStyle w:val="72TabletextTablesTableFigureBoxstyles"/>
              <w:rPr>
                <w:color w:val="auto"/>
              </w:rPr>
            </w:pPr>
            <w:r w:rsidRPr="00FE7622">
              <w:rPr>
                <w:color w:val="auto"/>
              </w:rPr>
              <w:t>9</w:t>
            </w:r>
          </w:p>
        </w:tc>
      </w:tr>
      <w:tr w:rsidR="00F026E8" w:rsidRPr="00FE7622" w14:paraId="3EBE1D69" w14:textId="77777777" w:rsidTr="00AF19CC">
        <w:trPr>
          <w:cantSplit/>
        </w:trPr>
        <w:tc>
          <w:tcPr>
            <w:tcW w:w="0" w:type="auto"/>
            <w:shd w:val="clear" w:color="auto" w:fill="auto"/>
          </w:tcPr>
          <w:p w14:paraId="19ED9AF0" w14:textId="77777777" w:rsidR="00F026E8" w:rsidRPr="00FE7622" w:rsidRDefault="00F026E8" w:rsidP="00AF19CC">
            <w:pPr>
              <w:pStyle w:val="72TabletextTablesTableFigureBoxstyles"/>
            </w:pPr>
            <w:r w:rsidRPr="00FE7622">
              <w:rPr>
                <w:color w:val="auto"/>
              </w:rPr>
              <w:t>Fife</w:t>
            </w:r>
          </w:p>
        </w:tc>
        <w:tc>
          <w:tcPr>
            <w:tcW w:w="0" w:type="auto"/>
            <w:shd w:val="clear" w:color="auto" w:fill="auto"/>
          </w:tcPr>
          <w:p w14:paraId="4B5DAF52" w14:textId="77777777" w:rsidR="00F026E8" w:rsidRPr="00FE7622" w:rsidRDefault="00F026E8" w:rsidP="00AF19CC">
            <w:pPr>
              <w:pStyle w:val="72TabletextTablesTableFigureBoxstyles"/>
            </w:pPr>
            <w:r w:rsidRPr="00FE7622">
              <w:rPr>
                <w:color w:val="auto"/>
              </w:rPr>
              <w:t>28</w:t>
            </w:r>
          </w:p>
        </w:tc>
        <w:tc>
          <w:tcPr>
            <w:tcW w:w="0" w:type="auto"/>
            <w:shd w:val="clear" w:color="auto" w:fill="auto"/>
          </w:tcPr>
          <w:p w14:paraId="641BB73A" w14:textId="77777777" w:rsidR="00F026E8" w:rsidRPr="00FE7622" w:rsidRDefault="00F026E8" w:rsidP="00AF19CC">
            <w:pPr>
              <w:pStyle w:val="72TabletextTablesTableFigureBoxstyles"/>
            </w:pPr>
            <w:r w:rsidRPr="00FE7622">
              <w:rPr>
                <w:color w:val="auto"/>
              </w:rPr>
              <w:t>25</w:t>
            </w:r>
          </w:p>
        </w:tc>
        <w:tc>
          <w:tcPr>
            <w:tcW w:w="0" w:type="auto"/>
            <w:shd w:val="clear" w:color="auto" w:fill="auto"/>
          </w:tcPr>
          <w:p w14:paraId="16510F21" w14:textId="77777777" w:rsidR="00F026E8" w:rsidRPr="00FE7622" w:rsidRDefault="00F026E8" w:rsidP="00AF19CC">
            <w:pPr>
              <w:pStyle w:val="72TabletextTablesTableFigureBoxstyles"/>
              <w:rPr>
                <w:color w:val="auto"/>
              </w:rPr>
            </w:pPr>
            <w:r w:rsidRPr="00FE7622">
              <w:rPr>
                <w:color w:val="auto"/>
              </w:rPr>
              <w:t>6</w:t>
            </w:r>
          </w:p>
        </w:tc>
      </w:tr>
      <w:tr w:rsidR="00F026E8" w:rsidRPr="00FE7622" w14:paraId="0F94FEBE" w14:textId="77777777" w:rsidTr="00AF19CC">
        <w:trPr>
          <w:cantSplit/>
        </w:trPr>
        <w:tc>
          <w:tcPr>
            <w:tcW w:w="0" w:type="auto"/>
            <w:shd w:val="clear" w:color="auto" w:fill="auto"/>
          </w:tcPr>
          <w:p w14:paraId="1E7B165F" w14:textId="77777777" w:rsidR="00F026E8" w:rsidRPr="00FE7622" w:rsidRDefault="00F026E8" w:rsidP="00AF19CC">
            <w:pPr>
              <w:pStyle w:val="72TabletextTablesTableFigureBoxstyles"/>
            </w:pPr>
            <w:r w:rsidRPr="00FE7622">
              <w:rPr>
                <w:color w:val="auto"/>
              </w:rPr>
              <w:t>Grampian</w:t>
            </w:r>
          </w:p>
        </w:tc>
        <w:tc>
          <w:tcPr>
            <w:tcW w:w="0" w:type="auto"/>
            <w:shd w:val="clear" w:color="auto" w:fill="auto"/>
          </w:tcPr>
          <w:p w14:paraId="7315EA17" w14:textId="77777777" w:rsidR="00F026E8" w:rsidRPr="00FE7622" w:rsidRDefault="00F026E8" w:rsidP="00AF19CC">
            <w:pPr>
              <w:pStyle w:val="72TabletextTablesTableFigureBoxstyles"/>
            </w:pPr>
            <w:r w:rsidRPr="00FE7622">
              <w:rPr>
                <w:color w:val="auto"/>
              </w:rPr>
              <w:t>30</w:t>
            </w:r>
          </w:p>
        </w:tc>
        <w:tc>
          <w:tcPr>
            <w:tcW w:w="0" w:type="auto"/>
            <w:shd w:val="clear" w:color="auto" w:fill="auto"/>
          </w:tcPr>
          <w:p w14:paraId="2AC25B4F" w14:textId="77777777" w:rsidR="00F026E8" w:rsidRPr="00FE7622" w:rsidRDefault="00F026E8" w:rsidP="00AF19CC">
            <w:pPr>
              <w:pStyle w:val="72TabletextTablesTableFigureBoxstyles"/>
            </w:pPr>
            <w:r w:rsidRPr="00FE7622">
              <w:rPr>
                <w:color w:val="auto"/>
              </w:rPr>
              <w:t>53</w:t>
            </w:r>
          </w:p>
        </w:tc>
        <w:tc>
          <w:tcPr>
            <w:tcW w:w="0" w:type="auto"/>
            <w:shd w:val="clear" w:color="auto" w:fill="auto"/>
          </w:tcPr>
          <w:p w14:paraId="7D35AF5A" w14:textId="77777777" w:rsidR="00F026E8" w:rsidRPr="00FE7622" w:rsidRDefault="00F026E8" w:rsidP="00AF19CC">
            <w:pPr>
              <w:pStyle w:val="72TabletextTablesTableFigureBoxstyles"/>
              <w:rPr>
                <w:color w:val="auto"/>
              </w:rPr>
            </w:pPr>
            <w:r w:rsidRPr="00FE7622">
              <w:rPr>
                <w:color w:val="auto"/>
              </w:rPr>
              <w:t>28</w:t>
            </w:r>
          </w:p>
        </w:tc>
      </w:tr>
      <w:tr w:rsidR="00F026E8" w:rsidRPr="00FE7622" w14:paraId="40246A19" w14:textId="77777777" w:rsidTr="00AF19CC">
        <w:trPr>
          <w:cantSplit/>
        </w:trPr>
        <w:tc>
          <w:tcPr>
            <w:tcW w:w="0" w:type="auto"/>
            <w:shd w:val="clear" w:color="auto" w:fill="auto"/>
          </w:tcPr>
          <w:p w14:paraId="61FD79FE" w14:textId="1DD115EA" w:rsidR="00F026E8" w:rsidRPr="00FE7622" w:rsidRDefault="00F026E8" w:rsidP="00AF19CC">
            <w:pPr>
              <w:pStyle w:val="72TabletextTablesTableFigureBoxstyles"/>
            </w:pPr>
            <w:r w:rsidRPr="00FE7622">
              <w:rPr>
                <w:color w:val="auto"/>
              </w:rPr>
              <w:t>King</w:t>
            </w:r>
            <w:r w:rsidR="00652ED8" w:rsidRPr="00FE7622">
              <w:rPr>
                <w:color w:val="auto"/>
              </w:rPr>
              <w:t>’</w:t>
            </w:r>
            <w:r w:rsidRPr="00FE7622">
              <w:rPr>
                <w:color w:val="auto"/>
              </w:rPr>
              <w:t>s</w:t>
            </w:r>
          </w:p>
        </w:tc>
        <w:tc>
          <w:tcPr>
            <w:tcW w:w="0" w:type="auto"/>
            <w:shd w:val="clear" w:color="auto" w:fill="auto"/>
          </w:tcPr>
          <w:p w14:paraId="543DDD3D" w14:textId="77777777" w:rsidR="00F026E8" w:rsidRPr="00FE7622" w:rsidRDefault="00F026E8" w:rsidP="00AF19CC">
            <w:pPr>
              <w:pStyle w:val="72TabletextTablesTableFigureBoxstyles"/>
            </w:pPr>
            <w:r w:rsidRPr="00FE7622">
              <w:rPr>
                <w:color w:val="auto"/>
              </w:rPr>
              <w:t>23</w:t>
            </w:r>
          </w:p>
        </w:tc>
        <w:tc>
          <w:tcPr>
            <w:tcW w:w="0" w:type="auto"/>
            <w:shd w:val="clear" w:color="auto" w:fill="auto"/>
          </w:tcPr>
          <w:p w14:paraId="645D5070" w14:textId="77777777" w:rsidR="00F026E8" w:rsidRPr="00FE7622" w:rsidRDefault="00F026E8" w:rsidP="00AF19CC">
            <w:pPr>
              <w:pStyle w:val="72TabletextTablesTableFigureBoxstyles"/>
            </w:pPr>
            <w:r w:rsidRPr="00FE7622">
              <w:rPr>
                <w:color w:val="auto"/>
              </w:rPr>
              <w:t>40</w:t>
            </w:r>
          </w:p>
        </w:tc>
        <w:tc>
          <w:tcPr>
            <w:tcW w:w="0" w:type="auto"/>
            <w:shd w:val="clear" w:color="auto" w:fill="auto"/>
          </w:tcPr>
          <w:p w14:paraId="6AE3CC60" w14:textId="77777777" w:rsidR="00F026E8" w:rsidRPr="00FE7622" w:rsidRDefault="00F026E8" w:rsidP="00AF19CC">
            <w:pPr>
              <w:pStyle w:val="72TabletextTablesTableFigureBoxstyles"/>
              <w:rPr>
                <w:color w:val="auto"/>
              </w:rPr>
            </w:pPr>
            <w:r w:rsidRPr="00FE7622">
              <w:rPr>
                <w:color w:val="auto"/>
              </w:rPr>
              <w:t>19</w:t>
            </w:r>
          </w:p>
        </w:tc>
      </w:tr>
      <w:tr w:rsidR="00F026E8" w:rsidRPr="00FE7622" w14:paraId="56D7F416" w14:textId="77777777" w:rsidTr="00AF19CC">
        <w:trPr>
          <w:cantSplit/>
        </w:trPr>
        <w:tc>
          <w:tcPr>
            <w:tcW w:w="0" w:type="auto"/>
            <w:shd w:val="clear" w:color="auto" w:fill="auto"/>
          </w:tcPr>
          <w:p w14:paraId="50071839" w14:textId="77777777" w:rsidR="00F026E8" w:rsidRPr="00FE7622" w:rsidRDefault="00F026E8" w:rsidP="00AF19CC">
            <w:pPr>
              <w:pStyle w:val="72TabletextTablesTableFigureBoxstyles"/>
            </w:pPr>
            <w:r w:rsidRPr="00FE7622">
              <w:rPr>
                <w:color w:val="auto"/>
              </w:rPr>
              <w:t>Leicester</w:t>
            </w:r>
          </w:p>
        </w:tc>
        <w:tc>
          <w:tcPr>
            <w:tcW w:w="0" w:type="auto"/>
            <w:shd w:val="clear" w:color="auto" w:fill="auto"/>
          </w:tcPr>
          <w:p w14:paraId="3B392610" w14:textId="77777777" w:rsidR="00F026E8" w:rsidRPr="00FE7622" w:rsidRDefault="00F026E8" w:rsidP="00AF19CC">
            <w:pPr>
              <w:pStyle w:val="72TabletextTablesTableFigureBoxstyles"/>
            </w:pPr>
            <w:r w:rsidRPr="00FE7622">
              <w:rPr>
                <w:color w:val="auto"/>
              </w:rPr>
              <w:t>29</w:t>
            </w:r>
          </w:p>
        </w:tc>
        <w:tc>
          <w:tcPr>
            <w:tcW w:w="0" w:type="auto"/>
            <w:shd w:val="clear" w:color="auto" w:fill="auto"/>
          </w:tcPr>
          <w:p w14:paraId="1A76081C" w14:textId="77777777" w:rsidR="00F026E8" w:rsidRPr="00FE7622" w:rsidRDefault="00F026E8" w:rsidP="00AF19CC">
            <w:pPr>
              <w:pStyle w:val="72TabletextTablesTableFigureBoxstyles"/>
            </w:pPr>
            <w:r w:rsidRPr="00FE7622">
              <w:rPr>
                <w:color w:val="auto"/>
              </w:rPr>
              <w:t>21</w:t>
            </w:r>
          </w:p>
        </w:tc>
        <w:tc>
          <w:tcPr>
            <w:tcW w:w="0" w:type="auto"/>
            <w:shd w:val="clear" w:color="auto" w:fill="auto"/>
          </w:tcPr>
          <w:p w14:paraId="3D21DAE9" w14:textId="77777777" w:rsidR="00F026E8" w:rsidRPr="00FE7622" w:rsidRDefault="00F026E8" w:rsidP="00AF19CC">
            <w:pPr>
              <w:pStyle w:val="72TabletextTablesTableFigureBoxstyles"/>
              <w:rPr>
                <w:color w:val="auto"/>
              </w:rPr>
            </w:pPr>
            <w:r w:rsidRPr="00FE7622">
              <w:rPr>
                <w:color w:val="auto"/>
              </w:rPr>
              <w:t>9</w:t>
            </w:r>
          </w:p>
        </w:tc>
      </w:tr>
      <w:tr w:rsidR="00F026E8" w:rsidRPr="00FE7622" w14:paraId="53CDE66E" w14:textId="77777777" w:rsidTr="00AF19CC">
        <w:trPr>
          <w:cantSplit/>
        </w:trPr>
        <w:tc>
          <w:tcPr>
            <w:tcW w:w="0" w:type="auto"/>
            <w:shd w:val="clear" w:color="auto" w:fill="auto"/>
          </w:tcPr>
          <w:p w14:paraId="35BBC8DC" w14:textId="77777777" w:rsidR="00F026E8" w:rsidRPr="00FE7622" w:rsidRDefault="00F026E8" w:rsidP="00AF19CC">
            <w:pPr>
              <w:pStyle w:val="72TabletextTablesTableFigureBoxstyles"/>
            </w:pPr>
            <w:r w:rsidRPr="00FE7622">
              <w:rPr>
                <w:color w:val="auto"/>
              </w:rPr>
              <w:t>Lothian</w:t>
            </w:r>
          </w:p>
        </w:tc>
        <w:tc>
          <w:tcPr>
            <w:tcW w:w="0" w:type="auto"/>
            <w:shd w:val="clear" w:color="auto" w:fill="auto"/>
          </w:tcPr>
          <w:p w14:paraId="001563BC" w14:textId="77777777" w:rsidR="00F026E8" w:rsidRPr="00FE7622" w:rsidRDefault="00F026E8" w:rsidP="00AF19CC">
            <w:pPr>
              <w:pStyle w:val="72TabletextTablesTableFigureBoxstyles"/>
            </w:pPr>
            <w:r w:rsidRPr="00FE7622">
              <w:rPr>
                <w:color w:val="auto"/>
              </w:rPr>
              <w:t>30</w:t>
            </w:r>
          </w:p>
        </w:tc>
        <w:tc>
          <w:tcPr>
            <w:tcW w:w="0" w:type="auto"/>
            <w:shd w:val="clear" w:color="auto" w:fill="auto"/>
          </w:tcPr>
          <w:p w14:paraId="4F9FE588" w14:textId="77777777" w:rsidR="00F026E8" w:rsidRPr="00FE7622" w:rsidRDefault="00F026E8" w:rsidP="00AF19CC">
            <w:pPr>
              <w:pStyle w:val="72TabletextTablesTableFigureBoxstyles"/>
            </w:pPr>
            <w:r w:rsidRPr="00FE7622">
              <w:rPr>
                <w:color w:val="auto"/>
              </w:rPr>
              <w:t>32</w:t>
            </w:r>
          </w:p>
        </w:tc>
        <w:tc>
          <w:tcPr>
            <w:tcW w:w="0" w:type="auto"/>
            <w:shd w:val="clear" w:color="auto" w:fill="auto"/>
          </w:tcPr>
          <w:p w14:paraId="44358220" w14:textId="77777777" w:rsidR="00F026E8" w:rsidRPr="00FE7622" w:rsidRDefault="00F026E8" w:rsidP="00AF19CC">
            <w:pPr>
              <w:pStyle w:val="72TabletextTablesTableFigureBoxstyles"/>
              <w:rPr>
                <w:color w:val="auto"/>
              </w:rPr>
            </w:pPr>
            <w:r w:rsidRPr="00FE7622">
              <w:rPr>
                <w:color w:val="auto"/>
              </w:rPr>
              <w:t>15</w:t>
            </w:r>
          </w:p>
        </w:tc>
      </w:tr>
      <w:tr w:rsidR="00F026E8" w:rsidRPr="00FE7622" w14:paraId="0A17887A" w14:textId="77777777" w:rsidTr="00AF19CC">
        <w:trPr>
          <w:cantSplit/>
        </w:trPr>
        <w:tc>
          <w:tcPr>
            <w:tcW w:w="0" w:type="auto"/>
            <w:shd w:val="clear" w:color="auto" w:fill="auto"/>
          </w:tcPr>
          <w:p w14:paraId="1D0DFDE1" w14:textId="77777777" w:rsidR="00F026E8" w:rsidRPr="00FE7622" w:rsidRDefault="00F026E8" w:rsidP="00AF19CC">
            <w:pPr>
              <w:pStyle w:val="72TabletextTablesTableFigureBoxstyles"/>
            </w:pPr>
            <w:r w:rsidRPr="00FE7622">
              <w:rPr>
                <w:color w:val="auto"/>
              </w:rPr>
              <w:t>Newcastle</w:t>
            </w:r>
          </w:p>
        </w:tc>
        <w:tc>
          <w:tcPr>
            <w:tcW w:w="0" w:type="auto"/>
            <w:shd w:val="clear" w:color="auto" w:fill="auto"/>
          </w:tcPr>
          <w:p w14:paraId="3CD15424" w14:textId="77777777" w:rsidR="00F026E8" w:rsidRPr="00FE7622" w:rsidRDefault="00F026E8" w:rsidP="00AF19CC">
            <w:pPr>
              <w:pStyle w:val="72TabletextTablesTableFigureBoxstyles"/>
            </w:pPr>
            <w:r w:rsidRPr="00FE7622">
              <w:rPr>
                <w:color w:val="auto"/>
              </w:rPr>
              <w:t>25</w:t>
            </w:r>
          </w:p>
        </w:tc>
        <w:tc>
          <w:tcPr>
            <w:tcW w:w="0" w:type="auto"/>
            <w:shd w:val="clear" w:color="auto" w:fill="auto"/>
          </w:tcPr>
          <w:p w14:paraId="4595B3C8" w14:textId="77777777" w:rsidR="00F026E8" w:rsidRPr="00FE7622" w:rsidRDefault="00F026E8" w:rsidP="00AF19CC">
            <w:pPr>
              <w:pStyle w:val="72TabletextTablesTableFigureBoxstyles"/>
            </w:pPr>
            <w:r w:rsidRPr="00FE7622">
              <w:rPr>
                <w:color w:val="auto"/>
              </w:rPr>
              <w:t>38</w:t>
            </w:r>
          </w:p>
        </w:tc>
        <w:tc>
          <w:tcPr>
            <w:tcW w:w="0" w:type="auto"/>
            <w:shd w:val="clear" w:color="auto" w:fill="auto"/>
          </w:tcPr>
          <w:p w14:paraId="1B1EDD2B" w14:textId="77777777" w:rsidR="00F026E8" w:rsidRPr="00FE7622" w:rsidRDefault="00F026E8" w:rsidP="00AF19CC">
            <w:pPr>
              <w:pStyle w:val="72TabletextTablesTableFigureBoxstyles"/>
              <w:rPr>
                <w:color w:val="auto"/>
              </w:rPr>
            </w:pPr>
            <w:r w:rsidRPr="00FE7622">
              <w:rPr>
                <w:color w:val="auto"/>
              </w:rPr>
              <w:t>20</w:t>
            </w:r>
          </w:p>
        </w:tc>
      </w:tr>
      <w:tr w:rsidR="00F026E8" w:rsidRPr="00FE7622" w14:paraId="24813D38" w14:textId="77777777" w:rsidTr="00AF19CC">
        <w:trPr>
          <w:cantSplit/>
        </w:trPr>
        <w:tc>
          <w:tcPr>
            <w:tcW w:w="0" w:type="auto"/>
            <w:shd w:val="clear" w:color="auto" w:fill="auto"/>
          </w:tcPr>
          <w:p w14:paraId="43DB593B" w14:textId="77777777" w:rsidR="00F026E8" w:rsidRPr="00FE7622" w:rsidRDefault="00F026E8" w:rsidP="00AF19CC">
            <w:pPr>
              <w:pStyle w:val="72TabletextTablesTableFigureBoxstyles"/>
            </w:pPr>
            <w:r w:rsidRPr="00FE7622">
              <w:rPr>
                <w:color w:val="auto"/>
              </w:rPr>
              <w:t>Birmingham</w:t>
            </w:r>
          </w:p>
        </w:tc>
        <w:tc>
          <w:tcPr>
            <w:tcW w:w="0" w:type="auto"/>
            <w:shd w:val="clear" w:color="auto" w:fill="auto"/>
          </w:tcPr>
          <w:p w14:paraId="50FB0D04" w14:textId="77777777" w:rsidR="00F026E8" w:rsidRPr="00FE7622" w:rsidRDefault="00F026E8" w:rsidP="00AF19CC">
            <w:pPr>
              <w:pStyle w:val="72TabletextTablesTableFigureBoxstyles"/>
            </w:pPr>
            <w:r w:rsidRPr="00FE7622">
              <w:rPr>
                <w:color w:val="auto"/>
              </w:rPr>
              <w:t>7</w:t>
            </w:r>
          </w:p>
        </w:tc>
        <w:tc>
          <w:tcPr>
            <w:tcW w:w="0" w:type="auto"/>
            <w:shd w:val="clear" w:color="auto" w:fill="auto"/>
          </w:tcPr>
          <w:p w14:paraId="4A2F3176" w14:textId="77777777" w:rsidR="00F026E8" w:rsidRPr="00FE7622" w:rsidRDefault="00F026E8" w:rsidP="00AF19CC">
            <w:pPr>
              <w:pStyle w:val="72TabletextTablesTableFigureBoxstyles"/>
            </w:pPr>
            <w:r w:rsidRPr="00FE7622">
              <w:rPr>
                <w:color w:val="auto"/>
              </w:rPr>
              <w:t>0</w:t>
            </w:r>
          </w:p>
        </w:tc>
        <w:tc>
          <w:tcPr>
            <w:tcW w:w="0" w:type="auto"/>
            <w:shd w:val="clear" w:color="auto" w:fill="auto"/>
          </w:tcPr>
          <w:p w14:paraId="0F8961FF" w14:textId="77777777" w:rsidR="00F026E8" w:rsidRPr="00FE7622" w:rsidRDefault="00F026E8" w:rsidP="00AF19CC">
            <w:pPr>
              <w:pStyle w:val="72TabletextTablesTableFigureBoxstyles"/>
              <w:rPr>
                <w:color w:val="auto"/>
              </w:rPr>
            </w:pPr>
            <w:r w:rsidRPr="00FE7622">
              <w:rPr>
                <w:color w:val="auto"/>
              </w:rPr>
              <w:t>0</w:t>
            </w:r>
          </w:p>
        </w:tc>
      </w:tr>
      <w:tr w:rsidR="00F026E8" w:rsidRPr="00FE7622" w14:paraId="62339040" w14:textId="77777777" w:rsidTr="00AF19CC">
        <w:trPr>
          <w:cantSplit/>
        </w:trPr>
        <w:tc>
          <w:tcPr>
            <w:tcW w:w="0" w:type="auto"/>
            <w:shd w:val="clear" w:color="auto" w:fill="auto"/>
          </w:tcPr>
          <w:p w14:paraId="0D164F0F" w14:textId="77777777" w:rsidR="00F026E8" w:rsidRPr="00FE7622" w:rsidRDefault="00F026E8" w:rsidP="00AF19CC">
            <w:pPr>
              <w:pStyle w:val="72TabletextTablesTableFigureBoxstyles"/>
            </w:pPr>
            <w:r w:rsidRPr="00FE7622">
              <w:rPr>
                <w:color w:val="auto"/>
              </w:rPr>
              <w:t>Bournemouth</w:t>
            </w:r>
          </w:p>
        </w:tc>
        <w:tc>
          <w:tcPr>
            <w:tcW w:w="0" w:type="auto"/>
            <w:shd w:val="clear" w:color="auto" w:fill="auto"/>
          </w:tcPr>
          <w:p w14:paraId="2BE3B164" w14:textId="77777777" w:rsidR="00F026E8" w:rsidRPr="00FE7622" w:rsidRDefault="00F026E8" w:rsidP="00AF19CC">
            <w:pPr>
              <w:pStyle w:val="72TabletextTablesTableFigureBoxstyles"/>
            </w:pPr>
            <w:r w:rsidRPr="00FE7622">
              <w:rPr>
                <w:color w:val="auto"/>
              </w:rPr>
              <w:t>18</w:t>
            </w:r>
          </w:p>
        </w:tc>
        <w:tc>
          <w:tcPr>
            <w:tcW w:w="0" w:type="auto"/>
            <w:shd w:val="clear" w:color="auto" w:fill="auto"/>
          </w:tcPr>
          <w:p w14:paraId="591912FB" w14:textId="77777777" w:rsidR="00F026E8" w:rsidRPr="00FE7622" w:rsidRDefault="00F026E8" w:rsidP="00AF19CC">
            <w:pPr>
              <w:pStyle w:val="72TabletextTablesTableFigureBoxstyles"/>
            </w:pPr>
            <w:r w:rsidRPr="00FE7622">
              <w:rPr>
                <w:color w:val="auto"/>
              </w:rPr>
              <w:t>0</w:t>
            </w:r>
          </w:p>
        </w:tc>
        <w:tc>
          <w:tcPr>
            <w:tcW w:w="0" w:type="auto"/>
            <w:shd w:val="clear" w:color="auto" w:fill="auto"/>
          </w:tcPr>
          <w:p w14:paraId="31FA163A" w14:textId="77777777" w:rsidR="00F026E8" w:rsidRPr="00FE7622" w:rsidRDefault="00F026E8" w:rsidP="00AF19CC">
            <w:pPr>
              <w:pStyle w:val="72TabletextTablesTableFigureBoxstyles"/>
              <w:rPr>
                <w:color w:val="auto"/>
              </w:rPr>
            </w:pPr>
            <w:r w:rsidRPr="00FE7622">
              <w:rPr>
                <w:color w:val="auto"/>
              </w:rPr>
              <w:t>0</w:t>
            </w:r>
          </w:p>
        </w:tc>
      </w:tr>
      <w:tr w:rsidR="00F026E8" w:rsidRPr="00FE7622" w14:paraId="7C66D76E" w14:textId="77777777" w:rsidTr="00AF19CC">
        <w:trPr>
          <w:cantSplit/>
        </w:trPr>
        <w:tc>
          <w:tcPr>
            <w:tcW w:w="0" w:type="auto"/>
            <w:shd w:val="clear" w:color="auto" w:fill="auto"/>
          </w:tcPr>
          <w:p w14:paraId="6F31D7A4" w14:textId="77777777" w:rsidR="00F026E8" w:rsidRPr="00FE7622" w:rsidRDefault="00F026E8" w:rsidP="00AF19CC">
            <w:pPr>
              <w:pStyle w:val="72TabletextTablesTableFigureBoxstyles"/>
            </w:pPr>
            <w:r w:rsidRPr="00FE7622">
              <w:rPr>
                <w:color w:val="auto"/>
              </w:rPr>
              <w:t>Nottingham</w:t>
            </w:r>
          </w:p>
        </w:tc>
        <w:tc>
          <w:tcPr>
            <w:tcW w:w="0" w:type="auto"/>
            <w:shd w:val="clear" w:color="auto" w:fill="auto"/>
          </w:tcPr>
          <w:p w14:paraId="662A9A19" w14:textId="77777777" w:rsidR="00F026E8" w:rsidRPr="00FE7622" w:rsidRDefault="00F026E8" w:rsidP="00AF19CC">
            <w:pPr>
              <w:pStyle w:val="72TabletextTablesTableFigureBoxstyles"/>
            </w:pPr>
            <w:r w:rsidRPr="00FE7622">
              <w:rPr>
                <w:color w:val="auto"/>
              </w:rPr>
              <w:t>28</w:t>
            </w:r>
          </w:p>
        </w:tc>
        <w:tc>
          <w:tcPr>
            <w:tcW w:w="0" w:type="auto"/>
            <w:shd w:val="clear" w:color="auto" w:fill="auto"/>
          </w:tcPr>
          <w:p w14:paraId="0B66A41A" w14:textId="77777777" w:rsidR="00F026E8" w:rsidRPr="00FE7622" w:rsidRDefault="00F026E8" w:rsidP="00AF19CC">
            <w:pPr>
              <w:pStyle w:val="72TabletextTablesTableFigureBoxstyles"/>
            </w:pPr>
            <w:r w:rsidRPr="00FE7622">
              <w:rPr>
                <w:color w:val="auto"/>
              </w:rPr>
              <w:t>19</w:t>
            </w:r>
          </w:p>
        </w:tc>
        <w:tc>
          <w:tcPr>
            <w:tcW w:w="0" w:type="auto"/>
            <w:shd w:val="clear" w:color="auto" w:fill="auto"/>
          </w:tcPr>
          <w:p w14:paraId="7BB225F3" w14:textId="77777777" w:rsidR="00F026E8" w:rsidRPr="00FE7622" w:rsidRDefault="00F026E8" w:rsidP="00AF19CC">
            <w:pPr>
              <w:pStyle w:val="72TabletextTablesTableFigureBoxstyles"/>
              <w:rPr>
                <w:color w:val="auto"/>
              </w:rPr>
            </w:pPr>
            <w:r w:rsidRPr="00FE7622">
              <w:rPr>
                <w:color w:val="auto"/>
              </w:rPr>
              <w:t>10</w:t>
            </w:r>
          </w:p>
        </w:tc>
      </w:tr>
      <w:tr w:rsidR="00F026E8" w:rsidRPr="00FE7622" w14:paraId="3EB88480" w14:textId="77777777" w:rsidTr="00AF19CC">
        <w:trPr>
          <w:cantSplit/>
        </w:trPr>
        <w:tc>
          <w:tcPr>
            <w:tcW w:w="0" w:type="auto"/>
            <w:shd w:val="clear" w:color="auto" w:fill="auto"/>
          </w:tcPr>
          <w:p w14:paraId="1063966B" w14:textId="77777777" w:rsidR="00F026E8" w:rsidRPr="00FE7622" w:rsidRDefault="00F026E8" w:rsidP="00AF19CC">
            <w:pPr>
              <w:pStyle w:val="72TabletextTablesTableFigureBoxstyles"/>
            </w:pPr>
            <w:r w:rsidRPr="00FE7622">
              <w:rPr>
                <w:color w:val="auto"/>
              </w:rPr>
              <w:t>Derby</w:t>
            </w:r>
          </w:p>
        </w:tc>
        <w:tc>
          <w:tcPr>
            <w:tcW w:w="0" w:type="auto"/>
            <w:shd w:val="clear" w:color="auto" w:fill="auto"/>
          </w:tcPr>
          <w:p w14:paraId="578E394C" w14:textId="77777777" w:rsidR="00F026E8" w:rsidRPr="00FE7622" w:rsidRDefault="00F026E8" w:rsidP="00AF19CC">
            <w:pPr>
              <w:pStyle w:val="72TabletextTablesTableFigureBoxstyles"/>
            </w:pPr>
            <w:r w:rsidRPr="00FE7622">
              <w:rPr>
                <w:color w:val="auto"/>
              </w:rPr>
              <w:t>14</w:t>
            </w:r>
          </w:p>
        </w:tc>
        <w:tc>
          <w:tcPr>
            <w:tcW w:w="0" w:type="auto"/>
            <w:shd w:val="clear" w:color="auto" w:fill="auto"/>
          </w:tcPr>
          <w:p w14:paraId="0638FBD1" w14:textId="77777777" w:rsidR="00F026E8" w:rsidRPr="00FE7622" w:rsidRDefault="00F026E8" w:rsidP="00AF19CC">
            <w:pPr>
              <w:pStyle w:val="72TabletextTablesTableFigureBoxstyles"/>
            </w:pPr>
            <w:r w:rsidRPr="00FE7622">
              <w:rPr>
                <w:color w:val="auto"/>
              </w:rPr>
              <w:t>13</w:t>
            </w:r>
          </w:p>
        </w:tc>
        <w:tc>
          <w:tcPr>
            <w:tcW w:w="0" w:type="auto"/>
            <w:shd w:val="clear" w:color="auto" w:fill="auto"/>
          </w:tcPr>
          <w:p w14:paraId="53214748" w14:textId="77777777" w:rsidR="00F026E8" w:rsidRPr="00FE7622" w:rsidRDefault="00F026E8" w:rsidP="00AF19CC">
            <w:pPr>
              <w:pStyle w:val="72TabletextTablesTableFigureBoxstyles"/>
              <w:rPr>
                <w:color w:val="auto"/>
              </w:rPr>
            </w:pPr>
            <w:r w:rsidRPr="00FE7622">
              <w:rPr>
                <w:color w:val="auto"/>
              </w:rPr>
              <w:t>7</w:t>
            </w:r>
          </w:p>
        </w:tc>
      </w:tr>
      <w:tr w:rsidR="00F026E8" w:rsidRPr="00FE7622" w14:paraId="3A94FD3A" w14:textId="77777777" w:rsidTr="00AF19CC">
        <w:trPr>
          <w:cantSplit/>
        </w:trPr>
        <w:tc>
          <w:tcPr>
            <w:tcW w:w="0" w:type="auto"/>
            <w:shd w:val="clear" w:color="auto" w:fill="auto"/>
          </w:tcPr>
          <w:p w14:paraId="47BFF931" w14:textId="77777777" w:rsidR="00F026E8" w:rsidRPr="00FE7622" w:rsidRDefault="00F026E8" w:rsidP="00AF19CC">
            <w:pPr>
              <w:pStyle w:val="72TabletextTablesTableFigureBoxstyles"/>
            </w:pPr>
            <w:r w:rsidRPr="00FE7622">
              <w:rPr>
                <w:color w:val="auto"/>
              </w:rPr>
              <w:t>Southampton</w:t>
            </w:r>
          </w:p>
        </w:tc>
        <w:tc>
          <w:tcPr>
            <w:tcW w:w="0" w:type="auto"/>
            <w:shd w:val="clear" w:color="auto" w:fill="auto"/>
          </w:tcPr>
          <w:p w14:paraId="2AC7ACB6" w14:textId="77777777" w:rsidR="00F026E8" w:rsidRPr="00FE7622" w:rsidRDefault="00F026E8" w:rsidP="00AF19CC">
            <w:pPr>
              <w:pStyle w:val="72TabletextTablesTableFigureBoxstyles"/>
            </w:pPr>
            <w:r w:rsidRPr="00FE7622">
              <w:rPr>
                <w:color w:val="auto"/>
              </w:rPr>
              <w:t>19</w:t>
            </w:r>
          </w:p>
        </w:tc>
        <w:tc>
          <w:tcPr>
            <w:tcW w:w="0" w:type="auto"/>
            <w:shd w:val="clear" w:color="auto" w:fill="auto"/>
          </w:tcPr>
          <w:p w14:paraId="493988C6" w14:textId="77777777" w:rsidR="00F026E8" w:rsidRPr="00FE7622" w:rsidRDefault="00F026E8" w:rsidP="00AF19CC">
            <w:pPr>
              <w:pStyle w:val="72TabletextTablesTableFigureBoxstyles"/>
            </w:pPr>
            <w:r w:rsidRPr="00FE7622">
              <w:rPr>
                <w:color w:val="auto"/>
              </w:rPr>
              <w:t>10</w:t>
            </w:r>
          </w:p>
        </w:tc>
        <w:tc>
          <w:tcPr>
            <w:tcW w:w="0" w:type="auto"/>
            <w:shd w:val="clear" w:color="auto" w:fill="auto"/>
          </w:tcPr>
          <w:p w14:paraId="3F40F8C9" w14:textId="77777777" w:rsidR="00F026E8" w:rsidRPr="00FE7622" w:rsidRDefault="00F026E8" w:rsidP="00AF19CC">
            <w:pPr>
              <w:pStyle w:val="72TabletextTablesTableFigureBoxstyles"/>
              <w:rPr>
                <w:color w:val="auto"/>
              </w:rPr>
            </w:pPr>
            <w:r w:rsidRPr="00FE7622">
              <w:rPr>
                <w:color w:val="auto"/>
              </w:rPr>
              <w:t>5</w:t>
            </w:r>
          </w:p>
        </w:tc>
      </w:tr>
      <w:tr w:rsidR="00F026E8" w:rsidRPr="00FE7622" w14:paraId="4C557367" w14:textId="77777777" w:rsidTr="00AF19CC">
        <w:trPr>
          <w:cantSplit/>
        </w:trPr>
        <w:tc>
          <w:tcPr>
            <w:tcW w:w="0" w:type="auto"/>
            <w:shd w:val="clear" w:color="auto" w:fill="auto"/>
          </w:tcPr>
          <w:p w14:paraId="00C37B7B" w14:textId="77777777" w:rsidR="00F026E8" w:rsidRPr="00FE7622" w:rsidRDefault="00F026E8" w:rsidP="00AF19CC">
            <w:pPr>
              <w:pStyle w:val="72TabletextTablesTableFigureBoxstyles"/>
            </w:pPr>
            <w:r w:rsidRPr="00FE7622">
              <w:rPr>
                <w:color w:val="auto"/>
              </w:rPr>
              <w:t>Aintree</w:t>
            </w:r>
          </w:p>
        </w:tc>
        <w:tc>
          <w:tcPr>
            <w:tcW w:w="0" w:type="auto"/>
            <w:shd w:val="clear" w:color="auto" w:fill="auto"/>
          </w:tcPr>
          <w:p w14:paraId="6664D641" w14:textId="77777777" w:rsidR="00F026E8" w:rsidRPr="00FE7622" w:rsidRDefault="00F026E8" w:rsidP="00AF19CC">
            <w:pPr>
              <w:pStyle w:val="72TabletextTablesTableFigureBoxstyles"/>
            </w:pPr>
            <w:r w:rsidRPr="00FE7622">
              <w:rPr>
                <w:color w:val="auto"/>
              </w:rPr>
              <w:t>5</w:t>
            </w:r>
          </w:p>
        </w:tc>
        <w:tc>
          <w:tcPr>
            <w:tcW w:w="0" w:type="auto"/>
            <w:shd w:val="clear" w:color="auto" w:fill="auto"/>
          </w:tcPr>
          <w:p w14:paraId="457C5AC6" w14:textId="77777777" w:rsidR="00F026E8" w:rsidRPr="00FE7622" w:rsidRDefault="00F026E8" w:rsidP="00AF19CC">
            <w:pPr>
              <w:pStyle w:val="72TabletextTablesTableFigureBoxstyles"/>
            </w:pPr>
            <w:r w:rsidRPr="00FE7622">
              <w:rPr>
                <w:color w:val="auto"/>
              </w:rPr>
              <w:t>1</w:t>
            </w:r>
          </w:p>
        </w:tc>
        <w:tc>
          <w:tcPr>
            <w:tcW w:w="0" w:type="auto"/>
            <w:shd w:val="clear" w:color="auto" w:fill="auto"/>
          </w:tcPr>
          <w:p w14:paraId="4EB33718" w14:textId="77777777" w:rsidR="00F026E8" w:rsidRPr="00FE7622" w:rsidRDefault="00F026E8" w:rsidP="00AF19CC">
            <w:pPr>
              <w:pStyle w:val="72TabletextTablesTableFigureBoxstyles"/>
              <w:rPr>
                <w:color w:val="auto"/>
              </w:rPr>
            </w:pPr>
            <w:r w:rsidRPr="00FE7622">
              <w:rPr>
                <w:color w:val="auto"/>
              </w:rPr>
              <w:t>0</w:t>
            </w:r>
          </w:p>
        </w:tc>
      </w:tr>
      <w:tr w:rsidR="00F026E8" w:rsidRPr="00FE7622" w14:paraId="1A4788D6" w14:textId="77777777" w:rsidTr="00AF19CC">
        <w:trPr>
          <w:cantSplit/>
        </w:trPr>
        <w:tc>
          <w:tcPr>
            <w:tcW w:w="0" w:type="auto"/>
            <w:shd w:val="clear" w:color="auto" w:fill="auto"/>
          </w:tcPr>
          <w:p w14:paraId="05390E8A" w14:textId="77777777" w:rsidR="00F026E8" w:rsidRPr="00FE7622" w:rsidRDefault="00F026E8" w:rsidP="00AF19CC">
            <w:pPr>
              <w:pStyle w:val="72TabletextTablesTableFigureBoxstyles"/>
            </w:pPr>
            <w:r w:rsidRPr="00FE7622">
              <w:rPr>
                <w:color w:val="auto"/>
              </w:rPr>
              <w:t>Tayside</w:t>
            </w:r>
          </w:p>
        </w:tc>
        <w:tc>
          <w:tcPr>
            <w:tcW w:w="0" w:type="auto"/>
            <w:shd w:val="clear" w:color="auto" w:fill="auto"/>
          </w:tcPr>
          <w:p w14:paraId="78EF689F" w14:textId="77777777" w:rsidR="00F026E8" w:rsidRPr="00FE7622" w:rsidRDefault="00F026E8" w:rsidP="00AF19CC">
            <w:pPr>
              <w:pStyle w:val="72TabletextTablesTableFigureBoxstyles"/>
            </w:pPr>
            <w:r w:rsidRPr="00FE7622">
              <w:rPr>
                <w:color w:val="auto"/>
              </w:rPr>
              <w:t>30</w:t>
            </w:r>
          </w:p>
        </w:tc>
        <w:tc>
          <w:tcPr>
            <w:tcW w:w="0" w:type="auto"/>
            <w:shd w:val="clear" w:color="auto" w:fill="auto"/>
          </w:tcPr>
          <w:p w14:paraId="138D8736" w14:textId="77777777" w:rsidR="00F026E8" w:rsidRPr="00FE7622" w:rsidRDefault="00F026E8" w:rsidP="00AF19CC">
            <w:pPr>
              <w:pStyle w:val="72TabletextTablesTableFigureBoxstyles"/>
            </w:pPr>
            <w:r w:rsidRPr="00FE7622">
              <w:rPr>
                <w:color w:val="auto"/>
              </w:rPr>
              <w:t>45</w:t>
            </w:r>
          </w:p>
        </w:tc>
        <w:tc>
          <w:tcPr>
            <w:tcW w:w="0" w:type="auto"/>
            <w:shd w:val="clear" w:color="auto" w:fill="auto"/>
          </w:tcPr>
          <w:p w14:paraId="3788E860" w14:textId="77777777" w:rsidR="00F026E8" w:rsidRPr="00FE7622" w:rsidRDefault="00F026E8" w:rsidP="00AF19CC">
            <w:pPr>
              <w:pStyle w:val="72TabletextTablesTableFigureBoxstyles"/>
              <w:rPr>
                <w:color w:val="auto"/>
              </w:rPr>
            </w:pPr>
            <w:r w:rsidRPr="00FE7622">
              <w:rPr>
                <w:color w:val="auto"/>
              </w:rPr>
              <w:t>17</w:t>
            </w:r>
          </w:p>
        </w:tc>
      </w:tr>
      <w:tr w:rsidR="00F026E8" w:rsidRPr="00FE7622" w14:paraId="70629646" w14:textId="77777777" w:rsidTr="00AF19CC">
        <w:trPr>
          <w:cantSplit/>
        </w:trPr>
        <w:tc>
          <w:tcPr>
            <w:tcW w:w="0" w:type="auto"/>
            <w:shd w:val="clear" w:color="auto" w:fill="auto"/>
          </w:tcPr>
          <w:p w14:paraId="45594B0A" w14:textId="33A98418" w:rsidR="00F026E8" w:rsidRPr="00FE7622" w:rsidRDefault="008F27B7" w:rsidP="00AF19CC">
            <w:pPr>
              <w:pStyle w:val="72TabletextTablesTableFigureBoxstyles"/>
            </w:pPr>
            <w:r w:rsidRPr="00FE7622">
              <w:rPr>
                <w:color w:val="auto"/>
              </w:rPr>
              <w:t>Total</w:t>
            </w:r>
          </w:p>
        </w:tc>
        <w:tc>
          <w:tcPr>
            <w:tcW w:w="0" w:type="auto"/>
            <w:shd w:val="clear" w:color="auto" w:fill="auto"/>
          </w:tcPr>
          <w:p w14:paraId="0DA09B8C" w14:textId="77777777" w:rsidR="00F026E8" w:rsidRPr="00FE7622" w:rsidRDefault="00F026E8" w:rsidP="00AF19CC">
            <w:pPr>
              <w:pStyle w:val="72TabletextTablesTableFigureBoxstyles"/>
            </w:pPr>
            <w:r w:rsidRPr="00FE7622">
              <w:rPr>
                <w:color w:val="auto"/>
              </w:rPr>
              <w:t>316</w:t>
            </w:r>
          </w:p>
        </w:tc>
        <w:tc>
          <w:tcPr>
            <w:tcW w:w="0" w:type="auto"/>
            <w:shd w:val="clear" w:color="auto" w:fill="auto"/>
          </w:tcPr>
          <w:p w14:paraId="657C0653" w14:textId="77777777" w:rsidR="00F026E8" w:rsidRPr="00FE7622" w:rsidRDefault="00F026E8" w:rsidP="00AF19CC">
            <w:pPr>
              <w:pStyle w:val="72TabletextTablesTableFigureBoxstyles"/>
            </w:pPr>
            <w:r w:rsidRPr="00FE7622">
              <w:rPr>
                <w:color w:val="auto"/>
              </w:rPr>
              <w:t>320</w:t>
            </w:r>
          </w:p>
        </w:tc>
        <w:tc>
          <w:tcPr>
            <w:tcW w:w="0" w:type="auto"/>
            <w:shd w:val="clear" w:color="auto" w:fill="auto"/>
          </w:tcPr>
          <w:p w14:paraId="620B8E65" w14:textId="77777777" w:rsidR="00F026E8" w:rsidRPr="00FE7622" w:rsidRDefault="00F026E8" w:rsidP="00AF19CC">
            <w:pPr>
              <w:pStyle w:val="72TabletextTablesTableFigureBoxstyles"/>
              <w:rPr>
                <w:color w:val="auto"/>
              </w:rPr>
            </w:pPr>
            <w:r w:rsidRPr="00FE7622">
              <w:rPr>
                <w:color w:val="auto"/>
              </w:rPr>
              <w:t>145</w:t>
            </w:r>
          </w:p>
        </w:tc>
      </w:tr>
    </w:tbl>
    <w:p w14:paraId="5541077B" w14:textId="005DF4C8" w:rsidR="00E038BF" w:rsidRPr="00FE7622" w:rsidRDefault="00E038BF" w:rsidP="00622B0F">
      <w:pPr>
        <w:pStyle w:val="43AppendixtitleHeadingsHeadingstyles"/>
      </w:pPr>
      <w:bookmarkStart w:id="163" w:name="_Toc79684572"/>
      <w:r w:rsidRPr="00FE7622">
        <w:t>Appendix 2</w:t>
      </w:r>
      <w:r w:rsidRPr="00FE7622">
        <w:t> </w:t>
      </w:r>
      <w:r w:rsidRPr="00FE7622">
        <w:t>Overall recruitment rates</w:t>
      </w:r>
      <w:bookmarkEnd w:id="163"/>
    </w:p>
    <w:p w14:paraId="5EA0B030" w14:textId="658D6165" w:rsidR="00F026E8" w:rsidRPr="00FE7622" w:rsidRDefault="00E038BF" w:rsidP="00F026E8">
      <w:pPr>
        <w:pStyle w:val="81FigurelegendTableFigureBoxstyles"/>
        <w:rPr>
          <w:lang w:val="en-GB"/>
        </w:rPr>
      </w:pPr>
      <w:r w:rsidRPr="00FE7622">
        <w:rPr>
          <w:b/>
        </w:rPr>
        <w:t>FIGURE 23</w:t>
      </w:r>
      <w:r w:rsidRPr="00FE7622">
        <w:rPr>
          <w:b/>
        </w:rPr>
        <w:t> </w:t>
      </w:r>
      <w:r w:rsidR="00F026E8" w:rsidRPr="00FE7622">
        <w:rPr>
          <w:lang w:val="en-GB"/>
        </w:rPr>
        <w:t>Recruitment rate vs</w:t>
      </w:r>
      <w:r w:rsidR="008F27B7" w:rsidRPr="00FE7622">
        <w:rPr>
          <w:lang w:val="en-GB"/>
        </w:rPr>
        <w:t>.</w:t>
      </w:r>
      <w:r w:rsidR="00F026E8" w:rsidRPr="00FE7622">
        <w:rPr>
          <w:lang w:val="en-GB"/>
        </w:rPr>
        <w:t xml:space="preserve"> time</w:t>
      </w:r>
      <w:r w:rsidR="008F27B7" w:rsidRPr="00FE7622">
        <w:rPr>
          <w:lang w:val="en-GB"/>
        </w:rPr>
        <w:t>.</w:t>
      </w:r>
    </w:p>
    <w:p w14:paraId="335FD8D4" w14:textId="6BD73730" w:rsidR="00E038BF" w:rsidRPr="00FE7622" w:rsidRDefault="00E038BF" w:rsidP="00622B0F">
      <w:pPr>
        <w:pStyle w:val="43AppendixtitleHeadingsHeadingstyles"/>
      </w:pPr>
      <w:bookmarkStart w:id="164" w:name="_Toc79684573"/>
      <w:r w:rsidRPr="00FE7622">
        <w:t>Appendix 3</w:t>
      </w:r>
      <w:r w:rsidRPr="00FE7622">
        <w:t> </w:t>
      </w:r>
      <w:r w:rsidRPr="00FE7622">
        <w:t>Derivation of an alternative prediction equation for muscle mass using bioimpedance data</w:t>
      </w:r>
      <w:bookmarkEnd w:id="164"/>
    </w:p>
    <w:p w14:paraId="2A2CB82E" w14:textId="1AB04148" w:rsidR="00F026E8" w:rsidRPr="00FE7622" w:rsidRDefault="00E038BF" w:rsidP="00F026E8">
      <w:pPr>
        <w:pStyle w:val="70TablelegendTablesTableFigureBoxstyles"/>
        <w:rPr>
          <w:lang w:val="en-GB"/>
        </w:rPr>
      </w:pPr>
      <w:r w:rsidRPr="00FE7622">
        <w:rPr>
          <w:b/>
        </w:rPr>
        <w:t>TABLE 21</w:t>
      </w:r>
      <w:r w:rsidRPr="00FE7622">
        <w:rPr>
          <w:b/>
        </w:rPr>
        <w:t> </w:t>
      </w:r>
      <w:r w:rsidR="00F026E8" w:rsidRPr="00FE7622">
        <w:rPr>
          <w:lang w:val="en-GB"/>
        </w:rPr>
        <w:t xml:space="preserve">Linear regression to predict </w:t>
      </w:r>
      <w:r w:rsidR="00F026E8" w:rsidRPr="00842651">
        <w:rPr>
          <w:lang w:val="en-GB"/>
        </w:rPr>
        <w:t>DXA</w:t>
      </w:r>
      <w:r w:rsidR="00F026E8" w:rsidRPr="00FE7622">
        <w:rPr>
          <w:lang w:val="en-GB"/>
        </w:rPr>
        <w:t xml:space="preserve"> measured appendicular muscle mass from bioimpedance results (</w:t>
      </w:r>
      <w:r w:rsidRPr="00FE7622">
        <w:rPr>
          <w:i/>
          <w:lang w:val="en-GB"/>
        </w:rPr>
        <w:t>n</w:t>
      </w:r>
      <w:r w:rsidR="004206F9" w:rsidRPr="00FE7622">
        <w:rPr>
          <w:bCs/>
          <w:lang w:val="en-GB"/>
        </w:rPr>
        <w:t> = </w:t>
      </w:r>
      <w:r w:rsidR="00F026E8" w:rsidRPr="00FE7622">
        <w:rPr>
          <w:lang w:val="en-GB"/>
        </w:rPr>
        <w:t>144)</w:t>
      </w:r>
    </w:p>
    <w:tbl>
      <w:tblPr>
        <w:tblW w:w="0" w:type="auto"/>
        <w:tblCellMar>
          <w:top w:w="40" w:type="dxa"/>
          <w:left w:w="60" w:type="dxa"/>
          <w:bottom w:w="40" w:type="dxa"/>
          <w:right w:w="60" w:type="dxa"/>
        </w:tblCellMar>
        <w:tblLook w:val="04A0" w:firstRow="1" w:lastRow="0" w:firstColumn="1" w:lastColumn="0" w:noHBand="0" w:noVBand="1"/>
      </w:tblPr>
      <w:tblGrid>
        <w:gridCol w:w="1283"/>
        <w:gridCol w:w="660"/>
        <w:gridCol w:w="703"/>
      </w:tblGrid>
      <w:tr w:rsidR="00F026E8" w:rsidRPr="00FE7622" w14:paraId="73188DD8" w14:textId="77777777" w:rsidTr="00AF19CC">
        <w:trPr>
          <w:cantSplit/>
        </w:trPr>
        <w:tc>
          <w:tcPr>
            <w:tcW w:w="0" w:type="auto"/>
            <w:shd w:val="clear" w:color="auto" w:fill="auto"/>
          </w:tcPr>
          <w:p w14:paraId="10A28E3C" w14:textId="77777777" w:rsidR="00F026E8" w:rsidRPr="00FE7622" w:rsidRDefault="00F026E8" w:rsidP="00AF19CC">
            <w:pPr>
              <w:pStyle w:val="710TableheadTablesTableFigureBoxstyles"/>
            </w:pPr>
          </w:p>
        </w:tc>
        <w:tc>
          <w:tcPr>
            <w:tcW w:w="0" w:type="auto"/>
            <w:shd w:val="clear" w:color="auto" w:fill="auto"/>
          </w:tcPr>
          <w:p w14:paraId="47375F40" w14:textId="76C53800" w:rsidR="00F026E8" w:rsidRPr="00FE7622" w:rsidRDefault="00E038BF" w:rsidP="00AF19CC">
            <w:pPr>
              <w:pStyle w:val="710TableheadTablesTableFigureBoxstyles"/>
            </w:pPr>
            <w:r w:rsidRPr="00FE7622">
              <w:t>B</w:t>
            </w:r>
          </w:p>
        </w:tc>
        <w:tc>
          <w:tcPr>
            <w:tcW w:w="0" w:type="auto"/>
            <w:shd w:val="clear" w:color="auto" w:fill="auto"/>
          </w:tcPr>
          <w:p w14:paraId="324DF0B8" w14:textId="070257D5" w:rsidR="00F026E8" w:rsidRPr="00FE7622" w:rsidRDefault="00E038BF" w:rsidP="00AF19CC">
            <w:pPr>
              <w:pStyle w:val="710TableheadTablesTableFigureBoxstyles"/>
            </w:pPr>
            <w:r w:rsidRPr="00FE7622">
              <w:rPr>
                <w:i/>
              </w:rPr>
              <w:t>p</w:t>
            </w:r>
            <w:r w:rsidRPr="00FE7622">
              <w:rPr>
                <w:iCs/>
              </w:rPr>
              <w:t>-value</w:t>
            </w:r>
          </w:p>
        </w:tc>
      </w:tr>
      <w:tr w:rsidR="00F026E8" w:rsidRPr="00FE7622" w14:paraId="33700F82" w14:textId="77777777" w:rsidTr="00AF19CC">
        <w:trPr>
          <w:cantSplit/>
        </w:trPr>
        <w:tc>
          <w:tcPr>
            <w:tcW w:w="0" w:type="auto"/>
            <w:shd w:val="clear" w:color="auto" w:fill="auto"/>
          </w:tcPr>
          <w:p w14:paraId="100690DB" w14:textId="77777777" w:rsidR="00F026E8" w:rsidRPr="00FE7622" w:rsidRDefault="00F026E8" w:rsidP="00AF19CC">
            <w:pPr>
              <w:pStyle w:val="72TabletextTablesTableFigureBoxstyles"/>
            </w:pPr>
            <w:r w:rsidRPr="00FE7622">
              <w:rPr>
                <w:color w:val="auto"/>
              </w:rPr>
              <w:t>Constant</w:t>
            </w:r>
          </w:p>
        </w:tc>
        <w:tc>
          <w:tcPr>
            <w:tcW w:w="0" w:type="auto"/>
            <w:shd w:val="clear" w:color="auto" w:fill="auto"/>
          </w:tcPr>
          <w:p w14:paraId="66EFDEEC" w14:textId="77777777" w:rsidR="00F026E8" w:rsidRPr="00FE7622" w:rsidRDefault="00F026E8" w:rsidP="00AF19CC">
            <w:pPr>
              <w:pStyle w:val="72TabletextTablesTableFigureBoxstyles"/>
              <w:rPr>
                <w:color w:val="auto"/>
              </w:rPr>
            </w:pPr>
            <w:r w:rsidRPr="00FE7622">
              <w:rPr>
                <w:color w:val="auto"/>
              </w:rPr>
              <w:t>10.251</w:t>
            </w:r>
          </w:p>
        </w:tc>
        <w:tc>
          <w:tcPr>
            <w:tcW w:w="0" w:type="auto"/>
            <w:shd w:val="clear" w:color="auto" w:fill="auto"/>
          </w:tcPr>
          <w:p w14:paraId="1B47FADF" w14:textId="77777777" w:rsidR="00F026E8" w:rsidRPr="00FE7622" w:rsidRDefault="00F026E8" w:rsidP="00AF19CC">
            <w:pPr>
              <w:pStyle w:val="72TabletextTablesTableFigureBoxstyles"/>
              <w:rPr>
                <w:color w:val="auto"/>
              </w:rPr>
            </w:pPr>
            <w:r w:rsidRPr="00FE7622">
              <w:rPr>
                <w:color w:val="auto"/>
              </w:rPr>
              <w:t>&lt; 0.001</w:t>
            </w:r>
          </w:p>
        </w:tc>
      </w:tr>
      <w:tr w:rsidR="00F026E8" w:rsidRPr="00FE7622" w14:paraId="66B91A62" w14:textId="77777777" w:rsidTr="00AF19CC">
        <w:trPr>
          <w:cantSplit/>
        </w:trPr>
        <w:tc>
          <w:tcPr>
            <w:tcW w:w="0" w:type="auto"/>
            <w:shd w:val="clear" w:color="auto" w:fill="auto"/>
          </w:tcPr>
          <w:p w14:paraId="6D0FC78A" w14:textId="77777777" w:rsidR="00F026E8" w:rsidRPr="00FE7622" w:rsidRDefault="00F026E8" w:rsidP="00AF19CC">
            <w:pPr>
              <w:pStyle w:val="72TabletextTablesTableFigureBoxstyles"/>
              <w:rPr>
                <w:color w:val="auto"/>
              </w:rPr>
            </w:pPr>
            <w:r w:rsidRPr="00FE7622">
              <w:rPr>
                <w:color w:val="auto"/>
              </w:rPr>
              <w:t>Age (per year)</w:t>
            </w:r>
          </w:p>
        </w:tc>
        <w:tc>
          <w:tcPr>
            <w:tcW w:w="0" w:type="auto"/>
            <w:shd w:val="clear" w:color="auto" w:fill="auto"/>
          </w:tcPr>
          <w:p w14:paraId="1166E6C2" w14:textId="77777777" w:rsidR="00F026E8" w:rsidRPr="00FE7622" w:rsidRDefault="00F026E8" w:rsidP="00AF19CC">
            <w:pPr>
              <w:pStyle w:val="72TabletextTablesTableFigureBoxstyles"/>
            </w:pPr>
            <w:r w:rsidRPr="00FE7622">
              <w:rPr>
                <w:color w:val="auto"/>
              </w:rPr>
              <w:t>–0.011</w:t>
            </w:r>
          </w:p>
        </w:tc>
        <w:tc>
          <w:tcPr>
            <w:tcW w:w="0" w:type="auto"/>
            <w:shd w:val="clear" w:color="auto" w:fill="auto"/>
          </w:tcPr>
          <w:p w14:paraId="33AF4A10" w14:textId="77777777" w:rsidR="00F026E8" w:rsidRPr="00FE7622" w:rsidRDefault="00F026E8" w:rsidP="00AF19CC">
            <w:pPr>
              <w:pStyle w:val="72TabletextTablesTableFigureBoxstyles"/>
              <w:rPr>
                <w:color w:val="auto"/>
              </w:rPr>
            </w:pPr>
            <w:r w:rsidRPr="00FE7622">
              <w:rPr>
                <w:color w:val="auto"/>
              </w:rPr>
              <w:t>0.22</w:t>
            </w:r>
          </w:p>
        </w:tc>
      </w:tr>
      <w:tr w:rsidR="00F026E8" w:rsidRPr="00FE7622" w14:paraId="27715E3F" w14:textId="77777777" w:rsidTr="00AF19CC">
        <w:trPr>
          <w:cantSplit/>
        </w:trPr>
        <w:tc>
          <w:tcPr>
            <w:tcW w:w="0" w:type="auto"/>
            <w:shd w:val="clear" w:color="auto" w:fill="auto"/>
          </w:tcPr>
          <w:p w14:paraId="663601E2" w14:textId="77777777" w:rsidR="00F026E8" w:rsidRPr="00FE7622" w:rsidRDefault="00F026E8" w:rsidP="00AF19CC">
            <w:pPr>
              <w:pStyle w:val="72TabletextTablesTableFigureBoxstyles"/>
            </w:pPr>
            <w:r w:rsidRPr="00FE7622">
              <w:rPr>
                <w:color w:val="auto"/>
              </w:rPr>
              <w:t>Male sex</w:t>
            </w:r>
          </w:p>
        </w:tc>
        <w:tc>
          <w:tcPr>
            <w:tcW w:w="0" w:type="auto"/>
            <w:shd w:val="clear" w:color="auto" w:fill="auto"/>
          </w:tcPr>
          <w:p w14:paraId="40F3249A" w14:textId="77777777" w:rsidR="00F026E8" w:rsidRPr="00FE7622" w:rsidRDefault="00F026E8" w:rsidP="00AF19CC">
            <w:pPr>
              <w:pStyle w:val="72TabletextTablesTableFigureBoxstyles"/>
              <w:rPr>
                <w:color w:val="auto"/>
              </w:rPr>
            </w:pPr>
            <w:r w:rsidRPr="00FE7622">
              <w:rPr>
                <w:color w:val="auto"/>
              </w:rPr>
              <w:t>0.999</w:t>
            </w:r>
          </w:p>
        </w:tc>
        <w:tc>
          <w:tcPr>
            <w:tcW w:w="0" w:type="auto"/>
            <w:shd w:val="clear" w:color="auto" w:fill="auto"/>
          </w:tcPr>
          <w:p w14:paraId="4ACFF831" w14:textId="77777777" w:rsidR="00F026E8" w:rsidRPr="00FE7622" w:rsidRDefault="00F026E8" w:rsidP="00AF19CC">
            <w:pPr>
              <w:pStyle w:val="72TabletextTablesTableFigureBoxstyles"/>
              <w:rPr>
                <w:color w:val="auto"/>
              </w:rPr>
            </w:pPr>
            <w:r w:rsidRPr="00FE7622">
              <w:rPr>
                <w:color w:val="auto"/>
              </w:rPr>
              <w:t>&lt; 0.001</w:t>
            </w:r>
          </w:p>
        </w:tc>
      </w:tr>
      <w:tr w:rsidR="00F026E8" w:rsidRPr="00FE7622" w14:paraId="6DB9C40F" w14:textId="77777777" w:rsidTr="00AF19CC">
        <w:trPr>
          <w:cantSplit/>
        </w:trPr>
        <w:tc>
          <w:tcPr>
            <w:tcW w:w="0" w:type="auto"/>
            <w:shd w:val="clear" w:color="auto" w:fill="auto"/>
          </w:tcPr>
          <w:p w14:paraId="433966AF" w14:textId="77777777" w:rsidR="00F026E8" w:rsidRPr="00FE7622" w:rsidRDefault="00F026E8" w:rsidP="00AF19CC">
            <w:pPr>
              <w:pStyle w:val="72TabletextTablesTableFigureBoxstyles"/>
              <w:rPr>
                <w:color w:val="auto"/>
              </w:rPr>
            </w:pPr>
            <w:r w:rsidRPr="00FE7622">
              <w:rPr>
                <w:color w:val="auto"/>
              </w:rPr>
              <w:t>Rz</w:t>
            </w:r>
          </w:p>
        </w:tc>
        <w:tc>
          <w:tcPr>
            <w:tcW w:w="0" w:type="auto"/>
            <w:shd w:val="clear" w:color="auto" w:fill="auto"/>
          </w:tcPr>
          <w:p w14:paraId="0C253293" w14:textId="77777777" w:rsidR="00F026E8" w:rsidRPr="00FE7622" w:rsidRDefault="00F026E8" w:rsidP="00AF19CC">
            <w:pPr>
              <w:pStyle w:val="72TabletextTablesTableFigureBoxstyles"/>
            </w:pPr>
            <w:r w:rsidRPr="00FE7622">
              <w:rPr>
                <w:color w:val="auto"/>
              </w:rPr>
              <w:t>–0.003</w:t>
            </w:r>
          </w:p>
        </w:tc>
        <w:tc>
          <w:tcPr>
            <w:tcW w:w="0" w:type="auto"/>
            <w:shd w:val="clear" w:color="auto" w:fill="auto"/>
          </w:tcPr>
          <w:p w14:paraId="0A11F391" w14:textId="77777777" w:rsidR="00F026E8" w:rsidRPr="00FE7622" w:rsidRDefault="00F026E8" w:rsidP="00AF19CC">
            <w:pPr>
              <w:pStyle w:val="72TabletextTablesTableFigureBoxstyles"/>
              <w:rPr>
                <w:color w:val="auto"/>
              </w:rPr>
            </w:pPr>
            <w:r w:rsidRPr="00FE7622">
              <w:rPr>
                <w:color w:val="auto"/>
              </w:rPr>
              <w:t>0.003</w:t>
            </w:r>
          </w:p>
        </w:tc>
      </w:tr>
      <w:tr w:rsidR="00F026E8" w:rsidRPr="00FE7622" w14:paraId="6281B8DB" w14:textId="77777777" w:rsidTr="00AF19CC">
        <w:trPr>
          <w:cantSplit/>
        </w:trPr>
        <w:tc>
          <w:tcPr>
            <w:tcW w:w="0" w:type="auto"/>
            <w:shd w:val="clear" w:color="auto" w:fill="auto"/>
          </w:tcPr>
          <w:p w14:paraId="0AA3711C" w14:textId="77777777" w:rsidR="00F026E8" w:rsidRPr="00FE7622" w:rsidRDefault="00F026E8" w:rsidP="00AF19CC">
            <w:pPr>
              <w:pStyle w:val="72TabletextTablesTableFigureBoxstyles"/>
            </w:pPr>
            <w:r w:rsidRPr="00FE7622">
              <w:rPr>
                <w:color w:val="auto"/>
              </w:rPr>
              <w:t>Xc</w:t>
            </w:r>
          </w:p>
        </w:tc>
        <w:tc>
          <w:tcPr>
            <w:tcW w:w="0" w:type="auto"/>
            <w:shd w:val="clear" w:color="auto" w:fill="auto"/>
          </w:tcPr>
          <w:p w14:paraId="3B36E3D0" w14:textId="77777777" w:rsidR="00F026E8" w:rsidRPr="00FE7622" w:rsidRDefault="00F026E8" w:rsidP="00AF19CC">
            <w:pPr>
              <w:pStyle w:val="72TabletextTablesTableFigureBoxstyles"/>
            </w:pPr>
            <w:r w:rsidRPr="00FE7622">
              <w:rPr>
                <w:color w:val="auto"/>
              </w:rPr>
              <w:t>0.011</w:t>
            </w:r>
          </w:p>
        </w:tc>
        <w:tc>
          <w:tcPr>
            <w:tcW w:w="0" w:type="auto"/>
            <w:shd w:val="clear" w:color="auto" w:fill="auto"/>
          </w:tcPr>
          <w:p w14:paraId="43CE7595" w14:textId="77777777" w:rsidR="00F026E8" w:rsidRPr="00FE7622" w:rsidRDefault="00F026E8" w:rsidP="00AF19CC">
            <w:pPr>
              <w:pStyle w:val="72TabletextTablesTableFigureBoxstyles"/>
              <w:rPr>
                <w:color w:val="auto"/>
              </w:rPr>
            </w:pPr>
            <w:r w:rsidRPr="00FE7622">
              <w:rPr>
                <w:color w:val="auto"/>
              </w:rPr>
              <w:t>0.12</w:t>
            </w:r>
          </w:p>
        </w:tc>
      </w:tr>
      <w:tr w:rsidR="00F026E8" w:rsidRPr="00FE7622" w14:paraId="3F88FBE0" w14:textId="77777777" w:rsidTr="00AF19CC">
        <w:trPr>
          <w:cantSplit/>
        </w:trPr>
        <w:tc>
          <w:tcPr>
            <w:tcW w:w="0" w:type="auto"/>
            <w:shd w:val="clear" w:color="auto" w:fill="auto"/>
          </w:tcPr>
          <w:p w14:paraId="259DA0B2" w14:textId="77777777" w:rsidR="00F026E8" w:rsidRPr="00FE7622" w:rsidRDefault="00F026E8" w:rsidP="00AF19CC">
            <w:pPr>
              <w:pStyle w:val="72TabletextTablesTableFigureBoxstyles"/>
              <w:rPr>
                <w:color w:val="auto"/>
              </w:rPr>
            </w:pPr>
            <w:r w:rsidRPr="00FE7622">
              <w:rPr>
                <w:color w:val="auto"/>
              </w:rPr>
              <w:t>Height (per cm)</w:t>
            </w:r>
          </w:p>
        </w:tc>
        <w:tc>
          <w:tcPr>
            <w:tcW w:w="0" w:type="auto"/>
            <w:shd w:val="clear" w:color="auto" w:fill="auto"/>
          </w:tcPr>
          <w:p w14:paraId="2B2A9F29" w14:textId="77777777" w:rsidR="00F026E8" w:rsidRPr="00FE7622" w:rsidRDefault="00F026E8" w:rsidP="00AF19CC">
            <w:pPr>
              <w:pStyle w:val="72TabletextTablesTableFigureBoxstyles"/>
              <w:rPr>
                <w:color w:val="auto"/>
              </w:rPr>
            </w:pPr>
            <w:r w:rsidRPr="00FE7622">
              <w:rPr>
                <w:color w:val="auto"/>
              </w:rPr>
              <w:t>–0.031</w:t>
            </w:r>
          </w:p>
        </w:tc>
        <w:tc>
          <w:tcPr>
            <w:tcW w:w="0" w:type="auto"/>
            <w:shd w:val="clear" w:color="auto" w:fill="auto"/>
          </w:tcPr>
          <w:p w14:paraId="1D28C136" w14:textId="77777777" w:rsidR="00F026E8" w:rsidRPr="00FE7622" w:rsidRDefault="00F026E8" w:rsidP="00AF19CC">
            <w:pPr>
              <w:pStyle w:val="72TabletextTablesTableFigureBoxstyles"/>
              <w:rPr>
                <w:color w:val="auto"/>
              </w:rPr>
            </w:pPr>
            <w:r w:rsidRPr="00FE7622">
              <w:rPr>
                <w:color w:val="auto"/>
              </w:rPr>
              <w:t>&lt; 0.001</w:t>
            </w:r>
          </w:p>
        </w:tc>
      </w:tr>
      <w:tr w:rsidR="00F026E8" w:rsidRPr="00FE7622" w14:paraId="39598BB5" w14:textId="77777777" w:rsidTr="00AF19CC">
        <w:trPr>
          <w:cantSplit/>
        </w:trPr>
        <w:tc>
          <w:tcPr>
            <w:tcW w:w="0" w:type="auto"/>
            <w:shd w:val="clear" w:color="auto" w:fill="auto"/>
          </w:tcPr>
          <w:p w14:paraId="05339041" w14:textId="77777777" w:rsidR="00F026E8" w:rsidRPr="00FE7622" w:rsidRDefault="00F026E8" w:rsidP="00AF19CC">
            <w:pPr>
              <w:pStyle w:val="72TabletextTablesTableFigureBoxstyles"/>
            </w:pPr>
            <w:r w:rsidRPr="00FE7622">
              <w:rPr>
                <w:color w:val="auto"/>
              </w:rPr>
              <w:t>Weight (per kg)</w:t>
            </w:r>
          </w:p>
        </w:tc>
        <w:tc>
          <w:tcPr>
            <w:tcW w:w="0" w:type="auto"/>
            <w:shd w:val="clear" w:color="auto" w:fill="auto"/>
          </w:tcPr>
          <w:p w14:paraId="2631B2DB" w14:textId="77777777" w:rsidR="00F026E8" w:rsidRPr="00FE7622" w:rsidRDefault="00F026E8" w:rsidP="00AF19CC">
            <w:pPr>
              <w:pStyle w:val="72TabletextTablesTableFigureBoxstyles"/>
              <w:rPr>
                <w:color w:val="auto"/>
              </w:rPr>
            </w:pPr>
            <w:r w:rsidRPr="00FE7622">
              <w:rPr>
                <w:color w:val="auto"/>
              </w:rPr>
              <w:t>0.044</w:t>
            </w:r>
          </w:p>
        </w:tc>
        <w:tc>
          <w:tcPr>
            <w:tcW w:w="0" w:type="auto"/>
            <w:shd w:val="clear" w:color="auto" w:fill="auto"/>
          </w:tcPr>
          <w:p w14:paraId="5BA73999" w14:textId="77777777" w:rsidR="00F026E8" w:rsidRPr="00FE7622" w:rsidRDefault="00F026E8" w:rsidP="00AF19CC">
            <w:pPr>
              <w:pStyle w:val="72TabletextTablesTableFigureBoxstyles"/>
              <w:rPr>
                <w:color w:val="auto"/>
              </w:rPr>
            </w:pPr>
            <w:r w:rsidRPr="00FE7622">
              <w:rPr>
                <w:color w:val="auto"/>
              </w:rPr>
              <w:t>&lt; 0.001</w:t>
            </w:r>
          </w:p>
        </w:tc>
      </w:tr>
      <w:tr w:rsidR="00F026E8" w:rsidRPr="00FE7622" w14:paraId="1BF4F314" w14:textId="77777777" w:rsidTr="00AF19CC">
        <w:trPr>
          <w:cantSplit/>
        </w:trPr>
        <w:tc>
          <w:tcPr>
            <w:tcW w:w="0" w:type="auto"/>
            <w:gridSpan w:val="3"/>
            <w:shd w:val="clear" w:color="auto" w:fill="auto"/>
          </w:tcPr>
          <w:p w14:paraId="7EA83669" w14:textId="77777777" w:rsidR="00F026E8" w:rsidRPr="00FE7622" w:rsidRDefault="00F026E8" w:rsidP="00AF19CC">
            <w:pPr>
              <w:pStyle w:val="75TablenotesTablesTableFigureBoxstyles"/>
              <w:rPr>
                <w:lang w:val="en-GB"/>
              </w:rPr>
            </w:pPr>
            <w:r w:rsidRPr="00FE7622">
              <w:rPr>
                <w:lang w:val="en-GB"/>
              </w:rPr>
              <w:t>Rz</w:t>
            </w:r>
            <w:r w:rsidR="00022CC3" w:rsidRPr="00FE7622">
              <w:rPr>
                <w:lang w:val="en-GB"/>
              </w:rPr>
              <w:t>,</w:t>
            </w:r>
            <w:r w:rsidRPr="00FE7622">
              <w:rPr>
                <w:lang w:val="en-GB"/>
              </w:rPr>
              <w:t xml:space="preserve"> </w:t>
            </w:r>
            <w:r w:rsidR="00022CC3" w:rsidRPr="00FE7622">
              <w:rPr>
                <w:lang w:val="en-GB"/>
              </w:rPr>
              <w:t>r</w:t>
            </w:r>
            <w:r w:rsidRPr="00FE7622">
              <w:rPr>
                <w:lang w:val="en-GB"/>
              </w:rPr>
              <w:t>esistance</w:t>
            </w:r>
            <w:r w:rsidR="00022CC3" w:rsidRPr="00FE7622">
              <w:rPr>
                <w:lang w:val="en-GB"/>
              </w:rPr>
              <w:t>;</w:t>
            </w:r>
            <w:r w:rsidRPr="00FE7622">
              <w:rPr>
                <w:lang w:val="en-GB"/>
              </w:rPr>
              <w:t xml:space="preserve"> Xc</w:t>
            </w:r>
            <w:r w:rsidR="00022CC3" w:rsidRPr="00FE7622">
              <w:rPr>
                <w:lang w:val="en-GB"/>
              </w:rPr>
              <w:t>,</w:t>
            </w:r>
            <w:r w:rsidRPr="00FE7622">
              <w:rPr>
                <w:lang w:val="en-GB"/>
              </w:rPr>
              <w:t xml:space="preserve"> </w:t>
            </w:r>
            <w:r w:rsidR="00022CC3" w:rsidRPr="00FE7622">
              <w:rPr>
                <w:lang w:val="en-GB"/>
              </w:rPr>
              <w:t>r</w:t>
            </w:r>
            <w:r w:rsidRPr="00FE7622">
              <w:rPr>
                <w:lang w:val="en-GB"/>
              </w:rPr>
              <w:t>eactance</w:t>
            </w:r>
            <w:r w:rsidR="00022CC3" w:rsidRPr="00FE7622">
              <w:rPr>
                <w:lang w:val="en-GB"/>
              </w:rPr>
              <w:t>.</w:t>
            </w:r>
          </w:p>
          <w:p w14:paraId="3EA35B5E" w14:textId="4D1F4833" w:rsidR="00022CC3" w:rsidRPr="00FE7622" w:rsidRDefault="00022CC3" w:rsidP="00AF19CC">
            <w:pPr>
              <w:pStyle w:val="75TablenotesTablesTableFigureBoxstyles"/>
              <w:rPr>
                <w:lang w:val="en-GB"/>
              </w:rPr>
            </w:pPr>
            <w:r w:rsidRPr="00FE7622">
              <w:rPr>
                <w:lang w:val="en-GB"/>
              </w:rPr>
              <w:t xml:space="preserve">Adjusted </w:t>
            </w:r>
            <w:r w:rsidR="00E038BF" w:rsidRPr="00FE7622">
              <w:rPr>
                <w:i/>
                <w:iCs/>
                <w:lang w:val="en-GB"/>
              </w:rPr>
              <w:t>R</w:t>
            </w:r>
            <w:r w:rsidR="00E038BF" w:rsidRPr="00FE7622">
              <w:rPr>
                <w:vertAlign w:val="superscript"/>
                <w:lang w:val="en-GB"/>
              </w:rPr>
              <w:t>2</w:t>
            </w:r>
            <w:r w:rsidRPr="00FE7622">
              <w:rPr>
                <w:lang w:val="en-GB"/>
              </w:rPr>
              <w:t> = 0.770</w:t>
            </w:r>
          </w:p>
        </w:tc>
      </w:tr>
    </w:tbl>
    <w:p w14:paraId="1F1DF626" w14:textId="7FF0355B" w:rsidR="00F026E8" w:rsidRPr="00FE7622" w:rsidRDefault="00E038BF" w:rsidP="004206F9">
      <w:pPr>
        <w:pStyle w:val="81FigurelegendTableFigureBoxstyles"/>
        <w:rPr>
          <w:lang w:val="en-GB"/>
        </w:rPr>
      </w:pPr>
      <w:r w:rsidRPr="00FE7622">
        <w:rPr>
          <w:b/>
        </w:rPr>
        <w:t>FIGURE 24</w:t>
      </w:r>
      <w:r w:rsidRPr="00FE7622">
        <w:rPr>
          <w:b/>
        </w:rPr>
        <w:t> </w:t>
      </w:r>
      <w:r w:rsidR="00F026E8" w:rsidRPr="00FE7622">
        <w:rPr>
          <w:lang w:val="en-GB"/>
        </w:rPr>
        <w:t xml:space="preserve">Bland–Altman plot </w:t>
      </w:r>
      <w:r w:rsidR="00991C2F" w:rsidRPr="00FE7622">
        <w:rPr>
          <w:lang w:val="en-GB"/>
        </w:rPr>
        <w:t>of the</w:t>
      </w:r>
      <w:r w:rsidR="00F026E8" w:rsidRPr="00FE7622">
        <w:rPr>
          <w:lang w:val="en-GB"/>
        </w:rPr>
        <w:t xml:space="preserve"> agreement between appendicular skeletal muscle mass estimated by bioimpedance (new </w:t>
      </w:r>
      <w:r w:rsidR="00F026E8" w:rsidRPr="00842651">
        <w:rPr>
          <w:lang w:val="en-GB"/>
        </w:rPr>
        <w:t>LACE</w:t>
      </w:r>
      <w:r w:rsidR="00F026E8" w:rsidRPr="00FE7622">
        <w:rPr>
          <w:lang w:val="en-GB"/>
        </w:rPr>
        <w:t xml:space="preserve"> cohort equation) and measured by </w:t>
      </w:r>
      <w:r w:rsidR="00F026E8" w:rsidRPr="00842651">
        <w:rPr>
          <w:lang w:val="en-GB"/>
        </w:rPr>
        <w:t>DXA</w:t>
      </w:r>
      <w:r w:rsidR="00F026E8" w:rsidRPr="00FE7622">
        <w:rPr>
          <w:lang w:val="en-GB"/>
        </w:rPr>
        <w:t xml:space="preserve"> at baseline (</w:t>
      </w:r>
      <w:r w:rsidRPr="00FE7622">
        <w:rPr>
          <w:i/>
          <w:lang w:val="en-GB"/>
        </w:rPr>
        <w:t>n</w:t>
      </w:r>
      <w:r w:rsidR="004206F9" w:rsidRPr="00FE7622">
        <w:rPr>
          <w:bCs/>
          <w:lang w:val="en-GB"/>
        </w:rPr>
        <w:t> = </w:t>
      </w:r>
      <w:r w:rsidR="00F026E8" w:rsidRPr="00FE7622">
        <w:rPr>
          <w:lang w:val="en-GB"/>
        </w:rPr>
        <w:t xml:space="preserve">144). </w:t>
      </w:r>
      <w:r w:rsidR="00991C2F" w:rsidRPr="00FE7622">
        <w:rPr>
          <w:lang w:val="en-GB"/>
        </w:rPr>
        <w:t>The g</w:t>
      </w:r>
      <w:r w:rsidR="00F026E8" w:rsidRPr="00FE7622">
        <w:rPr>
          <w:lang w:val="en-GB"/>
        </w:rPr>
        <w:t xml:space="preserve">raph shows </w:t>
      </w:r>
      <w:r w:rsidR="00991C2F" w:rsidRPr="00FE7622">
        <w:rPr>
          <w:lang w:val="en-GB"/>
        </w:rPr>
        <w:t xml:space="preserve">the </w:t>
      </w:r>
      <w:r w:rsidR="00F026E8" w:rsidRPr="00FE7622">
        <w:rPr>
          <w:lang w:val="en-GB"/>
        </w:rPr>
        <w:t xml:space="preserve">fit line with 95% </w:t>
      </w:r>
      <w:r w:rsidR="00F026E8" w:rsidRPr="00842651">
        <w:rPr>
          <w:lang w:val="en-GB"/>
        </w:rPr>
        <w:t>CI</w:t>
      </w:r>
      <w:r w:rsidR="00F026E8" w:rsidRPr="00FE7622">
        <w:rPr>
          <w:lang w:val="en-GB"/>
        </w:rPr>
        <w:t>. ASMMI</w:t>
      </w:r>
      <w:r w:rsidR="00991C2F" w:rsidRPr="00FE7622">
        <w:rPr>
          <w:lang w:val="en-GB"/>
        </w:rPr>
        <w:t>,</w:t>
      </w:r>
      <w:r w:rsidR="00F026E8" w:rsidRPr="00FE7622">
        <w:rPr>
          <w:lang w:val="en-GB"/>
        </w:rPr>
        <w:t xml:space="preserve"> </w:t>
      </w:r>
      <w:r w:rsidR="00991C2F" w:rsidRPr="00FE7622">
        <w:rPr>
          <w:lang w:val="en-GB"/>
        </w:rPr>
        <w:t>a</w:t>
      </w:r>
      <w:r w:rsidR="00F026E8" w:rsidRPr="00FE7622">
        <w:rPr>
          <w:lang w:val="en-GB"/>
        </w:rPr>
        <w:t>ppendicular skeletal muscle mass index</w:t>
      </w:r>
      <w:r w:rsidR="008F27B7" w:rsidRPr="00FE7622">
        <w:rPr>
          <w:lang w:val="en-GB"/>
        </w:rPr>
        <w:t>.</w:t>
      </w:r>
    </w:p>
    <w:p w14:paraId="597BFB59" w14:textId="25159464" w:rsidR="00E038BF" w:rsidRPr="00FE7622" w:rsidRDefault="00E038BF" w:rsidP="00675A0E">
      <w:pPr>
        <w:pStyle w:val="43AppendixtitleHeadingsHeadingstyles"/>
      </w:pPr>
      <w:bookmarkStart w:id="165" w:name="_Toc79684574"/>
      <w:r w:rsidRPr="00FE7622">
        <w:t>Appendix 4</w:t>
      </w:r>
      <w:r w:rsidRPr="00FE7622">
        <w:t> </w:t>
      </w:r>
      <w:r w:rsidRPr="00FE7622">
        <w:t xml:space="preserve">Systematic review of </w:t>
      </w:r>
      <w:r w:rsidRPr="00842651">
        <w:t>ACEi</w:t>
      </w:r>
      <w:r w:rsidRPr="00FE7622">
        <w:t>/angiotensin receptor blocker results</w:t>
      </w:r>
      <w:bookmarkEnd w:id="165"/>
    </w:p>
    <w:p w14:paraId="434D0E4D" w14:textId="3D0CD789" w:rsidR="00F026E8" w:rsidRPr="00FE7622" w:rsidRDefault="00E038BF" w:rsidP="00F026E8">
      <w:pPr>
        <w:pStyle w:val="81FigurelegendTableFigureBoxstyles"/>
        <w:rPr>
          <w:lang w:val="en-GB"/>
        </w:rPr>
      </w:pPr>
      <w:r w:rsidRPr="00FE7622">
        <w:rPr>
          <w:b/>
        </w:rPr>
        <w:t>FIGURE 25</w:t>
      </w:r>
      <w:r w:rsidRPr="00FE7622">
        <w:rPr>
          <w:b/>
        </w:rPr>
        <w:t> </w:t>
      </w:r>
      <w:r w:rsidR="00854C98" w:rsidRPr="00FE7622">
        <w:rPr>
          <w:bCs/>
        </w:rPr>
        <w:t>The</w:t>
      </w:r>
      <w:r w:rsidRPr="00FE7622">
        <w:rPr>
          <w:b/>
        </w:rPr>
        <w:t xml:space="preserve"> </w:t>
      </w:r>
      <w:r w:rsidR="00F026E8" w:rsidRPr="00842651">
        <w:t>PRISMA</w:t>
      </w:r>
      <w:r w:rsidR="00F026E8" w:rsidRPr="00FE7622">
        <w:t xml:space="preserve"> flow diagram.</w:t>
      </w:r>
      <w:r w:rsidR="00F026E8" w:rsidRPr="00FE7622">
        <w:rPr>
          <w:lang w:val="en-GB"/>
        </w:rPr>
        <w:t xml:space="preserve"> RCT</w:t>
      </w:r>
      <w:r w:rsidR="00022CC3" w:rsidRPr="00FE7622">
        <w:rPr>
          <w:lang w:val="en-GB"/>
        </w:rPr>
        <w:t>,</w:t>
      </w:r>
      <w:r w:rsidR="00F026E8" w:rsidRPr="00FE7622">
        <w:rPr>
          <w:lang w:val="en-GB"/>
        </w:rPr>
        <w:t xml:space="preserve"> </w:t>
      </w:r>
      <w:r w:rsidR="00022CC3" w:rsidRPr="00FE7622">
        <w:rPr>
          <w:lang w:val="en-GB"/>
        </w:rPr>
        <w:t>r</w:t>
      </w:r>
      <w:r w:rsidR="00F026E8" w:rsidRPr="00FE7622">
        <w:rPr>
          <w:lang w:val="en-GB"/>
        </w:rPr>
        <w:t>andomised controlled trial</w:t>
      </w:r>
      <w:r w:rsidR="008F27B7" w:rsidRPr="00FE7622">
        <w:rPr>
          <w:lang w:val="en-GB"/>
        </w:rPr>
        <w:t>.</w:t>
      </w:r>
    </w:p>
    <w:p w14:paraId="7E2A8293" w14:textId="3A750122" w:rsidR="00F026E8" w:rsidRPr="00FE7622" w:rsidRDefault="00E038BF" w:rsidP="00F026E8">
      <w:pPr>
        <w:pStyle w:val="70TablelegendTablesTableFigureBoxstyles"/>
        <w:rPr>
          <w:lang w:val="en-GB"/>
        </w:rPr>
      </w:pPr>
      <w:r w:rsidRPr="00FE7622">
        <w:rPr>
          <w:b/>
        </w:rPr>
        <w:t>TABLE 22</w:t>
      </w:r>
      <w:r w:rsidRPr="00FE7622">
        <w:rPr>
          <w:b/>
        </w:rPr>
        <w:t> </w:t>
      </w:r>
      <w:r w:rsidR="00F026E8" w:rsidRPr="00FE7622">
        <w:rPr>
          <w:lang w:val="en-GB"/>
        </w:rPr>
        <w:t>Studies included in</w:t>
      </w:r>
      <w:r w:rsidR="00022CC3" w:rsidRPr="00FE7622">
        <w:rPr>
          <w:lang w:val="en-GB"/>
        </w:rPr>
        <w:t xml:space="preserve"> the</w:t>
      </w:r>
      <w:r w:rsidR="00F026E8" w:rsidRPr="00FE7622">
        <w:rPr>
          <w:lang w:val="en-GB"/>
        </w:rPr>
        <w:t xml:space="preserve"> </w:t>
      </w:r>
      <w:r w:rsidR="00F026E8" w:rsidRPr="00842651">
        <w:rPr>
          <w:lang w:val="en-GB"/>
        </w:rPr>
        <w:t>ACEi</w:t>
      </w:r>
      <w:r w:rsidR="00F026E8" w:rsidRPr="00FE7622">
        <w:rPr>
          <w:lang w:val="en-GB"/>
        </w:rPr>
        <w:t>/</w:t>
      </w:r>
      <w:r w:rsidR="00F026E8" w:rsidRPr="00842651">
        <w:rPr>
          <w:lang w:val="en-GB"/>
        </w:rPr>
        <w:t>ARB</w:t>
      </w:r>
      <w:r w:rsidR="00F026E8" w:rsidRPr="00FE7622">
        <w:rPr>
          <w:lang w:val="en-GB"/>
        </w:rPr>
        <w:t xml:space="preserve"> systematic review (in addition to </w:t>
      </w:r>
      <w:r w:rsidR="00F026E8" w:rsidRPr="00842651">
        <w:rPr>
          <w:lang w:val="en-GB"/>
        </w:rPr>
        <w:t>LACE</w:t>
      </w:r>
      <w:r w:rsidR="00F026E8" w:rsidRPr="00FE7622">
        <w:rPr>
          <w:lang w:val="en-GB"/>
        </w:rPr>
        <w:t>)</w:t>
      </w:r>
    </w:p>
    <w:tbl>
      <w:tblPr>
        <w:tblW w:w="0" w:type="auto"/>
        <w:tblCellMar>
          <w:top w:w="40" w:type="dxa"/>
          <w:left w:w="60" w:type="dxa"/>
          <w:bottom w:w="40" w:type="dxa"/>
          <w:right w:w="60" w:type="dxa"/>
        </w:tblCellMar>
        <w:tblLook w:val="04A0" w:firstRow="1" w:lastRow="0" w:firstColumn="1" w:lastColumn="0" w:noHBand="0" w:noVBand="1"/>
      </w:tblPr>
      <w:tblGrid>
        <w:gridCol w:w="827"/>
        <w:gridCol w:w="647"/>
        <w:gridCol w:w="348"/>
        <w:gridCol w:w="511"/>
        <w:gridCol w:w="592"/>
        <w:gridCol w:w="942"/>
        <w:gridCol w:w="1203"/>
        <w:gridCol w:w="857"/>
        <w:gridCol w:w="830"/>
        <w:gridCol w:w="777"/>
        <w:gridCol w:w="777"/>
        <w:gridCol w:w="715"/>
      </w:tblGrid>
      <w:tr w:rsidR="00842EDD" w:rsidRPr="00FE7622" w14:paraId="0F42432D" w14:textId="77777777" w:rsidTr="00AF19CC">
        <w:trPr>
          <w:cantSplit/>
        </w:trPr>
        <w:tc>
          <w:tcPr>
            <w:tcW w:w="0" w:type="auto"/>
            <w:shd w:val="clear" w:color="auto" w:fill="auto"/>
          </w:tcPr>
          <w:p w14:paraId="3FE0431B" w14:textId="35B94AC5" w:rsidR="00F026E8" w:rsidRPr="00FE7622" w:rsidRDefault="00E038BF" w:rsidP="00AF19CC">
            <w:pPr>
              <w:pStyle w:val="710TableheadTablesTableFigureBoxstyles"/>
              <w:rPr>
                <w:rFonts w:eastAsia="Calibri"/>
              </w:rPr>
            </w:pPr>
            <w:r w:rsidRPr="00FE7622">
              <w:rPr>
                <w:rFonts w:eastAsia="Calibri"/>
              </w:rPr>
              <w:t>First author, year</w:t>
            </w:r>
          </w:p>
        </w:tc>
        <w:tc>
          <w:tcPr>
            <w:tcW w:w="0" w:type="auto"/>
            <w:shd w:val="clear" w:color="auto" w:fill="auto"/>
          </w:tcPr>
          <w:p w14:paraId="197B2679" w14:textId="2076441B" w:rsidR="00F026E8" w:rsidRPr="00FE7622" w:rsidRDefault="00E038BF" w:rsidP="00AF19CC">
            <w:pPr>
              <w:pStyle w:val="710TableheadTablesTableFigureBoxstyles"/>
              <w:rPr>
                <w:rFonts w:eastAsia="Calibri"/>
              </w:rPr>
            </w:pPr>
            <w:r w:rsidRPr="00FE7622">
              <w:rPr>
                <w:rFonts w:eastAsia="Calibri"/>
              </w:rPr>
              <w:t>Country</w:t>
            </w:r>
          </w:p>
        </w:tc>
        <w:tc>
          <w:tcPr>
            <w:tcW w:w="0" w:type="auto"/>
            <w:shd w:val="clear" w:color="auto" w:fill="auto"/>
          </w:tcPr>
          <w:p w14:paraId="247FA442" w14:textId="741F7FCB" w:rsidR="00F026E8" w:rsidRPr="00FE7622" w:rsidRDefault="00E038BF" w:rsidP="00AF19CC">
            <w:pPr>
              <w:pStyle w:val="710TableheadTablesTableFigureBoxstyles"/>
              <w:rPr>
                <w:rFonts w:eastAsia="Calibri"/>
                <w:i/>
                <w:iCs/>
              </w:rPr>
            </w:pPr>
            <w:r w:rsidRPr="00FE7622">
              <w:rPr>
                <w:rFonts w:eastAsia="Calibri"/>
                <w:i/>
                <w:iCs/>
              </w:rPr>
              <w:t>n</w:t>
            </w:r>
          </w:p>
        </w:tc>
        <w:tc>
          <w:tcPr>
            <w:tcW w:w="0" w:type="auto"/>
            <w:shd w:val="clear" w:color="auto" w:fill="auto"/>
          </w:tcPr>
          <w:p w14:paraId="4FCD4993" w14:textId="77769397" w:rsidR="00F026E8" w:rsidRPr="00FE7622" w:rsidRDefault="00E038BF" w:rsidP="00AF19CC">
            <w:pPr>
              <w:pStyle w:val="710TableheadTablesTableFigureBoxstyles"/>
              <w:rPr>
                <w:rFonts w:eastAsia="Calibri"/>
              </w:rPr>
            </w:pPr>
            <w:r w:rsidRPr="00FE7622">
              <w:rPr>
                <w:rFonts w:eastAsia="Calibri"/>
              </w:rPr>
              <w:t>Mean age (years)</w:t>
            </w:r>
          </w:p>
        </w:tc>
        <w:tc>
          <w:tcPr>
            <w:tcW w:w="0" w:type="auto"/>
            <w:shd w:val="clear" w:color="auto" w:fill="auto"/>
          </w:tcPr>
          <w:p w14:paraId="118C5ED4" w14:textId="1B090A02" w:rsidR="00F026E8" w:rsidRPr="00FE7622" w:rsidRDefault="00E038BF" w:rsidP="00AF19CC">
            <w:pPr>
              <w:pStyle w:val="710TableheadTablesTableFigureBoxstyles"/>
              <w:rPr>
                <w:rFonts w:eastAsia="Calibri"/>
              </w:rPr>
            </w:pPr>
            <w:r w:rsidRPr="00FE7622">
              <w:rPr>
                <w:rFonts w:eastAsia="Calibri"/>
              </w:rPr>
              <w:t>Women (%)</w:t>
            </w:r>
          </w:p>
        </w:tc>
        <w:tc>
          <w:tcPr>
            <w:tcW w:w="0" w:type="auto"/>
            <w:shd w:val="clear" w:color="auto" w:fill="auto"/>
          </w:tcPr>
          <w:p w14:paraId="511E96FF" w14:textId="44D1B5D5" w:rsidR="00F026E8" w:rsidRPr="00FE7622" w:rsidRDefault="00E038BF" w:rsidP="00AF19CC">
            <w:pPr>
              <w:pStyle w:val="710TableheadTablesTableFigureBoxstyles"/>
              <w:rPr>
                <w:rFonts w:eastAsia="Calibri"/>
              </w:rPr>
            </w:pPr>
            <w:r w:rsidRPr="00FE7622">
              <w:rPr>
                <w:rFonts w:eastAsia="Calibri"/>
              </w:rPr>
              <w:t>Inclusion criteria</w:t>
            </w:r>
          </w:p>
        </w:tc>
        <w:tc>
          <w:tcPr>
            <w:tcW w:w="0" w:type="auto"/>
            <w:shd w:val="clear" w:color="auto" w:fill="auto"/>
          </w:tcPr>
          <w:p w14:paraId="1D93A661" w14:textId="3C3994AE" w:rsidR="00F026E8" w:rsidRPr="00FE7622" w:rsidRDefault="00E038BF" w:rsidP="00AF19CC">
            <w:pPr>
              <w:pStyle w:val="710TableheadTablesTableFigureBoxstyles"/>
              <w:rPr>
                <w:rFonts w:eastAsia="Calibri"/>
              </w:rPr>
            </w:pPr>
            <w:r w:rsidRPr="00FE7622">
              <w:rPr>
                <w:rFonts w:eastAsia="Calibri"/>
              </w:rPr>
              <w:t>Baseline function</w:t>
            </w:r>
          </w:p>
        </w:tc>
        <w:tc>
          <w:tcPr>
            <w:tcW w:w="0" w:type="auto"/>
            <w:shd w:val="clear" w:color="auto" w:fill="auto"/>
          </w:tcPr>
          <w:p w14:paraId="4462A6BD" w14:textId="0809AB0F" w:rsidR="00F026E8" w:rsidRPr="00FE7622" w:rsidRDefault="00E038BF" w:rsidP="00AF19CC">
            <w:pPr>
              <w:pStyle w:val="710TableheadTablesTableFigureBoxstyles"/>
              <w:rPr>
                <w:rFonts w:eastAsia="Calibri"/>
              </w:rPr>
            </w:pPr>
            <w:r w:rsidRPr="00FE7622">
              <w:rPr>
                <w:rFonts w:eastAsia="Calibri"/>
              </w:rPr>
              <w:t>Intervention</w:t>
            </w:r>
          </w:p>
        </w:tc>
        <w:tc>
          <w:tcPr>
            <w:tcW w:w="0" w:type="auto"/>
            <w:shd w:val="clear" w:color="auto" w:fill="auto"/>
          </w:tcPr>
          <w:p w14:paraId="17A36FCA" w14:textId="75F41BBD" w:rsidR="00F026E8" w:rsidRPr="00FE7622" w:rsidRDefault="00E038BF" w:rsidP="00AF19CC">
            <w:pPr>
              <w:pStyle w:val="710TableheadTablesTableFigureBoxstyles"/>
              <w:rPr>
                <w:rFonts w:eastAsia="Calibri"/>
              </w:rPr>
            </w:pPr>
            <w:r w:rsidRPr="00FE7622">
              <w:rPr>
                <w:rFonts w:eastAsia="Calibri"/>
              </w:rPr>
              <w:t>Comparator</w:t>
            </w:r>
          </w:p>
        </w:tc>
        <w:tc>
          <w:tcPr>
            <w:tcW w:w="0" w:type="auto"/>
            <w:shd w:val="clear" w:color="auto" w:fill="auto"/>
          </w:tcPr>
          <w:p w14:paraId="740444AA" w14:textId="30D911D4" w:rsidR="00F026E8" w:rsidRPr="00FE7622" w:rsidRDefault="00E038BF" w:rsidP="00AF19CC">
            <w:pPr>
              <w:pStyle w:val="710TableheadTablesTableFigureBoxstyles"/>
              <w:rPr>
                <w:rFonts w:eastAsia="Calibri"/>
              </w:rPr>
            </w:pPr>
            <w:r w:rsidRPr="00FE7622">
              <w:rPr>
                <w:rFonts w:eastAsia="Calibri"/>
              </w:rPr>
              <w:t>Primary outcome</w:t>
            </w:r>
          </w:p>
        </w:tc>
        <w:tc>
          <w:tcPr>
            <w:tcW w:w="0" w:type="auto"/>
            <w:shd w:val="clear" w:color="auto" w:fill="auto"/>
          </w:tcPr>
          <w:p w14:paraId="62CB1502" w14:textId="128DC8B6" w:rsidR="00F026E8" w:rsidRPr="00FE7622" w:rsidRDefault="00E038BF" w:rsidP="00AF19CC">
            <w:pPr>
              <w:pStyle w:val="710TableheadTablesTableFigureBoxstyles"/>
              <w:rPr>
                <w:rFonts w:eastAsia="Calibri"/>
              </w:rPr>
            </w:pPr>
            <w:r w:rsidRPr="00FE7622">
              <w:rPr>
                <w:rFonts w:eastAsia="Calibri"/>
              </w:rPr>
              <w:t>Secondary outcomes</w:t>
            </w:r>
          </w:p>
        </w:tc>
        <w:tc>
          <w:tcPr>
            <w:tcW w:w="0" w:type="auto"/>
            <w:shd w:val="clear" w:color="auto" w:fill="auto"/>
          </w:tcPr>
          <w:p w14:paraId="23F1D342" w14:textId="6459A7A9" w:rsidR="00F026E8" w:rsidRPr="00FE7622" w:rsidRDefault="00E038BF" w:rsidP="00AF19CC">
            <w:pPr>
              <w:pStyle w:val="710TableheadTablesTableFigureBoxstyles"/>
              <w:rPr>
                <w:rFonts w:eastAsia="Calibri"/>
              </w:rPr>
            </w:pPr>
            <w:r w:rsidRPr="00FE7622">
              <w:rPr>
                <w:rFonts w:eastAsia="Calibri"/>
              </w:rPr>
              <w:t>Duration of treatment</w:t>
            </w:r>
          </w:p>
        </w:tc>
      </w:tr>
      <w:tr w:rsidR="00842EDD" w:rsidRPr="00FE7622" w14:paraId="6881C6FD" w14:textId="77777777" w:rsidTr="00AF19CC">
        <w:trPr>
          <w:cantSplit/>
        </w:trPr>
        <w:tc>
          <w:tcPr>
            <w:tcW w:w="0" w:type="auto"/>
            <w:shd w:val="clear" w:color="auto" w:fill="auto"/>
          </w:tcPr>
          <w:p w14:paraId="38D34911" w14:textId="4421A9E3" w:rsidR="00F026E8" w:rsidRPr="00FE7622" w:rsidRDefault="00F026E8" w:rsidP="00AF19CC">
            <w:pPr>
              <w:pStyle w:val="72TabletextTablesTableFigureBoxstyles"/>
              <w:rPr>
                <w:rFonts w:eastAsia="Calibri"/>
              </w:rPr>
            </w:pPr>
            <w:r w:rsidRPr="00FE7622">
              <w:rPr>
                <w:rFonts w:eastAsia="Calibri"/>
                <w:color w:val="auto"/>
              </w:rPr>
              <w:t>Leonetti</w:t>
            </w:r>
            <w:r w:rsidR="008F27B7" w:rsidRPr="00FE7622">
              <w:rPr>
                <w:rFonts w:eastAsia="Calibri"/>
                <w:color w:val="auto"/>
              </w:rPr>
              <w:t xml:space="preserve">, </w:t>
            </w:r>
            <w:r w:rsidRPr="00FE7622">
              <w:rPr>
                <w:rFonts w:eastAsia="Calibri"/>
                <w:color w:val="auto"/>
              </w:rPr>
              <w:t>1991</w:t>
            </w:r>
            <w:r w:rsidR="00E038BF" w:rsidRPr="00FE7622">
              <w:rPr>
                <w:rFonts w:eastAsia="Calibri"/>
                <w:color w:val="auto"/>
                <w:vertAlign w:val="superscript"/>
              </w:rPr>
              <w:t>80</w:t>
            </w:r>
          </w:p>
        </w:tc>
        <w:tc>
          <w:tcPr>
            <w:tcW w:w="0" w:type="auto"/>
            <w:shd w:val="clear" w:color="auto" w:fill="auto"/>
          </w:tcPr>
          <w:p w14:paraId="1CA6D0A4" w14:textId="77777777" w:rsidR="00F026E8" w:rsidRPr="00FE7622" w:rsidRDefault="00F026E8" w:rsidP="00AF19CC">
            <w:pPr>
              <w:pStyle w:val="72TabletextTablesTableFigureBoxstyles"/>
              <w:rPr>
                <w:rFonts w:eastAsia="Calibri"/>
              </w:rPr>
            </w:pPr>
            <w:r w:rsidRPr="00FE7622">
              <w:rPr>
                <w:rFonts w:eastAsia="Calibri"/>
                <w:color w:val="auto"/>
              </w:rPr>
              <w:t>Italy</w:t>
            </w:r>
          </w:p>
        </w:tc>
        <w:tc>
          <w:tcPr>
            <w:tcW w:w="0" w:type="auto"/>
            <w:shd w:val="clear" w:color="auto" w:fill="auto"/>
          </w:tcPr>
          <w:p w14:paraId="469EF7A6" w14:textId="77777777" w:rsidR="00F026E8" w:rsidRPr="00FE7622" w:rsidRDefault="00F026E8" w:rsidP="00AF19CC">
            <w:pPr>
              <w:pStyle w:val="72TabletextTablesTableFigureBoxstyles"/>
              <w:rPr>
                <w:rFonts w:eastAsia="Calibri"/>
              </w:rPr>
            </w:pPr>
            <w:r w:rsidRPr="00FE7622">
              <w:rPr>
                <w:rFonts w:eastAsia="Calibri"/>
                <w:color w:val="auto"/>
              </w:rPr>
              <w:t>36</w:t>
            </w:r>
          </w:p>
        </w:tc>
        <w:tc>
          <w:tcPr>
            <w:tcW w:w="0" w:type="auto"/>
            <w:shd w:val="clear" w:color="auto" w:fill="auto"/>
          </w:tcPr>
          <w:p w14:paraId="5B8F6D80" w14:textId="77777777" w:rsidR="00F026E8" w:rsidRPr="00FE7622" w:rsidRDefault="00F026E8" w:rsidP="00AF19CC">
            <w:pPr>
              <w:pStyle w:val="72TabletextTablesTableFigureBoxstyles"/>
              <w:rPr>
                <w:rFonts w:eastAsia="Calibri"/>
              </w:rPr>
            </w:pPr>
            <w:r w:rsidRPr="00FE7622">
              <w:rPr>
                <w:rFonts w:eastAsia="Calibri"/>
                <w:color w:val="auto"/>
              </w:rPr>
              <w:t>66</w:t>
            </w:r>
          </w:p>
        </w:tc>
        <w:tc>
          <w:tcPr>
            <w:tcW w:w="0" w:type="auto"/>
            <w:shd w:val="clear" w:color="auto" w:fill="auto"/>
          </w:tcPr>
          <w:p w14:paraId="2868AB4E" w14:textId="77777777" w:rsidR="00F026E8" w:rsidRPr="00FE7622" w:rsidRDefault="00F026E8" w:rsidP="00AF19CC">
            <w:pPr>
              <w:pStyle w:val="72TabletextTablesTableFigureBoxstyles"/>
              <w:rPr>
                <w:rFonts w:eastAsia="Calibri"/>
              </w:rPr>
            </w:pPr>
            <w:r w:rsidRPr="00FE7622">
              <w:rPr>
                <w:rFonts w:eastAsia="Calibri"/>
                <w:color w:val="auto"/>
              </w:rPr>
              <w:t>72</w:t>
            </w:r>
          </w:p>
        </w:tc>
        <w:tc>
          <w:tcPr>
            <w:tcW w:w="0" w:type="auto"/>
            <w:shd w:val="clear" w:color="auto" w:fill="auto"/>
          </w:tcPr>
          <w:p w14:paraId="5280A713" w14:textId="77777777" w:rsidR="00F026E8" w:rsidRPr="00FE7622" w:rsidRDefault="00F026E8" w:rsidP="00AF19CC">
            <w:pPr>
              <w:pStyle w:val="72TabletextTablesTableFigureBoxstyles"/>
              <w:rPr>
                <w:rFonts w:eastAsia="Calibri"/>
              </w:rPr>
            </w:pPr>
            <w:r w:rsidRPr="00FE7622">
              <w:rPr>
                <w:rFonts w:eastAsia="Calibri"/>
                <w:color w:val="auto"/>
              </w:rPr>
              <w:t>Older people with hypertension</w:t>
            </w:r>
          </w:p>
        </w:tc>
        <w:tc>
          <w:tcPr>
            <w:tcW w:w="0" w:type="auto"/>
            <w:shd w:val="clear" w:color="auto" w:fill="auto"/>
          </w:tcPr>
          <w:p w14:paraId="2C9678A4" w14:textId="2D8A7801" w:rsidR="00F026E8" w:rsidRPr="00FE7622" w:rsidRDefault="00F026E8" w:rsidP="00AF19CC">
            <w:pPr>
              <w:pStyle w:val="72TabletextTablesTableFigureBoxstyles"/>
              <w:rPr>
                <w:rFonts w:eastAsia="Calibri"/>
              </w:rPr>
            </w:pPr>
            <w:r w:rsidRPr="00FE7622">
              <w:rPr>
                <w:rFonts w:eastAsia="Calibri"/>
                <w:color w:val="auto"/>
              </w:rPr>
              <w:t>Cycle endurance time</w:t>
            </w:r>
            <w:r w:rsidR="00F1466D" w:rsidRPr="00FE7622">
              <w:rPr>
                <w:rFonts w:eastAsia="Calibri"/>
                <w:color w:val="auto"/>
              </w:rPr>
              <w:t xml:space="preserve"> of</w:t>
            </w:r>
            <w:r w:rsidRPr="00FE7622">
              <w:rPr>
                <w:rFonts w:eastAsia="Calibri"/>
                <w:color w:val="auto"/>
              </w:rPr>
              <w:t xml:space="preserve"> 536</w:t>
            </w:r>
            <w:r w:rsidR="008F27B7" w:rsidRPr="00FE7622">
              <w:rPr>
                <w:rFonts w:eastAsia="Calibri"/>
                <w:color w:val="auto"/>
              </w:rPr>
              <w:t xml:space="preserve"> </w:t>
            </w:r>
            <w:r w:rsidRPr="00FE7622">
              <w:rPr>
                <w:rFonts w:eastAsia="Calibri"/>
                <w:color w:val="auto"/>
              </w:rPr>
              <w:t>s</w:t>
            </w:r>
            <w:r w:rsidR="008F27B7" w:rsidRPr="00FE7622">
              <w:rPr>
                <w:rFonts w:eastAsia="Calibri"/>
                <w:color w:val="auto"/>
              </w:rPr>
              <w:t>econds</w:t>
            </w:r>
          </w:p>
        </w:tc>
        <w:tc>
          <w:tcPr>
            <w:tcW w:w="0" w:type="auto"/>
            <w:shd w:val="clear" w:color="auto" w:fill="auto"/>
          </w:tcPr>
          <w:p w14:paraId="239F0545" w14:textId="51DA4373" w:rsidR="00F026E8" w:rsidRPr="00FE7622" w:rsidRDefault="00F026E8" w:rsidP="00AF19CC">
            <w:pPr>
              <w:pStyle w:val="72TabletextTablesTableFigureBoxstyles"/>
              <w:rPr>
                <w:rFonts w:eastAsia="Calibri"/>
              </w:rPr>
            </w:pPr>
            <w:r w:rsidRPr="00FE7622">
              <w:rPr>
                <w:rFonts w:eastAsia="Calibri"/>
                <w:color w:val="auto"/>
              </w:rPr>
              <w:t xml:space="preserve">25–50 mg </w:t>
            </w:r>
            <w:r w:rsidR="00F1466D" w:rsidRPr="00FE7622">
              <w:rPr>
                <w:rFonts w:eastAsia="Calibri"/>
                <w:color w:val="auto"/>
              </w:rPr>
              <w:t xml:space="preserve">of captopril </w:t>
            </w:r>
            <w:r w:rsidRPr="00FE7622">
              <w:rPr>
                <w:rFonts w:eastAsia="Calibri"/>
                <w:color w:val="auto"/>
              </w:rPr>
              <w:t>twice daily</w:t>
            </w:r>
          </w:p>
        </w:tc>
        <w:tc>
          <w:tcPr>
            <w:tcW w:w="0" w:type="auto"/>
            <w:shd w:val="clear" w:color="auto" w:fill="auto"/>
          </w:tcPr>
          <w:p w14:paraId="2699EBCE" w14:textId="77777777" w:rsidR="00F026E8" w:rsidRPr="00FE7622" w:rsidRDefault="00F026E8" w:rsidP="00AF19CC">
            <w:pPr>
              <w:pStyle w:val="72TabletextTablesTableFigureBoxstyles"/>
              <w:rPr>
                <w:rFonts w:eastAsia="Calibri"/>
              </w:rPr>
            </w:pPr>
            <w:r w:rsidRPr="00FE7622">
              <w:rPr>
                <w:rFonts w:eastAsia="Calibri"/>
                <w:color w:val="auto"/>
              </w:rPr>
              <w:t>Placebo</w:t>
            </w:r>
          </w:p>
        </w:tc>
        <w:tc>
          <w:tcPr>
            <w:tcW w:w="0" w:type="auto"/>
            <w:shd w:val="clear" w:color="auto" w:fill="auto"/>
          </w:tcPr>
          <w:p w14:paraId="79F7F91A" w14:textId="77777777" w:rsidR="00F026E8" w:rsidRPr="00FE7622" w:rsidRDefault="00F026E8" w:rsidP="00AF19CC">
            <w:pPr>
              <w:pStyle w:val="72TabletextTablesTableFigureBoxstyles"/>
              <w:rPr>
                <w:rFonts w:eastAsia="Calibri"/>
              </w:rPr>
            </w:pPr>
            <w:r w:rsidRPr="00FE7622">
              <w:rPr>
                <w:rFonts w:eastAsia="Calibri"/>
                <w:color w:val="auto"/>
              </w:rPr>
              <w:t>Bicycle endurance exercise time</w:t>
            </w:r>
          </w:p>
        </w:tc>
        <w:tc>
          <w:tcPr>
            <w:tcW w:w="0" w:type="auto"/>
            <w:shd w:val="clear" w:color="auto" w:fill="auto"/>
          </w:tcPr>
          <w:p w14:paraId="391C4E49" w14:textId="77777777" w:rsidR="00F026E8" w:rsidRPr="00FE7622" w:rsidRDefault="00F026E8" w:rsidP="00AF19CC">
            <w:pPr>
              <w:pStyle w:val="72TabletextTablesTableFigureBoxstyles"/>
              <w:rPr>
                <w:rFonts w:eastAsia="Calibri"/>
              </w:rPr>
            </w:pPr>
            <w:r w:rsidRPr="00FE7622">
              <w:rPr>
                <w:rFonts w:eastAsia="Calibri"/>
                <w:color w:val="auto"/>
              </w:rPr>
              <w:t>None</w:t>
            </w:r>
          </w:p>
        </w:tc>
        <w:tc>
          <w:tcPr>
            <w:tcW w:w="0" w:type="auto"/>
            <w:shd w:val="clear" w:color="auto" w:fill="auto"/>
          </w:tcPr>
          <w:p w14:paraId="0DF41978" w14:textId="77777777" w:rsidR="00F026E8" w:rsidRPr="00FE7622" w:rsidRDefault="00F026E8" w:rsidP="00AF19CC">
            <w:pPr>
              <w:pStyle w:val="72TabletextTablesTableFigureBoxstyles"/>
              <w:rPr>
                <w:rFonts w:eastAsia="Calibri"/>
                <w:color w:val="auto"/>
              </w:rPr>
            </w:pPr>
            <w:r w:rsidRPr="00FE7622">
              <w:rPr>
                <w:rFonts w:eastAsia="Calibri"/>
                <w:color w:val="auto"/>
              </w:rPr>
              <w:t>2 months</w:t>
            </w:r>
          </w:p>
        </w:tc>
      </w:tr>
      <w:tr w:rsidR="00842EDD" w:rsidRPr="00FE7622" w14:paraId="1375080D" w14:textId="77777777" w:rsidTr="00AF19CC">
        <w:trPr>
          <w:cantSplit/>
        </w:trPr>
        <w:tc>
          <w:tcPr>
            <w:tcW w:w="0" w:type="auto"/>
            <w:shd w:val="clear" w:color="auto" w:fill="auto"/>
          </w:tcPr>
          <w:p w14:paraId="21A0EABF" w14:textId="5A7F4FBE" w:rsidR="00F026E8" w:rsidRPr="00FE7622" w:rsidRDefault="00F026E8" w:rsidP="00AF19CC">
            <w:pPr>
              <w:pStyle w:val="72TabletextTablesTableFigureBoxstyles"/>
              <w:rPr>
                <w:rFonts w:eastAsia="Calibri"/>
              </w:rPr>
            </w:pPr>
            <w:r w:rsidRPr="00FE7622">
              <w:rPr>
                <w:rFonts w:eastAsia="Calibri"/>
                <w:color w:val="auto"/>
              </w:rPr>
              <w:t>Gerdts</w:t>
            </w:r>
            <w:r w:rsidR="008F27B7" w:rsidRPr="00FE7622">
              <w:rPr>
                <w:rFonts w:eastAsia="Calibri"/>
                <w:color w:val="auto"/>
              </w:rPr>
              <w:t xml:space="preserve">, </w:t>
            </w:r>
            <w:r w:rsidRPr="00FE7622">
              <w:rPr>
                <w:rFonts w:eastAsia="Calibri"/>
                <w:color w:val="auto"/>
              </w:rPr>
              <w:t>2006</w:t>
            </w:r>
            <w:r w:rsidR="00E038BF" w:rsidRPr="00FE7622">
              <w:rPr>
                <w:rFonts w:eastAsia="Calibri"/>
                <w:color w:val="auto"/>
                <w:vertAlign w:val="superscript"/>
              </w:rPr>
              <w:t>81</w:t>
            </w:r>
          </w:p>
        </w:tc>
        <w:tc>
          <w:tcPr>
            <w:tcW w:w="0" w:type="auto"/>
            <w:shd w:val="clear" w:color="auto" w:fill="auto"/>
          </w:tcPr>
          <w:p w14:paraId="355A57DC" w14:textId="77777777" w:rsidR="00F026E8" w:rsidRPr="00FE7622" w:rsidRDefault="00F026E8" w:rsidP="00AF19CC">
            <w:pPr>
              <w:pStyle w:val="72TabletextTablesTableFigureBoxstyles"/>
              <w:rPr>
                <w:rFonts w:eastAsia="Calibri"/>
              </w:rPr>
            </w:pPr>
            <w:r w:rsidRPr="00FE7622">
              <w:rPr>
                <w:rFonts w:eastAsia="Calibri"/>
                <w:color w:val="auto"/>
              </w:rPr>
              <w:t>Norway</w:t>
            </w:r>
          </w:p>
        </w:tc>
        <w:tc>
          <w:tcPr>
            <w:tcW w:w="0" w:type="auto"/>
            <w:shd w:val="clear" w:color="auto" w:fill="auto"/>
          </w:tcPr>
          <w:p w14:paraId="65E96EC8" w14:textId="77777777" w:rsidR="00F026E8" w:rsidRPr="00FE7622" w:rsidRDefault="00F026E8" w:rsidP="00AF19CC">
            <w:pPr>
              <w:pStyle w:val="72TabletextTablesTableFigureBoxstyles"/>
              <w:rPr>
                <w:rFonts w:eastAsia="Calibri"/>
              </w:rPr>
            </w:pPr>
            <w:r w:rsidRPr="00FE7622">
              <w:rPr>
                <w:rFonts w:eastAsia="Calibri"/>
                <w:color w:val="auto"/>
              </w:rPr>
              <w:t>51</w:t>
            </w:r>
          </w:p>
        </w:tc>
        <w:tc>
          <w:tcPr>
            <w:tcW w:w="0" w:type="auto"/>
            <w:shd w:val="clear" w:color="auto" w:fill="auto"/>
          </w:tcPr>
          <w:p w14:paraId="474BE305" w14:textId="77777777" w:rsidR="00F026E8" w:rsidRPr="00FE7622" w:rsidRDefault="00F026E8" w:rsidP="00AF19CC">
            <w:pPr>
              <w:pStyle w:val="72TabletextTablesTableFigureBoxstyles"/>
              <w:rPr>
                <w:rFonts w:eastAsia="Calibri"/>
              </w:rPr>
            </w:pPr>
            <w:r w:rsidRPr="00FE7622">
              <w:rPr>
                <w:rFonts w:eastAsia="Calibri"/>
                <w:color w:val="auto"/>
              </w:rPr>
              <w:t>68</w:t>
            </w:r>
          </w:p>
        </w:tc>
        <w:tc>
          <w:tcPr>
            <w:tcW w:w="0" w:type="auto"/>
            <w:shd w:val="clear" w:color="auto" w:fill="auto"/>
          </w:tcPr>
          <w:p w14:paraId="45511407" w14:textId="77777777" w:rsidR="00F026E8" w:rsidRPr="00FE7622" w:rsidRDefault="00F026E8" w:rsidP="00AF19CC">
            <w:pPr>
              <w:pStyle w:val="72TabletextTablesTableFigureBoxstyles"/>
              <w:rPr>
                <w:rFonts w:eastAsia="Calibri"/>
              </w:rPr>
            </w:pPr>
            <w:r w:rsidRPr="00FE7622">
              <w:rPr>
                <w:rFonts w:eastAsia="Calibri"/>
                <w:color w:val="auto"/>
              </w:rPr>
              <w:t>49</w:t>
            </w:r>
          </w:p>
        </w:tc>
        <w:tc>
          <w:tcPr>
            <w:tcW w:w="0" w:type="auto"/>
            <w:shd w:val="clear" w:color="auto" w:fill="auto"/>
          </w:tcPr>
          <w:p w14:paraId="527A28E2" w14:textId="43F6957C" w:rsidR="00F026E8" w:rsidRPr="00FE7622" w:rsidRDefault="00BD64BD" w:rsidP="00AF19CC">
            <w:pPr>
              <w:pStyle w:val="72TabletextTablesTableFigureBoxstyles"/>
              <w:rPr>
                <w:rFonts w:eastAsia="Calibri"/>
                <w:color w:val="auto"/>
              </w:rPr>
            </w:pPr>
            <w:r w:rsidRPr="00FE7622">
              <w:rPr>
                <w:rFonts w:eastAsia="Calibri"/>
                <w:color w:val="auto"/>
              </w:rPr>
              <w:t xml:space="preserve">Aged </w:t>
            </w:r>
            <w:r w:rsidR="00F026E8" w:rsidRPr="00FE7622">
              <w:rPr>
                <w:rFonts w:eastAsia="Calibri"/>
                <w:color w:val="auto"/>
              </w:rPr>
              <w:t>55–80 years with hypertension and LVH on ECG</w:t>
            </w:r>
          </w:p>
        </w:tc>
        <w:tc>
          <w:tcPr>
            <w:tcW w:w="0" w:type="auto"/>
            <w:shd w:val="clear" w:color="auto" w:fill="auto"/>
          </w:tcPr>
          <w:p w14:paraId="337F45DC" w14:textId="656A3985" w:rsidR="00F026E8" w:rsidRPr="00FE7622" w:rsidRDefault="00E038BF" w:rsidP="00AF19CC">
            <w:pPr>
              <w:pStyle w:val="72TabletextTablesTableFigureBoxstyles"/>
              <w:rPr>
                <w:rFonts w:eastAsia="Calibri"/>
                <w:color w:val="auto"/>
              </w:rPr>
            </w:pPr>
            <w:r w:rsidRPr="00FE7622">
              <w:rPr>
                <w:rFonts w:eastAsia="Calibri"/>
                <w:i/>
                <w:color w:val="auto"/>
              </w:rPr>
              <w:t>V</w:t>
            </w:r>
            <w:r w:rsidR="00F026E8" w:rsidRPr="00FE7622">
              <w:rPr>
                <w:rFonts w:eastAsia="Calibri"/>
                <w:color w:val="auto"/>
              </w:rPr>
              <w:t>O</w:t>
            </w:r>
            <w:r w:rsidRPr="00FE7622">
              <w:rPr>
                <w:rFonts w:eastAsia="Calibri"/>
                <w:color w:val="auto"/>
                <w:vertAlign w:val="subscript"/>
              </w:rPr>
              <w:t>2max</w:t>
            </w:r>
            <w:r w:rsidR="00F026E8" w:rsidRPr="00FE7622">
              <w:rPr>
                <w:rFonts w:eastAsia="Calibri"/>
                <w:color w:val="auto"/>
              </w:rPr>
              <w:t xml:space="preserve"> </w:t>
            </w:r>
            <w:r w:rsidR="00F1466D" w:rsidRPr="00FE7622">
              <w:rPr>
                <w:rFonts w:eastAsia="Calibri"/>
                <w:color w:val="auto"/>
              </w:rPr>
              <w:t xml:space="preserve">of </w:t>
            </w:r>
            <w:r w:rsidR="00F026E8" w:rsidRPr="00FE7622">
              <w:rPr>
                <w:rFonts w:eastAsia="Calibri"/>
                <w:color w:val="auto"/>
              </w:rPr>
              <w:t>23.7</w:t>
            </w:r>
            <w:r w:rsidR="008F27B7" w:rsidRPr="00FE7622">
              <w:rPr>
                <w:rFonts w:eastAsia="Calibri"/>
                <w:color w:val="auto"/>
              </w:rPr>
              <w:t> </w:t>
            </w:r>
            <w:r w:rsidR="00F026E8" w:rsidRPr="00FE7622">
              <w:rPr>
                <w:rFonts w:eastAsia="Calibri"/>
                <w:color w:val="auto"/>
              </w:rPr>
              <w:t>ml/kg/min</w:t>
            </w:r>
            <w:r w:rsidR="008F27B7" w:rsidRPr="00FE7622">
              <w:rPr>
                <w:rFonts w:eastAsia="Calibri"/>
                <w:color w:val="auto"/>
              </w:rPr>
              <w:t>ute</w:t>
            </w:r>
          </w:p>
          <w:p w14:paraId="34A7E802" w14:textId="25555C0D" w:rsidR="00F026E8" w:rsidRPr="00FE7622" w:rsidRDefault="00F026E8" w:rsidP="00AF19CC">
            <w:pPr>
              <w:pStyle w:val="72TabletextTablesTableFigureBoxstyles"/>
              <w:rPr>
                <w:rFonts w:eastAsia="Calibri"/>
              </w:rPr>
            </w:pPr>
            <w:r w:rsidRPr="00FE7622">
              <w:rPr>
                <w:rFonts w:eastAsia="Calibri"/>
                <w:color w:val="auto"/>
              </w:rPr>
              <w:t>Maxim</w:t>
            </w:r>
            <w:r w:rsidR="00BD0B1D" w:rsidRPr="00FE7622">
              <w:rPr>
                <w:rFonts w:eastAsia="Calibri"/>
                <w:color w:val="auto"/>
              </w:rPr>
              <w:t>al</w:t>
            </w:r>
            <w:r w:rsidRPr="00FE7622">
              <w:rPr>
                <w:rFonts w:eastAsia="Calibri"/>
                <w:color w:val="auto"/>
              </w:rPr>
              <w:t xml:space="preserve"> load </w:t>
            </w:r>
            <w:r w:rsidR="00F1466D" w:rsidRPr="00FE7622">
              <w:rPr>
                <w:rFonts w:eastAsia="Calibri"/>
                <w:color w:val="auto"/>
              </w:rPr>
              <w:t xml:space="preserve">of </w:t>
            </w:r>
            <w:r w:rsidRPr="00FE7622">
              <w:rPr>
                <w:rFonts w:eastAsia="Calibri"/>
                <w:color w:val="auto"/>
              </w:rPr>
              <w:t>120</w:t>
            </w:r>
            <w:r w:rsidR="00F63486" w:rsidRPr="00FE7622">
              <w:rPr>
                <w:rFonts w:eastAsia="Calibri"/>
                <w:color w:val="auto"/>
              </w:rPr>
              <w:t> </w:t>
            </w:r>
            <w:r w:rsidRPr="00FE7622">
              <w:rPr>
                <w:rFonts w:eastAsia="Calibri"/>
                <w:color w:val="auto"/>
              </w:rPr>
              <w:t>W</w:t>
            </w:r>
          </w:p>
        </w:tc>
        <w:tc>
          <w:tcPr>
            <w:tcW w:w="0" w:type="auto"/>
            <w:shd w:val="clear" w:color="auto" w:fill="auto"/>
          </w:tcPr>
          <w:p w14:paraId="287C5B76" w14:textId="5C8C2A89" w:rsidR="00F026E8" w:rsidRPr="00FE7622" w:rsidRDefault="00F026E8" w:rsidP="00AF19CC">
            <w:pPr>
              <w:pStyle w:val="72TabletextTablesTableFigureBoxstyles"/>
              <w:rPr>
                <w:rFonts w:eastAsia="Calibri"/>
              </w:rPr>
            </w:pPr>
            <w:r w:rsidRPr="00FE7622">
              <w:rPr>
                <w:rFonts w:eastAsia="Calibri"/>
                <w:color w:val="auto"/>
              </w:rPr>
              <w:t xml:space="preserve">50–100 mg </w:t>
            </w:r>
            <w:r w:rsidR="00F1466D" w:rsidRPr="00FE7622">
              <w:rPr>
                <w:rFonts w:eastAsia="Calibri"/>
                <w:color w:val="auto"/>
              </w:rPr>
              <w:t xml:space="preserve">of losartan </w:t>
            </w:r>
            <w:r w:rsidRPr="00FE7622">
              <w:rPr>
                <w:rFonts w:eastAsia="Calibri"/>
                <w:color w:val="auto"/>
              </w:rPr>
              <w:t>once daily</w:t>
            </w:r>
            <w:r w:rsidR="00032767" w:rsidRPr="00FE7622">
              <w:rPr>
                <w:rFonts w:eastAsia="Calibri"/>
                <w:color w:val="auto"/>
              </w:rPr>
              <w:t xml:space="preserve"> plus </w:t>
            </w:r>
            <w:r w:rsidRPr="00FE7622">
              <w:rPr>
                <w:rFonts w:eastAsia="Calibri"/>
                <w:color w:val="auto"/>
              </w:rPr>
              <w:t>HCTZ if required</w:t>
            </w:r>
          </w:p>
        </w:tc>
        <w:tc>
          <w:tcPr>
            <w:tcW w:w="0" w:type="auto"/>
            <w:shd w:val="clear" w:color="auto" w:fill="auto"/>
          </w:tcPr>
          <w:p w14:paraId="45CD8353" w14:textId="56EDCAF2" w:rsidR="00F026E8" w:rsidRPr="00FE7622" w:rsidRDefault="00F026E8" w:rsidP="00AF19CC">
            <w:pPr>
              <w:pStyle w:val="72TabletextTablesTableFigureBoxstyles"/>
              <w:rPr>
                <w:rFonts w:eastAsia="Calibri"/>
                <w:color w:val="auto"/>
              </w:rPr>
            </w:pPr>
            <w:r w:rsidRPr="00FE7622">
              <w:rPr>
                <w:rFonts w:eastAsia="Calibri"/>
                <w:color w:val="auto"/>
              </w:rPr>
              <w:t xml:space="preserve">50–100 mg </w:t>
            </w:r>
            <w:r w:rsidR="00F1466D" w:rsidRPr="00FE7622">
              <w:rPr>
                <w:rFonts w:eastAsia="Calibri"/>
                <w:color w:val="auto"/>
              </w:rPr>
              <w:t xml:space="preserve">of </w:t>
            </w:r>
            <w:r w:rsidR="00842EDD" w:rsidRPr="00FE7622">
              <w:rPr>
                <w:rFonts w:eastAsia="Calibri"/>
                <w:color w:val="auto"/>
              </w:rPr>
              <w:t>a</w:t>
            </w:r>
            <w:r w:rsidR="00F1466D" w:rsidRPr="00FE7622">
              <w:rPr>
                <w:rFonts w:eastAsia="Calibri"/>
                <w:color w:val="auto"/>
              </w:rPr>
              <w:t xml:space="preserve">tenolol </w:t>
            </w:r>
            <w:r w:rsidRPr="00FE7622">
              <w:rPr>
                <w:rFonts w:eastAsia="Calibri"/>
                <w:color w:val="auto"/>
              </w:rPr>
              <w:t xml:space="preserve">once daily </w:t>
            </w:r>
            <w:r w:rsidR="00032767" w:rsidRPr="00FE7622">
              <w:rPr>
                <w:rFonts w:eastAsia="Calibri"/>
                <w:color w:val="auto"/>
              </w:rPr>
              <w:t>plus</w:t>
            </w:r>
            <w:r w:rsidRPr="00FE7622">
              <w:rPr>
                <w:rFonts w:eastAsia="Calibri"/>
                <w:color w:val="auto"/>
              </w:rPr>
              <w:t xml:space="preserve"> HCTZ if required</w:t>
            </w:r>
          </w:p>
        </w:tc>
        <w:tc>
          <w:tcPr>
            <w:tcW w:w="0" w:type="auto"/>
            <w:shd w:val="clear" w:color="auto" w:fill="auto"/>
          </w:tcPr>
          <w:p w14:paraId="7833EF99" w14:textId="372DA17F" w:rsidR="00F026E8" w:rsidRPr="00FE7622" w:rsidRDefault="00E038BF" w:rsidP="00AF19CC">
            <w:pPr>
              <w:pStyle w:val="72TabletextTablesTableFigureBoxstyles"/>
              <w:rPr>
                <w:rFonts w:eastAsia="Calibri"/>
              </w:rPr>
            </w:pPr>
            <w:r w:rsidRPr="00FE7622">
              <w:rPr>
                <w:rFonts w:eastAsia="Calibri"/>
                <w:i/>
                <w:color w:val="auto"/>
              </w:rPr>
              <w:t>V</w:t>
            </w:r>
            <w:r w:rsidR="00F026E8" w:rsidRPr="00FE7622">
              <w:rPr>
                <w:rFonts w:eastAsia="Calibri"/>
                <w:color w:val="auto"/>
              </w:rPr>
              <w:t>O</w:t>
            </w:r>
            <w:r w:rsidRPr="00FE7622">
              <w:rPr>
                <w:rFonts w:eastAsia="Calibri"/>
                <w:color w:val="auto"/>
                <w:vertAlign w:val="subscript"/>
              </w:rPr>
              <w:t>2max</w:t>
            </w:r>
          </w:p>
        </w:tc>
        <w:tc>
          <w:tcPr>
            <w:tcW w:w="0" w:type="auto"/>
            <w:shd w:val="clear" w:color="auto" w:fill="auto"/>
          </w:tcPr>
          <w:p w14:paraId="7B7BC8B9" w14:textId="77777777" w:rsidR="00F026E8" w:rsidRPr="00FE7622" w:rsidRDefault="00F026E8" w:rsidP="00AF19CC">
            <w:pPr>
              <w:pStyle w:val="72TabletextTablesTableFigureBoxstyles"/>
              <w:rPr>
                <w:rFonts w:eastAsia="Calibri"/>
              </w:rPr>
            </w:pPr>
            <w:r w:rsidRPr="00FE7622">
              <w:rPr>
                <w:rFonts w:eastAsia="Calibri"/>
                <w:color w:val="auto"/>
              </w:rPr>
              <w:t>Maximum load (W)</w:t>
            </w:r>
          </w:p>
        </w:tc>
        <w:tc>
          <w:tcPr>
            <w:tcW w:w="0" w:type="auto"/>
            <w:shd w:val="clear" w:color="auto" w:fill="auto"/>
          </w:tcPr>
          <w:p w14:paraId="56D0630F" w14:textId="77777777" w:rsidR="00F026E8" w:rsidRPr="00FE7622" w:rsidRDefault="00F026E8" w:rsidP="00AF19CC">
            <w:pPr>
              <w:pStyle w:val="72TabletextTablesTableFigureBoxstyles"/>
              <w:rPr>
                <w:rFonts w:eastAsia="Calibri"/>
                <w:color w:val="auto"/>
              </w:rPr>
            </w:pPr>
            <w:r w:rsidRPr="00FE7622">
              <w:rPr>
                <w:rFonts w:eastAsia="Calibri"/>
                <w:color w:val="auto"/>
              </w:rPr>
              <w:t>1 year</w:t>
            </w:r>
          </w:p>
        </w:tc>
      </w:tr>
      <w:tr w:rsidR="00842EDD" w:rsidRPr="00FE7622" w14:paraId="0415DDA4" w14:textId="77777777" w:rsidTr="00AF19CC">
        <w:trPr>
          <w:cantSplit/>
        </w:trPr>
        <w:tc>
          <w:tcPr>
            <w:tcW w:w="0" w:type="auto"/>
            <w:shd w:val="clear" w:color="auto" w:fill="auto"/>
          </w:tcPr>
          <w:p w14:paraId="0BC286C9" w14:textId="6123038A" w:rsidR="00F026E8" w:rsidRPr="00FE7622" w:rsidRDefault="00F026E8" w:rsidP="00AF19CC">
            <w:pPr>
              <w:pStyle w:val="72TabletextTablesTableFigureBoxstyles"/>
              <w:rPr>
                <w:rFonts w:eastAsia="Calibri"/>
              </w:rPr>
            </w:pPr>
            <w:r w:rsidRPr="00FE7622">
              <w:rPr>
                <w:rFonts w:eastAsia="Calibri"/>
                <w:color w:val="auto"/>
              </w:rPr>
              <w:t>Sumukadas</w:t>
            </w:r>
            <w:r w:rsidR="00732E5E" w:rsidRPr="00FE7622">
              <w:rPr>
                <w:rFonts w:eastAsia="Calibri"/>
                <w:color w:val="auto"/>
              </w:rPr>
              <w:t>,</w:t>
            </w:r>
            <w:r w:rsidRPr="00FE7622">
              <w:rPr>
                <w:rFonts w:eastAsia="Calibri"/>
                <w:color w:val="auto"/>
              </w:rPr>
              <w:t xml:space="preserve"> 2007</w:t>
            </w:r>
            <w:r w:rsidR="00E038BF" w:rsidRPr="00FE7622">
              <w:rPr>
                <w:rFonts w:eastAsia="Calibri"/>
                <w:color w:val="auto"/>
                <w:vertAlign w:val="superscript"/>
              </w:rPr>
              <w:t>30</w:t>
            </w:r>
          </w:p>
        </w:tc>
        <w:tc>
          <w:tcPr>
            <w:tcW w:w="0" w:type="auto"/>
            <w:shd w:val="clear" w:color="auto" w:fill="auto"/>
          </w:tcPr>
          <w:p w14:paraId="40B97901" w14:textId="77777777" w:rsidR="00F026E8" w:rsidRPr="00FE7622" w:rsidRDefault="00F026E8" w:rsidP="00AF19CC">
            <w:pPr>
              <w:pStyle w:val="72TabletextTablesTableFigureBoxstyles"/>
              <w:rPr>
                <w:rFonts w:eastAsia="Calibri"/>
              </w:rPr>
            </w:pPr>
            <w:r w:rsidRPr="00FE7622">
              <w:rPr>
                <w:rFonts w:eastAsia="Calibri"/>
                <w:color w:val="auto"/>
              </w:rPr>
              <w:t>Scotland</w:t>
            </w:r>
          </w:p>
        </w:tc>
        <w:tc>
          <w:tcPr>
            <w:tcW w:w="0" w:type="auto"/>
            <w:shd w:val="clear" w:color="auto" w:fill="auto"/>
          </w:tcPr>
          <w:p w14:paraId="2663E6BE" w14:textId="77777777" w:rsidR="00F026E8" w:rsidRPr="00FE7622" w:rsidRDefault="00F026E8" w:rsidP="00AF19CC">
            <w:pPr>
              <w:pStyle w:val="72TabletextTablesTableFigureBoxstyles"/>
              <w:rPr>
                <w:rFonts w:eastAsia="Calibri"/>
              </w:rPr>
            </w:pPr>
            <w:r w:rsidRPr="00FE7622">
              <w:rPr>
                <w:rFonts w:eastAsia="Calibri"/>
                <w:color w:val="auto"/>
              </w:rPr>
              <w:t>130</w:t>
            </w:r>
          </w:p>
        </w:tc>
        <w:tc>
          <w:tcPr>
            <w:tcW w:w="0" w:type="auto"/>
            <w:shd w:val="clear" w:color="auto" w:fill="auto"/>
          </w:tcPr>
          <w:p w14:paraId="6197D685" w14:textId="77777777" w:rsidR="00F026E8" w:rsidRPr="00FE7622" w:rsidRDefault="00F026E8" w:rsidP="00AF19CC">
            <w:pPr>
              <w:pStyle w:val="72TabletextTablesTableFigureBoxstyles"/>
              <w:rPr>
                <w:rFonts w:eastAsia="Calibri"/>
              </w:rPr>
            </w:pPr>
            <w:r w:rsidRPr="00FE7622">
              <w:rPr>
                <w:rFonts w:eastAsia="Calibri"/>
                <w:color w:val="auto"/>
              </w:rPr>
              <w:t>79</w:t>
            </w:r>
          </w:p>
        </w:tc>
        <w:tc>
          <w:tcPr>
            <w:tcW w:w="0" w:type="auto"/>
            <w:shd w:val="clear" w:color="auto" w:fill="auto"/>
          </w:tcPr>
          <w:p w14:paraId="190DA1CF" w14:textId="77777777" w:rsidR="00F026E8" w:rsidRPr="00FE7622" w:rsidRDefault="00F026E8" w:rsidP="00AF19CC">
            <w:pPr>
              <w:pStyle w:val="72TabletextTablesTableFigureBoxstyles"/>
              <w:rPr>
                <w:rFonts w:eastAsia="Calibri"/>
              </w:rPr>
            </w:pPr>
            <w:r w:rsidRPr="00FE7622">
              <w:rPr>
                <w:rFonts w:eastAsia="Calibri"/>
                <w:color w:val="auto"/>
              </w:rPr>
              <w:t>71</w:t>
            </w:r>
          </w:p>
        </w:tc>
        <w:tc>
          <w:tcPr>
            <w:tcW w:w="0" w:type="auto"/>
            <w:shd w:val="clear" w:color="auto" w:fill="auto"/>
          </w:tcPr>
          <w:p w14:paraId="3B052E7C" w14:textId="18E51EE0" w:rsidR="00F026E8" w:rsidRPr="00FE7622" w:rsidRDefault="00BD64BD" w:rsidP="00AF19CC">
            <w:pPr>
              <w:pStyle w:val="72TabletextTablesTableFigureBoxstyles"/>
              <w:rPr>
                <w:rFonts w:eastAsia="Calibri"/>
              </w:rPr>
            </w:pPr>
            <w:r w:rsidRPr="00FE7622">
              <w:rPr>
                <w:rFonts w:eastAsia="Calibri"/>
                <w:color w:val="auto"/>
              </w:rPr>
              <w:t>Aged ≥ </w:t>
            </w:r>
            <w:r w:rsidR="00F026E8" w:rsidRPr="00FE7622">
              <w:rPr>
                <w:rFonts w:eastAsia="Calibri"/>
                <w:color w:val="auto"/>
              </w:rPr>
              <w:t>65</w:t>
            </w:r>
            <w:r w:rsidRPr="00FE7622">
              <w:rPr>
                <w:rFonts w:eastAsia="Calibri"/>
                <w:color w:val="auto"/>
              </w:rPr>
              <w:t xml:space="preserve"> years</w:t>
            </w:r>
            <w:r w:rsidR="00F026E8" w:rsidRPr="00FE7622">
              <w:rPr>
                <w:rFonts w:eastAsia="Calibri"/>
                <w:color w:val="auto"/>
              </w:rPr>
              <w:t xml:space="preserve"> with impairment of activities of daily living</w:t>
            </w:r>
          </w:p>
        </w:tc>
        <w:tc>
          <w:tcPr>
            <w:tcW w:w="0" w:type="auto"/>
            <w:shd w:val="clear" w:color="auto" w:fill="auto"/>
          </w:tcPr>
          <w:p w14:paraId="50D50BEF" w14:textId="352D843F" w:rsidR="00F026E8" w:rsidRPr="00FE7622" w:rsidRDefault="00F026E8" w:rsidP="00AF19CC">
            <w:pPr>
              <w:pStyle w:val="72TabletextTablesTableFigureBoxstyles"/>
              <w:rPr>
                <w:rFonts w:eastAsia="Calibri"/>
                <w:color w:val="auto"/>
              </w:rPr>
            </w:pPr>
            <w:r w:rsidRPr="00FE7622">
              <w:rPr>
                <w:rFonts w:eastAsia="Calibri"/>
                <w:color w:val="auto"/>
              </w:rPr>
              <w:t xml:space="preserve">Mean 6MWD </w:t>
            </w:r>
            <w:r w:rsidR="00F1466D" w:rsidRPr="00FE7622">
              <w:rPr>
                <w:rFonts w:eastAsia="Calibri"/>
                <w:color w:val="auto"/>
              </w:rPr>
              <w:t xml:space="preserve">of </w:t>
            </w:r>
            <w:r w:rsidRPr="00FE7622">
              <w:rPr>
                <w:rFonts w:eastAsia="Calibri"/>
                <w:color w:val="auto"/>
              </w:rPr>
              <w:t>299 m</w:t>
            </w:r>
          </w:p>
          <w:p w14:paraId="1837B534" w14:textId="35FC10F9" w:rsidR="00F026E8" w:rsidRPr="00FE7622" w:rsidRDefault="00F026E8" w:rsidP="00AF19CC">
            <w:pPr>
              <w:pStyle w:val="72TabletextTablesTableFigureBoxstyles"/>
              <w:rPr>
                <w:rFonts w:eastAsia="Calibri"/>
                <w:color w:val="auto"/>
              </w:rPr>
            </w:pPr>
            <w:r w:rsidRPr="00FE7622">
              <w:rPr>
                <w:rFonts w:eastAsia="Calibri"/>
                <w:color w:val="auto"/>
              </w:rPr>
              <w:t xml:space="preserve">Median TUAG </w:t>
            </w:r>
            <w:r w:rsidR="00F1466D" w:rsidRPr="00FE7622">
              <w:rPr>
                <w:rFonts w:eastAsia="Calibri"/>
                <w:color w:val="auto"/>
              </w:rPr>
              <w:t xml:space="preserve">of </w:t>
            </w:r>
            <w:r w:rsidRPr="00FE7622">
              <w:rPr>
                <w:rFonts w:eastAsia="Calibri"/>
                <w:color w:val="auto"/>
              </w:rPr>
              <w:t>13</w:t>
            </w:r>
            <w:r w:rsidR="008F27B7" w:rsidRPr="00FE7622">
              <w:rPr>
                <w:rFonts w:eastAsia="Calibri"/>
                <w:color w:val="auto"/>
              </w:rPr>
              <w:t xml:space="preserve"> </w:t>
            </w:r>
            <w:r w:rsidRPr="00FE7622">
              <w:rPr>
                <w:rFonts w:eastAsia="Calibri"/>
                <w:color w:val="auto"/>
              </w:rPr>
              <w:t>s</w:t>
            </w:r>
            <w:r w:rsidR="008F27B7" w:rsidRPr="00FE7622">
              <w:rPr>
                <w:rFonts w:eastAsia="Calibri"/>
                <w:color w:val="auto"/>
              </w:rPr>
              <w:t>econds</w:t>
            </w:r>
          </w:p>
          <w:p w14:paraId="2FFCF884" w14:textId="103D93D0" w:rsidR="00F026E8" w:rsidRPr="00FE7622" w:rsidRDefault="00F026E8" w:rsidP="00AF19CC">
            <w:pPr>
              <w:pStyle w:val="72TabletextTablesTableFigureBoxstyles"/>
              <w:rPr>
                <w:rFonts w:eastAsia="Calibri"/>
              </w:rPr>
            </w:pPr>
            <w:r w:rsidRPr="00FE7622">
              <w:rPr>
                <w:rFonts w:eastAsia="Calibri"/>
                <w:color w:val="auto"/>
              </w:rPr>
              <w:t xml:space="preserve">Median 10-rep STS </w:t>
            </w:r>
            <w:r w:rsidR="00F1466D" w:rsidRPr="00FE7622">
              <w:rPr>
                <w:rFonts w:eastAsia="Calibri"/>
                <w:color w:val="auto"/>
              </w:rPr>
              <w:t xml:space="preserve">of </w:t>
            </w:r>
            <w:r w:rsidRPr="00FE7622">
              <w:rPr>
                <w:rFonts w:eastAsia="Calibri"/>
                <w:color w:val="auto"/>
              </w:rPr>
              <w:t>37</w:t>
            </w:r>
            <w:r w:rsidR="00032767" w:rsidRPr="00FE7622">
              <w:rPr>
                <w:rFonts w:eastAsia="Calibri"/>
                <w:color w:val="auto"/>
              </w:rPr>
              <w:t xml:space="preserve"> </w:t>
            </w:r>
            <w:r w:rsidR="00675A0E" w:rsidRPr="00FE7622">
              <w:rPr>
                <w:rFonts w:eastAsia="Calibri"/>
                <w:color w:val="auto"/>
              </w:rPr>
              <w:t>s</w:t>
            </w:r>
            <w:r w:rsidR="00032767" w:rsidRPr="00FE7622">
              <w:rPr>
                <w:rFonts w:eastAsia="Calibri"/>
                <w:color w:val="auto"/>
              </w:rPr>
              <w:t>econds</w:t>
            </w:r>
          </w:p>
        </w:tc>
        <w:tc>
          <w:tcPr>
            <w:tcW w:w="0" w:type="auto"/>
            <w:shd w:val="clear" w:color="auto" w:fill="auto"/>
          </w:tcPr>
          <w:p w14:paraId="16D69B26" w14:textId="77777777" w:rsidR="00F026E8" w:rsidRPr="00FE7622" w:rsidRDefault="00F026E8" w:rsidP="00AF19CC">
            <w:pPr>
              <w:pStyle w:val="72TabletextTablesTableFigureBoxstyles"/>
              <w:rPr>
                <w:rFonts w:eastAsia="Calibri"/>
              </w:rPr>
            </w:pPr>
            <w:r w:rsidRPr="00FE7622">
              <w:rPr>
                <w:rFonts w:eastAsia="Calibri"/>
                <w:color w:val="auto"/>
              </w:rPr>
              <w:t>Perindopril 2–4 mg once daily</w:t>
            </w:r>
          </w:p>
        </w:tc>
        <w:tc>
          <w:tcPr>
            <w:tcW w:w="0" w:type="auto"/>
            <w:shd w:val="clear" w:color="auto" w:fill="auto"/>
          </w:tcPr>
          <w:p w14:paraId="420AC750" w14:textId="77777777" w:rsidR="00F026E8" w:rsidRPr="00FE7622" w:rsidRDefault="00F026E8" w:rsidP="00AF19CC">
            <w:pPr>
              <w:pStyle w:val="72TabletextTablesTableFigureBoxstyles"/>
              <w:rPr>
                <w:rFonts w:eastAsia="Calibri"/>
                <w:color w:val="auto"/>
              </w:rPr>
            </w:pPr>
            <w:r w:rsidRPr="00FE7622">
              <w:rPr>
                <w:rFonts w:eastAsia="Calibri"/>
                <w:color w:val="auto"/>
              </w:rPr>
              <w:t>Placebo</w:t>
            </w:r>
          </w:p>
        </w:tc>
        <w:tc>
          <w:tcPr>
            <w:tcW w:w="0" w:type="auto"/>
            <w:shd w:val="clear" w:color="auto" w:fill="auto"/>
          </w:tcPr>
          <w:p w14:paraId="328D1EFB" w14:textId="77777777" w:rsidR="00F026E8" w:rsidRPr="00FE7622" w:rsidRDefault="00F026E8" w:rsidP="00AF19CC">
            <w:pPr>
              <w:pStyle w:val="72TabletextTablesTableFigureBoxstyles"/>
              <w:rPr>
                <w:rFonts w:eastAsia="Calibri"/>
                <w:color w:val="auto"/>
              </w:rPr>
            </w:pPr>
            <w:r w:rsidRPr="00FE7622">
              <w:rPr>
                <w:rFonts w:eastAsia="Calibri"/>
                <w:color w:val="auto"/>
              </w:rPr>
              <w:t>6MWD</w:t>
            </w:r>
          </w:p>
        </w:tc>
        <w:tc>
          <w:tcPr>
            <w:tcW w:w="0" w:type="auto"/>
            <w:shd w:val="clear" w:color="auto" w:fill="auto"/>
          </w:tcPr>
          <w:p w14:paraId="6AEA51A2" w14:textId="77777777" w:rsidR="00F026E8" w:rsidRPr="00FE7622" w:rsidRDefault="00F026E8" w:rsidP="00AF19CC">
            <w:pPr>
              <w:pStyle w:val="72TabletextTablesTableFigureBoxstyles"/>
              <w:rPr>
                <w:rFonts w:eastAsia="Calibri"/>
                <w:color w:val="auto"/>
              </w:rPr>
            </w:pPr>
            <w:r w:rsidRPr="00FE7622">
              <w:rPr>
                <w:rFonts w:eastAsia="Calibri"/>
                <w:color w:val="auto"/>
              </w:rPr>
              <w:t>TUAG</w:t>
            </w:r>
          </w:p>
          <w:p w14:paraId="3A4A9482" w14:textId="77777777" w:rsidR="00F026E8" w:rsidRPr="00FE7622" w:rsidRDefault="00F026E8" w:rsidP="00AF19CC">
            <w:pPr>
              <w:pStyle w:val="72TabletextTablesTableFigureBoxstyles"/>
              <w:rPr>
                <w:rFonts w:eastAsia="Calibri"/>
              </w:rPr>
            </w:pPr>
            <w:r w:rsidRPr="00FE7622">
              <w:rPr>
                <w:rFonts w:eastAsia="Calibri"/>
                <w:color w:val="auto"/>
              </w:rPr>
              <w:t>10-rep STS</w:t>
            </w:r>
          </w:p>
        </w:tc>
        <w:tc>
          <w:tcPr>
            <w:tcW w:w="0" w:type="auto"/>
            <w:shd w:val="clear" w:color="auto" w:fill="auto"/>
          </w:tcPr>
          <w:p w14:paraId="5A30255A" w14:textId="77777777" w:rsidR="00F026E8" w:rsidRPr="00FE7622" w:rsidRDefault="00F026E8" w:rsidP="00AF19CC">
            <w:pPr>
              <w:pStyle w:val="72TabletextTablesTableFigureBoxstyles"/>
              <w:rPr>
                <w:rFonts w:eastAsia="Calibri"/>
                <w:color w:val="auto"/>
              </w:rPr>
            </w:pPr>
            <w:r w:rsidRPr="00FE7622">
              <w:rPr>
                <w:rFonts w:eastAsia="Calibri"/>
                <w:color w:val="auto"/>
              </w:rPr>
              <w:t>20 weeks</w:t>
            </w:r>
          </w:p>
        </w:tc>
      </w:tr>
      <w:tr w:rsidR="00842EDD" w:rsidRPr="00FE7622" w14:paraId="20D4D4FB" w14:textId="77777777" w:rsidTr="00AF19CC">
        <w:trPr>
          <w:cantSplit/>
        </w:trPr>
        <w:tc>
          <w:tcPr>
            <w:tcW w:w="0" w:type="auto"/>
            <w:shd w:val="clear" w:color="auto" w:fill="auto"/>
          </w:tcPr>
          <w:p w14:paraId="3E996230" w14:textId="174BA4F8" w:rsidR="00F026E8" w:rsidRPr="00FE7622" w:rsidRDefault="00F026E8" w:rsidP="00AF19CC">
            <w:pPr>
              <w:pStyle w:val="72TabletextTablesTableFigureBoxstyles"/>
              <w:rPr>
                <w:rFonts w:eastAsia="Calibri"/>
              </w:rPr>
            </w:pPr>
            <w:r w:rsidRPr="00FE7622">
              <w:rPr>
                <w:rFonts w:eastAsia="Calibri"/>
                <w:color w:val="auto"/>
              </w:rPr>
              <w:t>Bunout</w:t>
            </w:r>
            <w:r w:rsidR="00732E5E" w:rsidRPr="00FE7622">
              <w:rPr>
                <w:rFonts w:eastAsia="Calibri"/>
                <w:color w:val="auto"/>
              </w:rPr>
              <w:t>,</w:t>
            </w:r>
            <w:r w:rsidR="00144CB5" w:rsidRPr="00FE7622">
              <w:rPr>
                <w:rFonts w:eastAsia="Calibri"/>
                <w:color w:val="auto"/>
              </w:rPr>
              <w:t xml:space="preserve"> </w:t>
            </w:r>
            <w:r w:rsidRPr="00FE7622">
              <w:rPr>
                <w:rFonts w:eastAsia="Calibri"/>
                <w:color w:val="auto"/>
              </w:rPr>
              <w:t>2009</w:t>
            </w:r>
            <w:r w:rsidR="00E038BF" w:rsidRPr="00FE7622">
              <w:rPr>
                <w:rFonts w:eastAsia="Calibri"/>
                <w:color w:val="auto"/>
                <w:vertAlign w:val="superscript"/>
              </w:rPr>
              <w:t>82</w:t>
            </w:r>
          </w:p>
        </w:tc>
        <w:tc>
          <w:tcPr>
            <w:tcW w:w="0" w:type="auto"/>
            <w:shd w:val="clear" w:color="auto" w:fill="auto"/>
          </w:tcPr>
          <w:p w14:paraId="1D589518" w14:textId="77777777" w:rsidR="00F026E8" w:rsidRPr="00FE7622" w:rsidRDefault="00F026E8" w:rsidP="00AF19CC">
            <w:pPr>
              <w:pStyle w:val="72TabletextTablesTableFigureBoxstyles"/>
              <w:rPr>
                <w:rFonts w:eastAsia="Calibri"/>
              </w:rPr>
            </w:pPr>
            <w:r w:rsidRPr="00FE7622">
              <w:rPr>
                <w:rFonts w:eastAsia="Calibri"/>
                <w:color w:val="auto"/>
              </w:rPr>
              <w:t>Chile</w:t>
            </w:r>
          </w:p>
        </w:tc>
        <w:tc>
          <w:tcPr>
            <w:tcW w:w="0" w:type="auto"/>
            <w:shd w:val="clear" w:color="auto" w:fill="auto"/>
          </w:tcPr>
          <w:p w14:paraId="6A5C8266" w14:textId="77777777" w:rsidR="00F026E8" w:rsidRPr="00FE7622" w:rsidRDefault="00F026E8" w:rsidP="00AF19CC">
            <w:pPr>
              <w:pStyle w:val="72TabletextTablesTableFigureBoxstyles"/>
              <w:rPr>
                <w:rFonts w:eastAsia="Calibri"/>
              </w:rPr>
            </w:pPr>
            <w:r w:rsidRPr="00FE7622">
              <w:rPr>
                <w:rFonts w:eastAsia="Calibri"/>
                <w:color w:val="auto"/>
              </w:rPr>
              <w:t>120</w:t>
            </w:r>
          </w:p>
        </w:tc>
        <w:tc>
          <w:tcPr>
            <w:tcW w:w="0" w:type="auto"/>
            <w:shd w:val="clear" w:color="auto" w:fill="auto"/>
          </w:tcPr>
          <w:p w14:paraId="7A03643C" w14:textId="77777777" w:rsidR="00F026E8" w:rsidRPr="00FE7622" w:rsidRDefault="00F026E8" w:rsidP="00AF19CC">
            <w:pPr>
              <w:pStyle w:val="72TabletextTablesTableFigureBoxstyles"/>
              <w:rPr>
                <w:rFonts w:eastAsia="Calibri"/>
              </w:rPr>
            </w:pPr>
            <w:r w:rsidRPr="00FE7622">
              <w:rPr>
                <w:rFonts w:eastAsia="Calibri"/>
                <w:color w:val="auto"/>
              </w:rPr>
              <w:t>75</w:t>
            </w:r>
          </w:p>
        </w:tc>
        <w:tc>
          <w:tcPr>
            <w:tcW w:w="0" w:type="auto"/>
            <w:shd w:val="clear" w:color="auto" w:fill="auto"/>
          </w:tcPr>
          <w:p w14:paraId="6F294230" w14:textId="77777777" w:rsidR="00F026E8" w:rsidRPr="00FE7622" w:rsidRDefault="00F026E8" w:rsidP="00AF19CC">
            <w:pPr>
              <w:pStyle w:val="72TabletextTablesTableFigureBoxstyles"/>
              <w:rPr>
                <w:rFonts w:eastAsia="Calibri"/>
              </w:rPr>
            </w:pPr>
            <w:r w:rsidRPr="00FE7622">
              <w:rPr>
                <w:rFonts w:eastAsia="Calibri"/>
                <w:color w:val="auto"/>
              </w:rPr>
              <w:t>76</w:t>
            </w:r>
          </w:p>
        </w:tc>
        <w:tc>
          <w:tcPr>
            <w:tcW w:w="0" w:type="auto"/>
            <w:shd w:val="clear" w:color="auto" w:fill="auto"/>
          </w:tcPr>
          <w:p w14:paraId="1CDD16F6" w14:textId="18156B77" w:rsidR="00F026E8" w:rsidRPr="00FE7622" w:rsidRDefault="00BD64BD" w:rsidP="00AF19CC">
            <w:pPr>
              <w:pStyle w:val="72TabletextTablesTableFigureBoxstyles"/>
              <w:rPr>
                <w:rFonts w:eastAsia="Calibri"/>
              </w:rPr>
            </w:pPr>
            <w:r w:rsidRPr="00FE7622">
              <w:rPr>
                <w:rFonts w:eastAsia="Calibri"/>
                <w:color w:val="auto"/>
              </w:rPr>
              <w:t>Aged ≥ </w:t>
            </w:r>
            <w:r w:rsidR="00F026E8" w:rsidRPr="00FE7622">
              <w:rPr>
                <w:rFonts w:eastAsia="Calibri"/>
                <w:color w:val="auto"/>
              </w:rPr>
              <w:t>70</w:t>
            </w:r>
            <w:r w:rsidR="00144CB5" w:rsidRPr="00FE7622">
              <w:rPr>
                <w:rFonts w:eastAsia="Calibri"/>
                <w:color w:val="auto"/>
              </w:rPr>
              <w:t xml:space="preserve"> years</w:t>
            </w:r>
            <w:r w:rsidR="00F026E8" w:rsidRPr="00FE7622">
              <w:rPr>
                <w:rFonts w:eastAsia="Calibri"/>
                <w:color w:val="auto"/>
              </w:rPr>
              <w:t xml:space="preserve"> with stage I hypertension</w:t>
            </w:r>
          </w:p>
        </w:tc>
        <w:tc>
          <w:tcPr>
            <w:tcW w:w="0" w:type="auto"/>
            <w:shd w:val="clear" w:color="auto" w:fill="auto"/>
          </w:tcPr>
          <w:p w14:paraId="68C6A804" w14:textId="2CE6D90C" w:rsidR="00F026E8" w:rsidRPr="00FE7622" w:rsidRDefault="00F026E8" w:rsidP="00AF19CC">
            <w:pPr>
              <w:pStyle w:val="72TabletextTablesTableFigureBoxstyles"/>
              <w:rPr>
                <w:rFonts w:eastAsia="Calibri"/>
                <w:color w:val="auto"/>
              </w:rPr>
            </w:pPr>
            <w:r w:rsidRPr="00FE7622">
              <w:rPr>
                <w:rFonts w:eastAsia="Calibri"/>
                <w:color w:val="auto"/>
              </w:rPr>
              <w:t xml:space="preserve">Mean 12MWD </w:t>
            </w:r>
            <w:r w:rsidR="00F1466D" w:rsidRPr="00FE7622">
              <w:rPr>
                <w:rFonts w:eastAsia="Calibri"/>
                <w:color w:val="auto"/>
              </w:rPr>
              <w:t xml:space="preserve">of </w:t>
            </w:r>
            <w:r w:rsidRPr="00FE7622">
              <w:rPr>
                <w:rFonts w:eastAsia="Calibri"/>
                <w:color w:val="auto"/>
              </w:rPr>
              <w:t>916 m</w:t>
            </w:r>
          </w:p>
          <w:p w14:paraId="28289AB0" w14:textId="4E4F6CA8" w:rsidR="00F026E8" w:rsidRPr="00FE7622" w:rsidRDefault="00F026E8" w:rsidP="00AF19CC">
            <w:pPr>
              <w:pStyle w:val="72TabletextTablesTableFigureBoxstyles"/>
              <w:rPr>
                <w:rFonts w:eastAsia="Calibri"/>
                <w:color w:val="auto"/>
              </w:rPr>
            </w:pPr>
            <w:r w:rsidRPr="00FE7622">
              <w:rPr>
                <w:rFonts w:eastAsia="Calibri"/>
                <w:color w:val="auto"/>
              </w:rPr>
              <w:t xml:space="preserve">Mean grip strength </w:t>
            </w:r>
            <w:r w:rsidR="00F1466D" w:rsidRPr="00FE7622">
              <w:rPr>
                <w:rFonts w:eastAsia="Calibri"/>
                <w:color w:val="auto"/>
              </w:rPr>
              <w:t xml:space="preserve">of </w:t>
            </w:r>
            <w:r w:rsidRPr="00FE7622">
              <w:rPr>
                <w:rFonts w:eastAsia="Calibri"/>
                <w:color w:val="auto"/>
              </w:rPr>
              <w:t>23.5 kg</w:t>
            </w:r>
          </w:p>
          <w:p w14:paraId="38C327BB" w14:textId="2EFD9201" w:rsidR="00F026E8" w:rsidRPr="00FE7622" w:rsidRDefault="00F026E8" w:rsidP="00AF19CC">
            <w:pPr>
              <w:pStyle w:val="72TabletextTablesTableFigureBoxstyles"/>
              <w:rPr>
                <w:rFonts w:eastAsia="Calibri"/>
                <w:color w:val="auto"/>
              </w:rPr>
            </w:pPr>
            <w:r w:rsidRPr="00FE7622">
              <w:rPr>
                <w:rFonts w:eastAsia="Calibri"/>
                <w:color w:val="auto"/>
              </w:rPr>
              <w:t>Mean quad</w:t>
            </w:r>
            <w:r w:rsidR="00E23C64" w:rsidRPr="00FE7622">
              <w:rPr>
                <w:rFonts w:eastAsia="Calibri"/>
                <w:color w:val="auto"/>
              </w:rPr>
              <w:t>ricep</w:t>
            </w:r>
            <w:r w:rsidRPr="00FE7622">
              <w:rPr>
                <w:rFonts w:eastAsia="Calibri"/>
                <w:color w:val="auto"/>
              </w:rPr>
              <w:t xml:space="preserve">s strength </w:t>
            </w:r>
            <w:r w:rsidR="00F1466D" w:rsidRPr="00FE7622">
              <w:rPr>
                <w:rFonts w:eastAsia="Calibri"/>
                <w:color w:val="auto"/>
              </w:rPr>
              <w:t xml:space="preserve">of </w:t>
            </w:r>
            <w:r w:rsidRPr="00FE7622">
              <w:rPr>
                <w:rFonts w:eastAsia="Calibri"/>
                <w:color w:val="auto"/>
              </w:rPr>
              <w:t>27.3 kg</w:t>
            </w:r>
          </w:p>
          <w:p w14:paraId="31D809F3" w14:textId="58D760AB" w:rsidR="00F026E8" w:rsidRPr="00FE7622" w:rsidRDefault="00F026E8" w:rsidP="00AF19CC">
            <w:pPr>
              <w:pStyle w:val="72TabletextTablesTableFigureBoxstyles"/>
              <w:rPr>
                <w:rFonts w:eastAsia="Calibri"/>
                <w:color w:val="auto"/>
              </w:rPr>
            </w:pPr>
            <w:r w:rsidRPr="00FE7622">
              <w:rPr>
                <w:rFonts w:eastAsia="Calibri"/>
                <w:color w:val="auto"/>
              </w:rPr>
              <w:t xml:space="preserve">Mean </w:t>
            </w:r>
            <w:r w:rsidRPr="00842651">
              <w:rPr>
                <w:rFonts w:eastAsia="Calibri"/>
                <w:color w:val="auto"/>
              </w:rPr>
              <w:t>SPPB</w:t>
            </w:r>
            <w:r w:rsidRPr="00FE7622">
              <w:rPr>
                <w:rFonts w:eastAsia="Calibri"/>
                <w:color w:val="auto"/>
              </w:rPr>
              <w:t xml:space="preserve"> </w:t>
            </w:r>
            <w:r w:rsidR="00F1466D" w:rsidRPr="00FE7622">
              <w:rPr>
                <w:rFonts w:eastAsia="Calibri"/>
                <w:color w:val="auto"/>
              </w:rPr>
              <w:t xml:space="preserve">of </w:t>
            </w:r>
            <w:r w:rsidRPr="00FE7622">
              <w:rPr>
                <w:rFonts w:eastAsia="Calibri"/>
                <w:color w:val="auto"/>
              </w:rPr>
              <w:t>9.2</w:t>
            </w:r>
          </w:p>
          <w:p w14:paraId="48028106" w14:textId="71131E7D" w:rsidR="00F026E8" w:rsidRPr="00FE7622" w:rsidRDefault="00F026E8" w:rsidP="00AF19CC">
            <w:pPr>
              <w:pStyle w:val="72TabletextTablesTableFigureBoxstyles"/>
              <w:rPr>
                <w:rFonts w:eastAsia="Calibri"/>
              </w:rPr>
            </w:pPr>
            <w:r w:rsidRPr="00FE7622">
              <w:rPr>
                <w:rFonts w:eastAsia="Calibri"/>
                <w:color w:val="auto"/>
              </w:rPr>
              <w:t xml:space="preserve">Mean TUAG </w:t>
            </w:r>
            <w:r w:rsidR="00F1466D" w:rsidRPr="00FE7622">
              <w:rPr>
                <w:rFonts w:eastAsia="Calibri"/>
                <w:color w:val="auto"/>
              </w:rPr>
              <w:t xml:space="preserve">of </w:t>
            </w:r>
            <w:r w:rsidRPr="00FE7622">
              <w:rPr>
                <w:rFonts w:eastAsia="Calibri"/>
                <w:color w:val="auto"/>
              </w:rPr>
              <w:t>11.3</w:t>
            </w:r>
            <w:r w:rsidR="003379C5" w:rsidRPr="00FE7622">
              <w:rPr>
                <w:rFonts w:eastAsia="Calibri"/>
                <w:color w:val="auto"/>
              </w:rPr>
              <w:t xml:space="preserve"> </w:t>
            </w:r>
            <w:r w:rsidRPr="00FE7622">
              <w:rPr>
                <w:rFonts w:eastAsia="Calibri"/>
                <w:color w:val="auto"/>
              </w:rPr>
              <w:t>s</w:t>
            </w:r>
            <w:r w:rsidR="003379C5" w:rsidRPr="00FE7622">
              <w:rPr>
                <w:rFonts w:eastAsia="Calibri"/>
                <w:color w:val="auto"/>
              </w:rPr>
              <w:t>econds</w:t>
            </w:r>
          </w:p>
        </w:tc>
        <w:tc>
          <w:tcPr>
            <w:tcW w:w="0" w:type="auto"/>
            <w:shd w:val="clear" w:color="auto" w:fill="auto"/>
          </w:tcPr>
          <w:p w14:paraId="231CA38A" w14:textId="439F3E6C" w:rsidR="00F026E8" w:rsidRPr="00FE7622" w:rsidRDefault="00F026E8" w:rsidP="00AF19CC">
            <w:pPr>
              <w:pStyle w:val="72TabletextTablesTableFigureBoxstyles"/>
              <w:rPr>
                <w:rFonts w:eastAsia="Calibri"/>
              </w:rPr>
            </w:pPr>
            <w:r w:rsidRPr="00FE7622">
              <w:rPr>
                <w:rFonts w:eastAsia="Calibri"/>
                <w:color w:val="auto"/>
              </w:rPr>
              <w:t xml:space="preserve">10–20 mg </w:t>
            </w:r>
            <w:r w:rsidR="00842EDD" w:rsidRPr="00FE7622">
              <w:rPr>
                <w:rFonts w:eastAsia="Calibri"/>
                <w:color w:val="auto"/>
              </w:rPr>
              <w:t xml:space="preserve">of enalapril </w:t>
            </w:r>
            <w:r w:rsidRPr="00FE7622">
              <w:rPr>
                <w:rFonts w:eastAsia="Calibri"/>
                <w:color w:val="auto"/>
              </w:rPr>
              <w:t>once daily</w:t>
            </w:r>
            <w:r w:rsidR="00B822E7" w:rsidRPr="00FE7622">
              <w:rPr>
                <w:rFonts w:eastAsia="Calibri"/>
                <w:color w:val="auto"/>
              </w:rPr>
              <w:t xml:space="preserve"> plus </w:t>
            </w:r>
            <w:r w:rsidRPr="00FE7622">
              <w:rPr>
                <w:rFonts w:eastAsia="Calibri"/>
                <w:color w:val="auto"/>
              </w:rPr>
              <w:t>HCTZ if required</w:t>
            </w:r>
          </w:p>
        </w:tc>
        <w:tc>
          <w:tcPr>
            <w:tcW w:w="0" w:type="auto"/>
            <w:shd w:val="clear" w:color="auto" w:fill="auto"/>
          </w:tcPr>
          <w:p w14:paraId="1CBAAF3D" w14:textId="77777777" w:rsidR="00F026E8" w:rsidRPr="00FE7622" w:rsidRDefault="00F026E8" w:rsidP="00AF19CC">
            <w:pPr>
              <w:pStyle w:val="72TabletextTablesTableFigureBoxstyles"/>
              <w:rPr>
                <w:rFonts w:eastAsia="Calibri"/>
                <w:color w:val="auto"/>
              </w:rPr>
            </w:pPr>
            <w:r w:rsidRPr="00FE7622">
              <w:rPr>
                <w:rFonts w:eastAsia="Calibri"/>
                <w:color w:val="auto"/>
              </w:rPr>
              <w:t>Nifedipine slow-release 20 mg once daily</w:t>
            </w:r>
          </w:p>
        </w:tc>
        <w:tc>
          <w:tcPr>
            <w:tcW w:w="0" w:type="auto"/>
            <w:shd w:val="clear" w:color="auto" w:fill="auto"/>
          </w:tcPr>
          <w:p w14:paraId="40E1834A" w14:textId="77777777" w:rsidR="00F026E8" w:rsidRPr="00FE7622" w:rsidRDefault="00F026E8" w:rsidP="00AF19CC">
            <w:pPr>
              <w:pStyle w:val="72TabletextTablesTableFigureBoxstyles"/>
              <w:rPr>
                <w:rFonts w:eastAsia="Calibri"/>
              </w:rPr>
            </w:pPr>
            <w:r w:rsidRPr="00FE7622">
              <w:rPr>
                <w:rFonts w:eastAsia="Calibri"/>
                <w:color w:val="auto"/>
              </w:rPr>
              <w:t>12MWD</w:t>
            </w:r>
          </w:p>
        </w:tc>
        <w:tc>
          <w:tcPr>
            <w:tcW w:w="0" w:type="auto"/>
            <w:shd w:val="clear" w:color="auto" w:fill="auto"/>
          </w:tcPr>
          <w:p w14:paraId="26767657" w14:textId="77777777" w:rsidR="00F026E8" w:rsidRPr="00FE7622" w:rsidRDefault="00F026E8" w:rsidP="00AF19CC">
            <w:pPr>
              <w:pStyle w:val="72TabletextTablesTableFigureBoxstyles"/>
              <w:rPr>
                <w:rFonts w:eastAsia="Calibri"/>
                <w:color w:val="auto"/>
              </w:rPr>
            </w:pPr>
            <w:r w:rsidRPr="00FE7622">
              <w:rPr>
                <w:rFonts w:eastAsia="Calibri"/>
                <w:color w:val="auto"/>
              </w:rPr>
              <w:t>Handgrip strength</w:t>
            </w:r>
          </w:p>
          <w:p w14:paraId="29A6B3E2" w14:textId="067C5E85" w:rsidR="00F026E8" w:rsidRPr="00FE7622" w:rsidRDefault="00F026E8" w:rsidP="00AF19CC">
            <w:pPr>
              <w:pStyle w:val="72TabletextTablesTableFigureBoxstyles"/>
              <w:rPr>
                <w:rFonts w:eastAsia="Calibri"/>
                <w:color w:val="auto"/>
              </w:rPr>
            </w:pPr>
            <w:r w:rsidRPr="00FE7622">
              <w:rPr>
                <w:rFonts w:eastAsia="Calibri"/>
                <w:color w:val="auto"/>
              </w:rPr>
              <w:t>Quad</w:t>
            </w:r>
            <w:r w:rsidR="00B822E7" w:rsidRPr="00FE7622">
              <w:rPr>
                <w:rFonts w:eastAsia="Calibri"/>
                <w:color w:val="auto"/>
              </w:rPr>
              <w:t>ricep</w:t>
            </w:r>
            <w:r w:rsidRPr="00FE7622">
              <w:rPr>
                <w:rFonts w:eastAsia="Calibri"/>
                <w:color w:val="auto"/>
              </w:rPr>
              <w:t>s strength</w:t>
            </w:r>
          </w:p>
          <w:p w14:paraId="7B4FBB7E" w14:textId="77777777" w:rsidR="00F026E8" w:rsidRPr="00FE7622" w:rsidRDefault="00F026E8" w:rsidP="00AF19CC">
            <w:pPr>
              <w:pStyle w:val="72TabletextTablesTableFigureBoxstyles"/>
              <w:rPr>
                <w:rFonts w:eastAsia="Calibri"/>
                <w:color w:val="auto"/>
              </w:rPr>
            </w:pPr>
            <w:r w:rsidRPr="00842651">
              <w:rPr>
                <w:rFonts w:eastAsia="Calibri"/>
                <w:color w:val="auto"/>
              </w:rPr>
              <w:t>SPPB</w:t>
            </w:r>
          </w:p>
          <w:p w14:paraId="3CD8BB2C" w14:textId="77777777" w:rsidR="00F026E8" w:rsidRPr="00FE7622" w:rsidRDefault="00F026E8" w:rsidP="00AF19CC">
            <w:pPr>
              <w:pStyle w:val="72TabletextTablesTableFigureBoxstyles"/>
              <w:rPr>
                <w:rFonts w:eastAsia="Calibri"/>
              </w:rPr>
            </w:pPr>
            <w:r w:rsidRPr="00FE7622">
              <w:rPr>
                <w:rFonts w:eastAsia="Calibri"/>
                <w:color w:val="auto"/>
              </w:rPr>
              <w:t>TUAG</w:t>
            </w:r>
          </w:p>
        </w:tc>
        <w:tc>
          <w:tcPr>
            <w:tcW w:w="0" w:type="auto"/>
            <w:shd w:val="clear" w:color="auto" w:fill="auto"/>
          </w:tcPr>
          <w:p w14:paraId="61915E20" w14:textId="77777777" w:rsidR="00F026E8" w:rsidRPr="00FE7622" w:rsidRDefault="00F026E8" w:rsidP="00AF19CC">
            <w:pPr>
              <w:pStyle w:val="72TabletextTablesTableFigureBoxstyles"/>
              <w:rPr>
                <w:rFonts w:eastAsia="Calibri"/>
                <w:color w:val="auto"/>
              </w:rPr>
            </w:pPr>
            <w:r w:rsidRPr="00FE7622">
              <w:rPr>
                <w:rFonts w:eastAsia="Calibri"/>
                <w:color w:val="auto"/>
              </w:rPr>
              <w:t>9 months</w:t>
            </w:r>
          </w:p>
        </w:tc>
      </w:tr>
      <w:tr w:rsidR="00842EDD" w:rsidRPr="00FE7622" w14:paraId="783BCFA9" w14:textId="77777777" w:rsidTr="00AF19CC">
        <w:trPr>
          <w:cantSplit/>
        </w:trPr>
        <w:tc>
          <w:tcPr>
            <w:tcW w:w="0" w:type="auto"/>
            <w:shd w:val="clear" w:color="auto" w:fill="auto"/>
          </w:tcPr>
          <w:p w14:paraId="0CD6B06D" w14:textId="4C047DC8" w:rsidR="00F026E8" w:rsidRPr="00FE7622" w:rsidRDefault="00F026E8" w:rsidP="00AF19CC">
            <w:pPr>
              <w:pStyle w:val="72TabletextTablesTableFigureBoxstyles"/>
              <w:rPr>
                <w:rFonts w:eastAsia="Calibri"/>
                <w:color w:val="auto"/>
              </w:rPr>
            </w:pPr>
            <w:r w:rsidRPr="00FE7622">
              <w:rPr>
                <w:rFonts w:eastAsia="Calibri"/>
                <w:color w:val="auto"/>
              </w:rPr>
              <w:t>Cesari</w:t>
            </w:r>
            <w:r w:rsidR="00F1466D" w:rsidRPr="00FE7622">
              <w:rPr>
                <w:rFonts w:eastAsia="Calibri"/>
                <w:color w:val="auto"/>
              </w:rPr>
              <w:t>,</w:t>
            </w:r>
            <w:r w:rsidR="001F6207" w:rsidRPr="00FE7622">
              <w:rPr>
                <w:rFonts w:eastAsia="Calibri"/>
                <w:color w:val="auto"/>
              </w:rPr>
              <w:t xml:space="preserve"> </w:t>
            </w:r>
            <w:r w:rsidRPr="00FE7622">
              <w:rPr>
                <w:rFonts w:eastAsia="Calibri"/>
                <w:color w:val="auto"/>
              </w:rPr>
              <w:t>2010</w:t>
            </w:r>
            <w:r w:rsidR="00E038BF" w:rsidRPr="00FE7622">
              <w:rPr>
                <w:rFonts w:eastAsia="Calibri"/>
                <w:color w:val="auto"/>
                <w:vertAlign w:val="superscript"/>
              </w:rPr>
              <w:t>83</w:t>
            </w:r>
          </w:p>
        </w:tc>
        <w:tc>
          <w:tcPr>
            <w:tcW w:w="0" w:type="auto"/>
            <w:shd w:val="clear" w:color="auto" w:fill="auto"/>
          </w:tcPr>
          <w:p w14:paraId="233AF6AE" w14:textId="77777777" w:rsidR="00F026E8" w:rsidRPr="00FE7622" w:rsidRDefault="00F026E8" w:rsidP="00AF19CC">
            <w:pPr>
              <w:pStyle w:val="72TabletextTablesTableFigureBoxstyles"/>
              <w:rPr>
                <w:rFonts w:eastAsia="Calibri"/>
              </w:rPr>
            </w:pPr>
            <w:r w:rsidRPr="00FE7622">
              <w:rPr>
                <w:rFonts w:eastAsia="Calibri"/>
                <w:color w:val="auto"/>
              </w:rPr>
              <w:t>USA</w:t>
            </w:r>
          </w:p>
        </w:tc>
        <w:tc>
          <w:tcPr>
            <w:tcW w:w="0" w:type="auto"/>
            <w:shd w:val="clear" w:color="auto" w:fill="auto"/>
          </w:tcPr>
          <w:p w14:paraId="281623B7" w14:textId="77777777" w:rsidR="00F026E8" w:rsidRPr="00FE7622" w:rsidRDefault="00F026E8" w:rsidP="00AF19CC">
            <w:pPr>
              <w:pStyle w:val="72TabletextTablesTableFigureBoxstyles"/>
              <w:rPr>
                <w:rFonts w:eastAsia="Calibri"/>
              </w:rPr>
            </w:pPr>
            <w:r w:rsidRPr="00FE7622">
              <w:rPr>
                <w:rFonts w:eastAsia="Calibri"/>
                <w:color w:val="auto"/>
              </w:rPr>
              <w:t>294</w:t>
            </w:r>
          </w:p>
        </w:tc>
        <w:tc>
          <w:tcPr>
            <w:tcW w:w="0" w:type="auto"/>
            <w:shd w:val="clear" w:color="auto" w:fill="auto"/>
          </w:tcPr>
          <w:p w14:paraId="7464E74A" w14:textId="77777777" w:rsidR="00F026E8" w:rsidRPr="00FE7622" w:rsidRDefault="00F026E8" w:rsidP="00AF19CC">
            <w:pPr>
              <w:pStyle w:val="72TabletextTablesTableFigureBoxstyles"/>
              <w:rPr>
                <w:rFonts w:eastAsia="Calibri"/>
              </w:rPr>
            </w:pPr>
            <w:r w:rsidRPr="00FE7622">
              <w:rPr>
                <w:rFonts w:eastAsia="Calibri"/>
                <w:color w:val="auto"/>
              </w:rPr>
              <w:t>66</w:t>
            </w:r>
          </w:p>
        </w:tc>
        <w:tc>
          <w:tcPr>
            <w:tcW w:w="0" w:type="auto"/>
            <w:shd w:val="clear" w:color="auto" w:fill="auto"/>
          </w:tcPr>
          <w:p w14:paraId="5E09EA7B" w14:textId="77777777" w:rsidR="00F026E8" w:rsidRPr="00FE7622" w:rsidRDefault="00F026E8" w:rsidP="00AF19CC">
            <w:pPr>
              <w:pStyle w:val="72TabletextTablesTableFigureBoxstyles"/>
              <w:rPr>
                <w:rFonts w:eastAsia="Calibri"/>
              </w:rPr>
            </w:pPr>
            <w:r w:rsidRPr="00FE7622">
              <w:rPr>
                <w:rFonts w:eastAsia="Calibri"/>
                <w:color w:val="auto"/>
              </w:rPr>
              <w:t>42</w:t>
            </w:r>
          </w:p>
        </w:tc>
        <w:tc>
          <w:tcPr>
            <w:tcW w:w="0" w:type="auto"/>
            <w:shd w:val="clear" w:color="auto" w:fill="auto"/>
          </w:tcPr>
          <w:p w14:paraId="3D756067" w14:textId="1DA4F96D" w:rsidR="00F026E8" w:rsidRPr="00FE7622" w:rsidRDefault="00BD64BD" w:rsidP="00AF19CC">
            <w:pPr>
              <w:pStyle w:val="72TabletextTablesTableFigureBoxstyles"/>
              <w:rPr>
                <w:rFonts w:eastAsia="Calibri"/>
              </w:rPr>
            </w:pPr>
            <w:r w:rsidRPr="00FE7622">
              <w:rPr>
                <w:rFonts w:eastAsia="Calibri"/>
                <w:color w:val="auto"/>
              </w:rPr>
              <w:t>Aged ≥ </w:t>
            </w:r>
            <w:r w:rsidR="00F026E8" w:rsidRPr="00FE7622">
              <w:rPr>
                <w:rFonts w:eastAsia="Calibri"/>
                <w:color w:val="auto"/>
              </w:rPr>
              <w:t xml:space="preserve">55 </w:t>
            </w:r>
            <w:r w:rsidR="00144CB5" w:rsidRPr="00FE7622">
              <w:rPr>
                <w:rFonts w:eastAsia="Calibri"/>
                <w:color w:val="auto"/>
              </w:rPr>
              <w:t xml:space="preserve">years </w:t>
            </w:r>
            <w:r w:rsidR="00F026E8" w:rsidRPr="00FE7622">
              <w:rPr>
                <w:rFonts w:eastAsia="Calibri"/>
                <w:color w:val="auto"/>
              </w:rPr>
              <w:t>with elevated cardiovascular risk</w:t>
            </w:r>
          </w:p>
        </w:tc>
        <w:tc>
          <w:tcPr>
            <w:tcW w:w="0" w:type="auto"/>
            <w:shd w:val="clear" w:color="auto" w:fill="auto"/>
          </w:tcPr>
          <w:p w14:paraId="5B002296" w14:textId="77777777" w:rsidR="00F026E8" w:rsidRPr="00FE7622" w:rsidRDefault="00F026E8" w:rsidP="00AF19CC">
            <w:pPr>
              <w:pStyle w:val="72TabletextTablesTableFigureBoxstyles"/>
              <w:rPr>
                <w:rFonts w:eastAsia="Calibri"/>
                <w:color w:val="auto"/>
              </w:rPr>
            </w:pPr>
            <w:r w:rsidRPr="00FE7622">
              <w:rPr>
                <w:rFonts w:eastAsia="Calibri"/>
                <w:color w:val="auto"/>
              </w:rPr>
              <w:t xml:space="preserve">Rescaled </w:t>
            </w:r>
            <w:r w:rsidRPr="00842651">
              <w:rPr>
                <w:rFonts w:eastAsia="Calibri"/>
                <w:color w:val="auto"/>
              </w:rPr>
              <w:t>SPPB</w:t>
            </w:r>
          </w:p>
          <w:p w14:paraId="2F3BC629" w14:textId="03D4942C" w:rsidR="00F026E8" w:rsidRPr="00FE7622" w:rsidRDefault="00F026E8" w:rsidP="00AF19CC">
            <w:pPr>
              <w:pStyle w:val="72TabletextTablesTableFigureBoxstyles"/>
              <w:rPr>
                <w:rFonts w:eastAsia="Calibri"/>
              </w:rPr>
            </w:pPr>
            <w:r w:rsidRPr="00FE7622">
              <w:rPr>
                <w:rFonts w:eastAsia="Calibri"/>
                <w:color w:val="auto"/>
              </w:rPr>
              <w:t xml:space="preserve">Handgrip </w:t>
            </w:r>
            <w:r w:rsidR="00F1466D" w:rsidRPr="00FE7622">
              <w:rPr>
                <w:rFonts w:eastAsia="Calibri"/>
                <w:color w:val="auto"/>
              </w:rPr>
              <w:t xml:space="preserve">of </w:t>
            </w:r>
            <w:r w:rsidRPr="00FE7622">
              <w:rPr>
                <w:rFonts w:eastAsia="Calibri"/>
                <w:color w:val="auto"/>
              </w:rPr>
              <w:t>39.0</w:t>
            </w:r>
            <w:r w:rsidR="008F27B7" w:rsidRPr="00FE7622">
              <w:rPr>
                <w:rFonts w:eastAsia="Calibri"/>
                <w:color w:val="auto"/>
              </w:rPr>
              <w:t> </w:t>
            </w:r>
            <w:r w:rsidRPr="00FE7622">
              <w:rPr>
                <w:rFonts w:eastAsia="Calibri"/>
                <w:color w:val="auto"/>
              </w:rPr>
              <w:t>kg</w:t>
            </w:r>
          </w:p>
        </w:tc>
        <w:tc>
          <w:tcPr>
            <w:tcW w:w="0" w:type="auto"/>
            <w:shd w:val="clear" w:color="auto" w:fill="auto"/>
          </w:tcPr>
          <w:p w14:paraId="232DDB6D" w14:textId="5F01E403" w:rsidR="00F026E8" w:rsidRPr="00FE7622" w:rsidRDefault="00F026E8" w:rsidP="00AF19CC">
            <w:pPr>
              <w:pStyle w:val="72TabletextTablesTableFigureBoxstyles"/>
              <w:rPr>
                <w:rFonts w:eastAsia="Calibri"/>
              </w:rPr>
            </w:pPr>
            <w:r w:rsidRPr="00FE7622">
              <w:rPr>
                <w:rFonts w:eastAsia="Calibri"/>
                <w:color w:val="auto"/>
              </w:rPr>
              <w:t xml:space="preserve">20–40 mg </w:t>
            </w:r>
            <w:r w:rsidR="00842EDD" w:rsidRPr="00FE7622">
              <w:rPr>
                <w:rFonts w:eastAsia="Calibri"/>
                <w:color w:val="auto"/>
              </w:rPr>
              <w:t xml:space="preserve">of fosinopril </w:t>
            </w:r>
            <w:r w:rsidRPr="00FE7622">
              <w:rPr>
                <w:rFonts w:eastAsia="Calibri"/>
                <w:color w:val="auto"/>
              </w:rPr>
              <w:t>once daily</w:t>
            </w:r>
          </w:p>
        </w:tc>
        <w:tc>
          <w:tcPr>
            <w:tcW w:w="0" w:type="auto"/>
            <w:shd w:val="clear" w:color="auto" w:fill="auto"/>
          </w:tcPr>
          <w:p w14:paraId="3147B7D8" w14:textId="77777777" w:rsidR="00F026E8" w:rsidRPr="00FE7622" w:rsidRDefault="00F026E8" w:rsidP="00AF19CC">
            <w:pPr>
              <w:pStyle w:val="72TabletextTablesTableFigureBoxstyles"/>
              <w:rPr>
                <w:rFonts w:eastAsia="Calibri"/>
              </w:rPr>
            </w:pPr>
            <w:r w:rsidRPr="00FE7622">
              <w:rPr>
                <w:rFonts w:eastAsia="Calibri"/>
                <w:color w:val="auto"/>
              </w:rPr>
              <w:t>Placebo</w:t>
            </w:r>
          </w:p>
        </w:tc>
        <w:tc>
          <w:tcPr>
            <w:tcW w:w="0" w:type="auto"/>
            <w:shd w:val="clear" w:color="auto" w:fill="auto"/>
          </w:tcPr>
          <w:p w14:paraId="2764ABBE" w14:textId="77777777" w:rsidR="00F026E8" w:rsidRPr="00FE7622" w:rsidRDefault="00F026E8" w:rsidP="00AF19CC">
            <w:pPr>
              <w:pStyle w:val="72TabletextTablesTableFigureBoxstyles"/>
              <w:rPr>
                <w:rFonts w:eastAsia="Calibri"/>
              </w:rPr>
            </w:pPr>
            <w:r w:rsidRPr="00FE7622">
              <w:rPr>
                <w:rFonts w:eastAsia="Calibri"/>
                <w:color w:val="auto"/>
              </w:rPr>
              <w:t xml:space="preserve">Rescaled </w:t>
            </w:r>
            <w:r w:rsidRPr="00842651">
              <w:rPr>
                <w:rFonts w:eastAsia="Calibri"/>
                <w:color w:val="auto"/>
              </w:rPr>
              <w:t>SPPB</w:t>
            </w:r>
          </w:p>
        </w:tc>
        <w:tc>
          <w:tcPr>
            <w:tcW w:w="0" w:type="auto"/>
            <w:shd w:val="clear" w:color="auto" w:fill="auto"/>
          </w:tcPr>
          <w:p w14:paraId="5C1D5C6E" w14:textId="77777777" w:rsidR="00F026E8" w:rsidRPr="00FE7622" w:rsidRDefault="00F026E8" w:rsidP="00AF19CC">
            <w:pPr>
              <w:pStyle w:val="72TabletextTablesTableFigureBoxstyles"/>
              <w:rPr>
                <w:rFonts w:eastAsia="Calibri"/>
              </w:rPr>
            </w:pPr>
            <w:r w:rsidRPr="00FE7622">
              <w:rPr>
                <w:rFonts w:eastAsia="Calibri"/>
                <w:color w:val="auto"/>
              </w:rPr>
              <w:t>Handgrip strength</w:t>
            </w:r>
          </w:p>
        </w:tc>
        <w:tc>
          <w:tcPr>
            <w:tcW w:w="0" w:type="auto"/>
            <w:shd w:val="clear" w:color="auto" w:fill="auto"/>
          </w:tcPr>
          <w:p w14:paraId="6D6FE1F1" w14:textId="77777777" w:rsidR="00F026E8" w:rsidRPr="00FE7622" w:rsidRDefault="00F026E8" w:rsidP="00AF19CC">
            <w:pPr>
              <w:pStyle w:val="72TabletextTablesTableFigureBoxstyles"/>
              <w:rPr>
                <w:rFonts w:eastAsia="Calibri"/>
                <w:color w:val="auto"/>
              </w:rPr>
            </w:pPr>
            <w:r w:rsidRPr="00FE7622">
              <w:rPr>
                <w:rFonts w:eastAsia="Calibri"/>
                <w:color w:val="auto"/>
              </w:rPr>
              <w:t>6 months</w:t>
            </w:r>
          </w:p>
        </w:tc>
      </w:tr>
      <w:tr w:rsidR="00842EDD" w:rsidRPr="00FE7622" w14:paraId="2A0FC72A" w14:textId="77777777" w:rsidTr="00AF19CC">
        <w:trPr>
          <w:cantSplit/>
        </w:trPr>
        <w:tc>
          <w:tcPr>
            <w:tcW w:w="0" w:type="auto"/>
            <w:shd w:val="clear" w:color="auto" w:fill="auto"/>
          </w:tcPr>
          <w:p w14:paraId="299A8301" w14:textId="635A4AA1" w:rsidR="00F026E8" w:rsidRPr="00FE7622" w:rsidRDefault="00F026E8" w:rsidP="00AF19CC">
            <w:pPr>
              <w:pStyle w:val="72TabletextTablesTableFigureBoxstyles"/>
              <w:rPr>
                <w:rFonts w:eastAsia="Calibri"/>
              </w:rPr>
            </w:pPr>
            <w:r w:rsidRPr="00FE7622">
              <w:rPr>
                <w:rFonts w:eastAsia="Calibri"/>
                <w:color w:val="auto"/>
              </w:rPr>
              <w:t>Sumukadas</w:t>
            </w:r>
            <w:r w:rsidR="00F1466D" w:rsidRPr="00FE7622">
              <w:rPr>
                <w:rFonts w:eastAsia="Calibri"/>
                <w:color w:val="auto"/>
              </w:rPr>
              <w:t>,</w:t>
            </w:r>
            <w:r w:rsidRPr="00FE7622">
              <w:rPr>
                <w:rFonts w:eastAsia="Calibri"/>
                <w:color w:val="auto"/>
              </w:rPr>
              <w:t xml:space="preserve"> 2013</w:t>
            </w:r>
            <w:r w:rsidR="00E038BF" w:rsidRPr="00FE7622">
              <w:rPr>
                <w:rFonts w:eastAsia="Calibri"/>
                <w:color w:val="auto"/>
                <w:vertAlign w:val="superscript"/>
              </w:rPr>
              <w:t>34</w:t>
            </w:r>
          </w:p>
        </w:tc>
        <w:tc>
          <w:tcPr>
            <w:tcW w:w="0" w:type="auto"/>
            <w:shd w:val="clear" w:color="auto" w:fill="auto"/>
          </w:tcPr>
          <w:p w14:paraId="27A0738A" w14:textId="77777777" w:rsidR="00F026E8" w:rsidRPr="00FE7622" w:rsidRDefault="00F026E8" w:rsidP="00AF19CC">
            <w:pPr>
              <w:pStyle w:val="72TabletextTablesTableFigureBoxstyles"/>
              <w:rPr>
                <w:rFonts w:eastAsia="Calibri"/>
              </w:rPr>
            </w:pPr>
            <w:r w:rsidRPr="00FE7622">
              <w:rPr>
                <w:rFonts w:eastAsia="Calibri"/>
                <w:color w:val="auto"/>
              </w:rPr>
              <w:t>Scotland</w:t>
            </w:r>
          </w:p>
        </w:tc>
        <w:tc>
          <w:tcPr>
            <w:tcW w:w="0" w:type="auto"/>
            <w:shd w:val="clear" w:color="auto" w:fill="auto"/>
          </w:tcPr>
          <w:p w14:paraId="517D351F" w14:textId="77777777" w:rsidR="00F026E8" w:rsidRPr="00FE7622" w:rsidRDefault="00F026E8" w:rsidP="00AF19CC">
            <w:pPr>
              <w:pStyle w:val="72TabletextTablesTableFigureBoxstyles"/>
              <w:rPr>
                <w:rFonts w:eastAsia="Calibri"/>
              </w:rPr>
            </w:pPr>
            <w:r w:rsidRPr="00FE7622">
              <w:rPr>
                <w:rFonts w:eastAsia="Calibri"/>
                <w:color w:val="auto"/>
              </w:rPr>
              <w:t>170</w:t>
            </w:r>
          </w:p>
        </w:tc>
        <w:tc>
          <w:tcPr>
            <w:tcW w:w="0" w:type="auto"/>
            <w:shd w:val="clear" w:color="auto" w:fill="auto"/>
          </w:tcPr>
          <w:p w14:paraId="4B6BC4BF" w14:textId="77777777" w:rsidR="00F026E8" w:rsidRPr="00FE7622" w:rsidRDefault="00F026E8" w:rsidP="00AF19CC">
            <w:pPr>
              <w:pStyle w:val="72TabletextTablesTableFigureBoxstyles"/>
              <w:rPr>
                <w:rFonts w:eastAsia="Calibri"/>
              </w:rPr>
            </w:pPr>
            <w:r w:rsidRPr="00FE7622">
              <w:rPr>
                <w:rFonts w:eastAsia="Calibri"/>
                <w:color w:val="auto"/>
              </w:rPr>
              <w:t>76</w:t>
            </w:r>
          </w:p>
        </w:tc>
        <w:tc>
          <w:tcPr>
            <w:tcW w:w="0" w:type="auto"/>
            <w:shd w:val="clear" w:color="auto" w:fill="auto"/>
          </w:tcPr>
          <w:p w14:paraId="0067AF1A" w14:textId="77777777" w:rsidR="00F026E8" w:rsidRPr="00FE7622" w:rsidRDefault="00F026E8" w:rsidP="00AF19CC">
            <w:pPr>
              <w:pStyle w:val="72TabletextTablesTableFigureBoxstyles"/>
              <w:rPr>
                <w:rFonts w:eastAsia="Calibri"/>
              </w:rPr>
            </w:pPr>
            <w:r w:rsidRPr="00FE7622">
              <w:rPr>
                <w:rFonts w:eastAsia="Calibri"/>
                <w:color w:val="auto"/>
              </w:rPr>
              <w:t>42</w:t>
            </w:r>
          </w:p>
        </w:tc>
        <w:tc>
          <w:tcPr>
            <w:tcW w:w="0" w:type="auto"/>
            <w:shd w:val="clear" w:color="auto" w:fill="auto"/>
          </w:tcPr>
          <w:p w14:paraId="24B53883" w14:textId="6C06471E" w:rsidR="00F026E8" w:rsidRPr="00FE7622" w:rsidRDefault="00BD64BD" w:rsidP="00AF19CC">
            <w:pPr>
              <w:pStyle w:val="72TabletextTablesTableFigureBoxstyles"/>
              <w:rPr>
                <w:rFonts w:eastAsia="Calibri"/>
              </w:rPr>
            </w:pPr>
            <w:r w:rsidRPr="00FE7622">
              <w:rPr>
                <w:rFonts w:eastAsia="Calibri"/>
                <w:color w:val="auto"/>
              </w:rPr>
              <w:t>Aged ≥ </w:t>
            </w:r>
            <w:r w:rsidR="00F026E8" w:rsidRPr="00FE7622">
              <w:rPr>
                <w:rFonts w:eastAsia="Calibri"/>
                <w:color w:val="auto"/>
              </w:rPr>
              <w:t>65</w:t>
            </w:r>
            <w:r w:rsidRPr="00FE7622">
              <w:rPr>
                <w:rFonts w:eastAsia="Calibri"/>
                <w:color w:val="auto"/>
              </w:rPr>
              <w:t xml:space="preserve"> years</w:t>
            </w:r>
            <w:r w:rsidR="00F026E8" w:rsidRPr="00FE7622">
              <w:rPr>
                <w:rFonts w:eastAsia="Calibri"/>
                <w:color w:val="auto"/>
              </w:rPr>
              <w:t xml:space="preserve"> with </w:t>
            </w:r>
            <w:r w:rsidR="00F026E8" w:rsidRPr="00842651">
              <w:rPr>
                <w:rFonts w:eastAsia="Calibri"/>
                <w:color w:val="auto"/>
              </w:rPr>
              <w:t>SPPB</w:t>
            </w:r>
            <w:r w:rsidR="00F1466D" w:rsidRPr="00FE7622">
              <w:rPr>
                <w:rFonts w:eastAsia="Calibri"/>
                <w:color w:val="auto"/>
              </w:rPr>
              <w:t xml:space="preserve"> of</w:t>
            </w:r>
            <w:r w:rsidR="00F026E8" w:rsidRPr="00FE7622">
              <w:rPr>
                <w:rFonts w:eastAsia="Calibri"/>
                <w:color w:val="auto"/>
              </w:rPr>
              <w:t xml:space="preserve"> </w:t>
            </w:r>
            <w:r w:rsidR="00F026E8" w:rsidRPr="00FE7622">
              <w:rPr>
                <w:rFonts w:eastAsia="Calibri" w:cs="Calibri"/>
                <w:color w:val="auto"/>
              </w:rPr>
              <w:t>≤ </w:t>
            </w:r>
            <w:r w:rsidR="00F026E8" w:rsidRPr="00FE7622">
              <w:rPr>
                <w:rFonts w:eastAsia="Calibri"/>
                <w:color w:val="auto"/>
              </w:rPr>
              <w:t>10</w:t>
            </w:r>
          </w:p>
        </w:tc>
        <w:tc>
          <w:tcPr>
            <w:tcW w:w="0" w:type="auto"/>
            <w:shd w:val="clear" w:color="auto" w:fill="auto"/>
          </w:tcPr>
          <w:p w14:paraId="5745B8AE" w14:textId="327E88C4" w:rsidR="00F026E8" w:rsidRPr="00FE7622" w:rsidRDefault="00F026E8" w:rsidP="00AF19CC">
            <w:pPr>
              <w:pStyle w:val="72TabletextTablesTableFigureBoxstyles"/>
              <w:rPr>
                <w:rFonts w:eastAsia="Calibri"/>
                <w:color w:val="auto"/>
              </w:rPr>
            </w:pPr>
            <w:r w:rsidRPr="00FE7622">
              <w:rPr>
                <w:rFonts w:eastAsia="Calibri"/>
                <w:color w:val="auto"/>
              </w:rPr>
              <w:t xml:space="preserve">Mean 6MWD </w:t>
            </w:r>
            <w:r w:rsidR="00F1466D" w:rsidRPr="00FE7622">
              <w:rPr>
                <w:rFonts w:eastAsia="Calibri"/>
                <w:color w:val="auto"/>
              </w:rPr>
              <w:t xml:space="preserve">of </w:t>
            </w:r>
            <w:r w:rsidRPr="00FE7622">
              <w:rPr>
                <w:rFonts w:eastAsia="Calibri"/>
                <w:color w:val="auto"/>
              </w:rPr>
              <w:t>306 m</w:t>
            </w:r>
          </w:p>
          <w:p w14:paraId="28CAD131" w14:textId="75FB33B3" w:rsidR="00F026E8" w:rsidRPr="00FE7622" w:rsidRDefault="00F026E8" w:rsidP="00AF19CC">
            <w:pPr>
              <w:pStyle w:val="72TabletextTablesTableFigureBoxstyles"/>
              <w:rPr>
                <w:rFonts w:eastAsia="Calibri"/>
                <w:color w:val="auto"/>
              </w:rPr>
            </w:pPr>
            <w:r w:rsidRPr="00FE7622">
              <w:rPr>
                <w:rFonts w:eastAsia="Calibri"/>
                <w:color w:val="auto"/>
              </w:rPr>
              <w:t xml:space="preserve">Mean grip strength </w:t>
            </w:r>
            <w:r w:rsidR="00F1466D" w:rsidRPr="00FE7622">
              <w:rPr>
                <w:rFonts w:eastAsia="Calibri"/>
                <w:color w:val="auto"/>
              </w:rPr>
              <w:t xml:space="preserve">of </w:t>
            </w:r>
            <w:r w:rsidRPr="00FE7622">
              <w:rPr>
                <w:rFonts w:eastAsia="Calibri"/>
                <w:color w:val="auto"/>
              </w:rPr>
              <w:t>20.1 kg</w:t>
            </w:r>
          </w:p>
          <w:p w14:paraId="07C80073" w14:textId="5E767E07" w:rsidR="00F026E8" w:rsidRPr="00FE7622" w:rsidRDefault="00F026E8" w:rsidP="00AF19CC">
            <w:pPr>
              <w:pStyle w:val="72TabletextTablesTableFigureBoxstyles"/>
              <w:rPr>
                <w:rFonts w:eastAsia="Calibri"/>
                <w:color w:val="auto"/>
              </w:rPr>
            </w:pPr>
            <w:r w:rsidRPr="00FE7622">
              <w:rPr>
                <w:rFonts w:eastAsia="Calibri"/>
                <w:color w:val="auto"/>
              </w:rPr>
              <w:t>Mean quad</w:t>
            </w:r>
            <w:r w:rsidR="00032767" w:rsidRPr="00FE7622">
              <w:rPr>
                <w:rFonts w:eastAsia="Calibri"/>
                <w:color w:val="auto"/>
              </w:rPr>
              <w:t>ricep</w:t>
            </w:r>
            <w:r w:rsidRPr="00FE7622">
              <w:rPr>
                <w:rFonts w:eastAsia="Calibri"/>
                <w:color w:val="auto"/>
              </w:rPr>
              <w:t xml:space="preserve">s strength </w:t>
            </w:r>
            <w:r w:rsidR="00F1466D" w:rsidRPr="00FE7622">
              <w:rPr>
                <w:rFonts w:eastAsia="Calibri"/>
                <w:color w:val="auto"/>
              </w:rPr>
              <w:t xml:space="preserve">of </w:t>
            </w:r>
            <w:r w:rsidRPr="00FE7622">
              <w:rPr>
                <w:rFonts w:eastAsia="Calibri"/>
                <w:color w:val="auto"/>
              </w:rPr>
              <w:t>18.4 kg</w:t>
            </w:r>
          </w:p>
          <w:p w14:paraId="1EC5DF5F" w14:textId="780B84ED" w:rsidR="00F026E8" w:rsidRPr="00FE7622" w:rsidRDefault="00F026E8" w:rsidP="00AF19CC">
            <w:pPr>
              <w:pStyle w:val="72TabletextTablesTableFigureBoxstyles"/>
              <w:rPr>
                <w:rFonts w:eastAsia="Calibri"/>
              </w:rPr>
            </w:pPr>
            <w:r w:rsidRPr="00FE7622">
              <w:rPr>
                <w:rFonts w:eastAsia="Calibri"/>
                <w:color w:val="auto"/>
              </w:rPr>
              <w:t xml:space="preserve">Mean </w:t>
            </w:r>
            <w:r w:rsidRPr="00842651">
              <w:rPr>
                <w:rFonts w:eastAsia="Calibri"/>
                <w:color w:val="auto"/>
              </w:rPr>
              <w:t>SPPB</w:t>
            </w:r>
            <w:r w:rsidRPr="00FE7622">
              <w:rPr>
                <w:rFonts w:eastAsia="Calibri"/>
                <w:color w:val="auto"/>
              </w:rPr>
              <w:t xml:space="preserve"> </w:t>
            </w:r>
            <w:r w:rsidR="00F1466D" w:rsidRPr="00FE7622">
              <w:rPr>
                <w:rFonts w:eastAsia="Calibri"/>
                <w:color w:val="auto"/>
              </w:rPr>
              <w:t xml:space="preserve">of </w:t>
            </w:r>
            <w:r w:rsidRPr="00FE7622">
              <w:rPr>
                <w:rFonts w:eastAsia="Calibri"/>
                <w:color w:val="auto"/>
              </w:rPr>
              <w:t>7.6</w:t>
            </w:r>
          </w:p>
        </w:tc>
        <w:tc>
          <w:tcPr>
            <w:tcW w:w="0" w:type="auto"/>
            <w:shd w:val="clear" w:color="auto" w:fill="auto"/>
          </w:tcPr>
          <w:p w14:paraId="2816FDB4" w14:textId="5148351B" w:rsidR="00F026E8" w:rsidRPr="00FE7622" w:rsidRDefault="00F026E8" w:rsidP="00AF19CC">
            <w:pPr>
              <w:pStyle w:val="72TabletextTablesTableFigureBoxstyles"/>
              <w:rPr>
                <w:rFonts w:eastAsia="Calibri"/>
              </w:rPr>
            </w:pPr>
            <w:r w:rsidRPr="00FE7622">
              <w:rPr>
                <w:rFonts w:eastAsia="Calibri"/>
                <w:color w:val="auto"/>
              </w:rPr>
              <w:t xml:space="preserve">2–4 mg </w:t>
            </w:r>
            <w:r w:rsidR="00842EDD" w:rsidRPr="00FE7622">
              <w:rPr>
                <w:rFonts w:eastAsia="Calibri"/>
                <w:color w:val="auto"/>
              </w:rPr>
              <w:t xml:space="preserve">of perindopril </w:t>
            </w:r>
            <w:r w:rsidRPr="00FE7622">
              <w:rPr>
                <w:rFonts w:eastAsia="Calibri"/>
                <w:color w:val="auto"/>
              </w:rPr>
              <w:t>once daily</w:t>
            </w:r>
            <w:r w:rsidR="00032767" w:rsidRPr="00FE7622">
              <w:rPr>
                <w:rFonts w:eastAsia="Calibri"/>
                <w:color w:val="auto"/>
              </w:rPr>
              <w:t xml:space="preserve"> plus </w:t>
            </w:r>
            <w:r w:rsidRPr="00FE7622">
              <w:rPr>
                <w:rFonts w:eastAsia="Calibri"/>
                <w:color w:val="auto"/>
              </w:rPr>
              <w:t>mixed</w:t>
            </w:r>
            <w:r w:rsidR="007E0AF4" w:rsidRPr="00FE7622">
              <w:rPr>
                <w:rFonts w:eastAsia="Calibri"/>
                <w:color w:val="auto"/>
              </w:rPr>
              <w:t>-</w:t>
            </w:r>
            <w:r w:rsidRPr="00FE7622">
              <w:rPr>
                <w:rFonts w:eastAsia="Calibri"/>
                <w:color w:val="auto"/>
              </w:rPr>
              <w:t>modality exercise training</w:t>
            </w:r>
          </w:p>
        </w:tc>
        <w:tc>
          <w:tcPr>
            <w:tcW w:w="0" w:type="auto"/>
            <w:shd w:val="clear" w:color="auto" w:fill="auto"/>
          </w:tcPr>
          <w:p w14:paraId="150FB317" w14:textId="7D4B30F6" w:rsidR="00F026E8" w:rsidRPr="00FE7622" w:rsidRDefault="00F026E8" w:rsidP="00AF19CC">
            <w:pPr>
              <w:pStyle w:val="72TabletextTablesTableFigureBoxstyles"/>
              <w:rPr>
                <w:rFonts w:eastAsia="Calibri"/>
                <w:color w:val="auto"/>
              </w:rPr>
            </w:pPr>
            <w:r w:rsidRPr="00FE7622">
              <w:rPr>
                <w:rFonts w:eastAsia="Calibri"/>
                <w:color w:val="auto"/>
              </w:rPr>
              <w:t>Placebo</w:t>
            </w:r>
            <w:r w:rsidR="00032767" w:rsidRPr="00FE7622">
              <w:rPr>
                <w:rFonts w:eastAsia="Calibri"/>
                <w:color w:val="auto"/>
              </w:rPr>
              <w:t xml:space="preserve"> plus </w:t>
            </w:r>
            <w:r w:rsidRPr="00FE7622">
              <w:rPr>
                <w:rFonts w:eastAsia="Calibri"/>
                <w:color w:val="auto"/>
              </w:rPr>
              <w:t>mixed</w:t>
            </w:r>
            <w:r w:rsidR="001F6207" w:rsidRPr="00FE7622">
              <w:rPr>
                <w:rFonts w:eastAsia="Calibri"/>
                <w:color w:val="auto"/>
              </w:rPr>
              <w:t>-</w:t>
            </w:r>
            <w:r w:rsidRPr="00FE7622">
              <w:rPr>
                <w:rFonts w:eastAsia="Calibri"/>
                <w:color w:val="auto"/>
              </w:rPr>
              <w:t>modality exercise training</w:t>
            </w:r>
          </w:p>
        </w:tc>
        <w:tc>
          <w:tcPr>
            <w:tcW w:w="0" w:type="auto"/>
            <w:shd w:val="clear" w:color="auto" w:fill="auto"/>
          </w:tcPr>
          <w:p w14:paraId="165644E3" w14:textId="77777777" w:rsidR="00F026E8" w:rsidRPr="00FE7622" w:rsidRDefault="00F026E8" w:rsidP="00AF19CC">
            <w:pPr>
              <w:pStyle w:val="72TabletextTablesTableFigureBoxstyles"/>
              <w:rPr>
                <w:rFonts w:eastAsia="Calibri"/>
                <w:color w:val="auto"/>
              </w:rPr>
            </w:pPr>
            <w:r w:rsidRPr="00FE7622">
              <w:rPr>
                <w:rFonts w:eastAsia="Calibri"/>
                <w:color w:val="auto"/>
              </w:rPr>
              <w:t>6MWD</w:t>
            </w:r>
          </w:p>
        </w:tc>
        <w:tc>
          <w:tcPr>
            <w:tcW w:w="0" w:type="auto"/>
            <w:shd w:val="clear" w:color="auto" w:fill="auto"/>
          </w:tcPr>
          <w:p w14:paraId="069D6F8A" w14:textId="77777777" w:rsidR="00F026E8" w:rsidRPr="00FE7622" w:rsidRDefault="00F026E8" w:rsidP="00AF19CC">
            <w:pPr>
              <w:pStyle w:val="72TabletextTablesTableFigureBoxstyles"/>
              <w:rPr>
                <w:rFonts w:eastAsia="Calibri"/>
                <w:color w:val="auto"/>
              </w:rPr>
            </w:pPr>
            <w:r w:rsidRPr="00842651">
              <w:rPr>
                <w:rFonts w:eastAsia="Calibri"/>
                <w:color w:val="auto"/>
              </w:rPr>
              <w:t>SPPB</w:t>
            </w:r>
          </w:p>
          <w:p w14:paraId="60CCC803" w14:textId="3EC943E7" w:rsidR="00F026E8" w:rsidRPr="00FE7622" w:rsidRDefault="00F026E8" w:rsidP="00AF19CC">
            <w:pPr>
              <w:pStyle w:val="72TabletextTablesTableFigureBoxstyles"/>
              <w:rPr>
                <w:rFonts w:eastAsia="Calibri"/>
                <w:color w:val="auto"/>
              </w:rPr>
            </w:pPr>
            <w:r w:rsidRPr="00FE7622">
              <w:rPr>
                <w:rFonts w:eastAsia="Calibri"/>
                <w:color w:val="auto"/>
              </w:rPr>
              <w:t>Quad</w:t>
            </w:r>
            <w:r w:rsidR="001F6207" w:rsidRPr="00FE7622">
              <w:rPr>
                <w:rFonts w:eastAsia="Calibri"/>
                <w:color w:val="auto"/>
              </w:rPr>
              <w:t>ricep</w:t>
            </w:r>
            <w:r w:rsidRPr="00FE7622">
              <w:rPr>
                <w:rFonts w:eastAsia="Calibri"/>
                <w:color w:val="auto"/>
              </w:rPr>
              <w:t>s strength</w:t>
            </w:r>
          </w:p>
          <w:p w14:paraId="2B2214DA" w14:textId="77777777" w:rsidR="00F026E8" w:rsidRPr="00FE7622" w:rsidRDefault="00F026E8" w:rsidP="00AF19CC">
            <w:pPr>
              <w:pStyle w:val="72TabletextTablesTableFigureBoxstyles"/>
              <w:rPr>
                <w:rFonts w:eastAsia="Calibri"/>
              </w:rPr>
            </w:pPr>
            <w:r w:rsidRPr="00FE7622">
              <w:rPr>
                <w:rFonts w:eastAsia="Calibri"/>
                <w:color w:val="auto"/>
              </w:rPr>
              <w:t>Handgrip strength</w:t>
            </w:r>
          </w:p>
        </w:tc>
        <w:tc>
          <w:tcPr>
            <w:tcW w:w="0" w:type="auto"/>
            <w:shd w:val="clear" w:color="auto" w:fill="auto"/>
          </w:tcPr>
          <w:p w14:paraId="5586A90A" w14:textId="77777777" w:rsidR="00F026E8" w:rsidRPr="00FE7622" w:rsidRDefault="00F026E8" w:rsidP="00AF19CC">
            <w:pPr>
              <w:pStyle w:val="72TabletextTablesTableFigureBoxstyles"/>
              <w:rPr>
                <w:rFonts w:eastAsia="Calibri"/>
                <w:color w:val="auto"/>
              </w:rPr>
            </w:pPr>
            <w:r w:rsidRPr="00FE7622">
              <w:rPr>
                <w:rFonts w:eastAsia="Calibri"/>
                <w:color w:val="auto"/>
              </w:rPr>
              <w:t>20 weeks</w:t>
            </w:r>
          </w:p>
        </w:tc>
      </w:tr>
      <w:tr w:rsidR="00842EDD" w:rsidRPr="00FE7622" w14:paraId="4AEE8583" w14:textId="77777777" w:rsidTr="00AF19CC">
        <w:trPr>
          <w:cantSplit/>
        </w:trPr>
        <w:tc>
          <w:tcPr>
            <w:tcW w:w="0" w:type="auto"/>
            <w:shd w:val="clear" w:color="auto" w:fill="auto"/>
          </w:tcPr>
          <w:p w14:paraId="3A586AA1" w14:textId="19EDEEB0" w:rsidR="00F026E8" w:rsidRPr="00FE7622" w:rsidRDefault="00F026E8" w:rsidP="00AF19CC">
            <w:pPr>
              <w:pStyle w:val="72TabletextTablesTableFigureBoxstyles"/>
              <w:rPr>
                <w:rFonts w:eastAsia="Calibri"/>
              </w:rPr>
            </w:pPr>
            <w:r w:rsidRPr="00FE7622">
              <w:rPr>
                <w:rFonts w:eastAsia="Calibri"/>
                <w:color w:val="auto"/>
              </w:rPr>
              <w:t>Sumukadas</w:t>
            </w:r>
            <w:r w:rsidR="00F1466D" w:rsidRPr="00FE7622">
              <w:rPr>
                <w:rFonts w:eastAsia="Calibri"/>
                <w:color w:val="auto"/>
              </w:rPr>
              <w:t>,</w:t>
            </w:r>
            <w:r w:rsidRPr="00FE7622">
              <w:rPr>
                <w:rFonts w:eastAsia="Calibri"/>
                <w:color w:val="auto"/>
              </w:rPr>
              <w:t xml:space="preserve"> 2018</w:t>
            </w:r>
            <w:r w:rsidR="00E038BF" w:rsidRPr="00FE7622">
              <w:rPr>
                <w:rFonts w:eastAsia="Calibri"/>
                <w:color w:val="auto"/>
                <w:vertAlign w:val="superscript"/>
              </w:rPr>
              <w:t>84</w:t>
            </w:r>
          </w:p>
        </w:tc>
        <w:tc>
          <w:tcPr>
            <w:tcW w:w="0" w:type="auto"/>
            <w:shd w:val="clear" w:color="auto" w:fill="auto"/>
          </w:tcPr>
          <w:p w14:paraId="6CFF6A31" w14:textId="77777777" w:rsidR="00F026E8" w:rsidRPr="00FE7622" w:rsidRDefault="00F026E8" w:rsidP="00AF19CC">
            <w:pPr>
              <w:pStyle w:val="72TabletextTablesTableFigureBoxstyles"/>
              <w:rPr>
                <w:rFonts w:eastAsia="Calibri"/>
              </w:rPr>
            </w:pPr>
            <w:r w:rsidRPr="00FE7622">
              <w:rPr>
                <w:rFonts w:eastAsia="Calibri"/>
                <w:color w:val="auto"/>
              </w:rPr>
              <w:t>Scotland</w:t>
            </w:r>
          </w:p>
        </w:tc>
        <w:tc>
          <w:tcPr>
            <w:tcW w:w="0" w:type="auto"/>
            <w:shd w:val="clear" w:color="auto" w:fill="auto"/>
          </w:tcPr>
          <w:p w14:paraId="1D99D37D" w14:textId="77777777" w:rsidR="00F026E8" w:rsidRPr="00FE7622" w:rsidRDefault="00F026E8" w:rsidP="00AF19CC">
            <w:pPr>
              <w:pStyle w:val="72TabletextTablesTableFigureBoxstyles"/>
              <w:rPr>
                <w:rFonts w:eastAsia="Calibri"/>
              </w:rPr>
            </w:pPr>
            <w:r w:rsidRPr="00FE7622">
              <w:rPr>
                <w:rFonts w:eastAsia="Calibri"/>
                <w:color w:val="auto"/>
              </w:rPr>
              <w:t>80</w:t>
            </w:r>
          </w:p>
        </w:tc>
        <w:tc>
          <w:tcPr>
            <w:tcW w:w="0" w:type="auto"/>
            <w:shd w:val="clear" w:color="auto" w:fill="auto"/>
          </w:tcPr>
          <w:p w14:paraId="3153154A" w14:textId="77777777" w:rsidR="00F026E8" w:rsidRPr="00FE7622" w:rsidRDefault="00F026E8" w:rsidP="00AF19CC">
            <w:pPr>
              <w:pStyle w:val="72TabletextTablesTableFigureBoxstyles"/>
              <w:rPr>
                <w:rFonts w:eastAsia="Calibri"/>
              </w:rPr>
            </w:pPr>
            <w:r w:rsidRPr="00FE7622">
              <w:rPr>
                <w:rFonts w:eastAsia="Calibri"/>
                <w:color w:val="auto"/>
              </w:rPr>
              <w:t>78</w:t>
            </w:r>
          </w:p>
        </w:tc>
        <w:tc>
          <w:tcPr>
            <w:tcW w:w="0" w:type="auto"/>
            <w:shd w:val="clear" w:color="auto" w:fill="auto"/>
          </w:tcPr>
          <w:p w14:paraId="5B64782C" w14:textId="77777777" w:rsidR="00F026E8" w:rsidRPr="00FE7622" w:rsidRDefault="00F026E8" w:rsidP="00AF19CC">
            <w:pPr>
              <w:pStyle w:val="72TabletextTablesTableFigureBoxstyles"/>
              <w:rPr>
                <w:rFonts w:eastAsia="Calibri"/>
              </w:rPr>
            </w:pPr>
            <w:r w:rsidRPr="00FE7622">
              <w:rPr>
                <w:rFonts w:eastAsia="Calibri"/>
                <w:color w:val="auto"/>
              </w:rPr>
              <w:t>75</w:t>
            </w:r>
          </w:p>
        </w:tc>
        <w:tc>
          <w:tcPr>
            <w:tcW w:w="0" w:type="auto"/>
            <w:shd w:val="clear" w:color="auto" w:fill="auto"/>
          </w:tcPr>
          <w:p w14:paraId="386303FB" w14:textId="4CC225C5" w:rsidR="00F026E8" w:rsidRPr="00FE7622" w:rsidRDefault="00BD64BD" w:rsidP="00AF19CC">
            <w:pPr>
              <w:pStyle w:val="72TabletextTablesTableFigureBoxstyles"/>
              <w:rPr>
                <w:rFonts w:eastAsia="Calibri"/>
              </w:rPr>
            </w:pPr>
            <w:r w:rsidRPr="00FE7622">
              <w:rPr>
                <w:rFonts w:eastAsia="Calibri"/>
                <w:color w:val="auto"/>
              </w:rPr>
              <w:t>Aged ≥ </w:t>
            </w:r>
            <w:r w:rsidR="00F026E8" w:rsidRPr="00FE7622">
              <w:rPr>
                <w:rFonts w:eastAsia="Calibri"/>
                <w:color w:val="auto"/>
              </w:rPr>
              <w:t>65</w:t>
            </w:r>
            <w:r w:rsidRPr="00FE7622">
              <w:rPr>
                <w:rFonts w:eastAsia="Calibri"/>
                <w:color w:val="auto"/>
              </w:rPr>
              <w:t xml:space="preserve"> years</w:t>
            </w:r>
            <w:r w:rsidR="00F026E8" w:rsidRPr="00FE7622">
              <w:rPr>
                <w:rFonts w:eastAsia="Calibri"/>
                <w:color w:val="auto"/>
              </w:rPr>
              <w:t xml:space="preserve"> with &gt; 1 self-reported fall in last 12 months</w:t>
            </w:r>
          </w:p>
        </w:tc>
        <w:tc>
          <w:tcPr>
            <w:tcW w:w="0" w:type="auto"/>
            <w:shd w:val="clear" w:color="auto" w:fill="auto"/>
          </w:tcPr>
          <w:p w14:paraId="499C7F69" w14:textId="4CBE0661" w:rsidR="00F026E8" w:rsidRPr="00FE7622" w:rsidRDefault="00F026E8" w:rsidP="00AF19CC">
            <w:pPr>
              <w:pStyle w:val="72TabletextTablesTableFigureBoxstyles"/>
              <w:rPr>
                <w:rFonts w:eastAsia="Calibri"/>
                <w:color w:val="auto"/>
              </w:rPr>
            </w:pPr>
            <w:r w:rsidRPr="00FE7622">
              <w:rPr>
                <w:rFonts w:eastAsia="Calibri"/>
                <w:color w:val="auto"/>
              </w:rPr>
              <w:t>Mean 6MWD</w:t>
            </w:r>
            <w:r w:rsidR="00F1466D" w:rsidRPr="00FE7622">
              <w:rPr>
                <w:rFonts w:eastAsia="Calibri"/>
                <w:color w:val="auto"/>
              </w:rPr>
              <w:t xml:space="preserve"> of</w:t>
            </w:r>
            <w:r w:rsidRPr="00FE7622">
              <w:rPr>
                <w:rFonts w:eastAsia="Calibri"/>
                <w:color w:val="auto"/>
              </w:rPr>
              <w:t xml:space="preserve"> 333 m</w:t>
            </w:r>
          </w:p>
          <w:p w14:paraId="13D0C713" w14:textId="5548D33C" w:rsidR="00F026E8" w:rsidRPr="00FE7622" w:rsidRDefault="00F026E8" w:rsidP="00AF19CC">
            <w:pPr>
              <w:pStyle w:val="72TabletextTablesTableFigureBoxstyles"/>
              <w:rPr>
                <w:rFonts w:eastAsia="Calibri"/>
              </w:rPr>
            </w:pPr>
            <w:r w:rsidRPr="00FE7622">
              <w:rPr>
                <w:rFonts w:eastAsia="Calibri"/>
                <w:color w:val="auto"/>
              </w:rPr>
              <w:t>Mean quad</w:t>
            </w:r>
            <w:r w:rsidR="00032767" w:rsidRPr="00FE7622">
              <w:rPr>
                <w:rFonts w:eastAsia="Calibri"/>
                <w:color w:val="auto"/>
              </w:rPr>
              <w:t>ricep</w:t>
            </w:r>
            <w:r w:rsidRPr="00FE7622">
              <w:rPr>
                <w:rFonts w:eastAsia="Calibri"/>
                <w:color w:val="auto"/>
              </w:rPr>
              <w:t xml:space="preserve">s strength </w:t>
            </w:r>
            <w:r w:rsidR="00F1466D" w:rsidRPr="00FE7622">
              <w:rPr>
                <w:rFonts w:eastAsia="Calibri"/>
                <w:color w:val="auto"/>
              </w:rPr>
              <w:t xml:space="preserve">of </w:t>
            </w:r>
            <w:r w:rsidRPr="00FE7622">
              <w:rPr>
                <w:rFonts w:eastAsia="Calibri"/>
                <w:color w:val="auto"/>
              </w:rPr>
              <w:t>18.9</w:t>
            </w:r>
            <w:r w:rsidR="008F27B7" w:rsidRPr="00FE7622">
              <w:rPr>
                <w:rFonts w:eastAsia="Calibri"/>
                <w:color w:val="auto"/>
              </w:rPr>
              <w:t> </w:t>
            </w:r>
            <w:r w:rsidRPr="00FE7622">
              <w:rPr>
                <w:rFonts w:eastAsia="Calibri"/>
                <w:color w:val="auto"/>
              </w:rPr>
              <w:t>kg</w:t>
            </w:r>
          </w:p>
        </w:tc>
        <w:tc>
          <w:tcPr>
            <w:tcW w:w="0" w:type="auto"/>
            <w:shd w:val="clear" w:color="auto" w:fill="auto"/>
          </w:tcPr>
          <w:p w14:paraId="4B71D4E8" w14:textId="663D4DA9" w:rsidR="00F026E8" w:rsidRPr="00FE7622" w:rsidRDefault="00F026E8" w:rsidP="00AF19CC">
            <w:pPr>
              <w:pStyle w:val="72TabletextTablesTableFigureBoxstyles"/>
              <w:rPr>
                <w:rFonts w:eastAsia="Calibri"/>
              </w:rPr>
            </w:pPr>
            <w:r w:rsidRPr="00FE7622">
              <w:rPr>
                <w:rFonts w:eastAsia="Calibri"/>
                <w:color w:val="auto"/>
              </w:rPr>
              <w:t xml:space="preserve">2–4 mg </w:t>
            </w:r>
            <w:r w:rsidR="00F1466D" w:rsidRPr="00FE7622">
              <w:rPr>
                <w:rFonts w:eastAsia="Calibri"/>
                <w:color w:val="auto"/>
              </w:rPr>
              <w:t xml:space="preserve">of perindopril </w:t>
            </w:r>
            <w:r w:rsidRPr="00FE7622">
              <w:rPr>
                <w:rFonts w:eastAsia="Calibri"/>
                <w:color w:val="auto"/>
              </w:rPr>
              <w:t>once daily</w:t>
            </w:r>
          </w:p>
        </w:tc>
        <w:tc>
          <w:tcPr>
            <w:tcW w:w="0" w:type="auto"/>
            <w:shd w:val="clear" w:color="auto" w:fill="auto"/>
          </w:tcPr>
          <w:p w14:paraId="69019A2D" w14:textId="58D92EED" w:rsidR="00F026E8" w:rsidRPr="00FE7622" w:rsidRDefault="00F026E8" w:rsidP="00AF19CC">
            <w:pPr>
              <w:pStyle w:val="72TabletextTablesTableFigureBoxstyles"/>
              <w:rPr>
                <w:rFonts w:eastAsia="Calibri"/>
              </w:rPr>
            </w:pPr>
            <w:r w:rsidRPr="00FE7622">
              <w:rPr>
                <w:rFonts w:eastAsia="Calibri"/>
                <w:color w:val="auto"/>
              </w:rPr>
              <w:t>Placebo</w:t>
            </w:r>
          </w:p>
        </w:tc>
        <w:tc>
          <w:tcPr>
            <w:tcW w:w="0" w:type="auto"/>
            <w:shd w:val="clear" w:color="auto" w:fill="auto"/>
          </w:tcPr>
          <w:p w14:paraId="7D849EA3" w14:textId="77777777" w:rsidR="00F026E8" w:rsidRPr="00FE7622" w:rsidRDefault="00F026E8" w:rsidP="00AF19CC">
            <w:pPr>
              <w:pStyle w:val="72TabletextTablesTableFigureBoxstyles"/>
              <w:rPr>
                <w:rFonts w:eastAsia="Calibri"/>
                <w:color w:val="auto"/>
              </w:rPr>
            </w:pPr>
            <w:r w:rsidRPr="00FE7622">
              <w:rPr>
                <w:rFonts w:eastAsia="Calibri"/>
                <w:color w:val="auto"/>
              </w:rPr>
              <w:t>Postural sway</w:t>
            </w:r>
          </w:p>
        </w:tc>
        <w:tc>
          <w:tcPr>
            <w:tcW w:w="0" w:type="auto"/>
            <w:shd w:val="clear" w:color="auto" w:fill="auto"/>
          </w:tcPr>
          <w:p w14:paraId="63C6E1CD" w14:textId="77777777" w:rsidR="00F026E8" w:rsidRPr="00FE7622" w:rsidRDefault="00F026E8" w:rsidP="00AF19CC">
            <w:pPr>
              <w:pStyle w:val="72TabletextTablesTableFigureBoxstyles"/>
              <w:rPr>
                <w:rFonts w:eastAsia="Calibri"/>
                <w:color w:val="auto"/>
              </w:rPr>
            </w:pPr>
            <w:r w:rsidRPr="00FE7622">
              <w:rPr>
                <w:rFonts w:eastAsia="Calibri"/>
                <w:color w:val="auto"/>
              </w:rPr>
              <w:t>6MWD</w:t>
            </w:r>
          </w:p>
          <w:p w14:paraId="5FD168C9" w14:textId="77777777" w:rsidR="00F026E8" w:rsidRPr="00FE7622" w:rsidRDefault="00F026E8" w:rsidP="00AF19CC">
            <w:pPr>
              <w:pStyle w:val="72TabletextTablesTableFigureBoxstyles"/>
              <w:rPr>
                <w:rFonts w:eastAsia="Calibri"/>
              </w:rPr>
            </w:pPr>
            <w:r w:rsidRPr="00FE7622">
              <w:rPr>
                <w:rFonts w:eastAsia="Calibri"/>
                <w:color w:val="auto"/>
              </w:rPr>
              <w:t>Quadriceps strength</w:t>
            </w:r>
          </w:p>
        </w:tc>
        <w:tc>
          <w:tcPr>
            <w:tcW w:w="0" w:type="auto"/>
            <w:shd w:val="clear" w:color="auto" w:fill="auto"/>
          </w:tcPr>
          <w:p w14:paraId="7FADD5C3" w14:textId="77777777" w:rsidR="00F026E8" w:rsidRPr="00FE7622" w:rsidRDefault="00F026E8" w:rsidP="00AF19CC">
            <w:pPr>
              <w:pStyle w:val="72TabletextTablesTableFigureBoxstyles"/>
              <w:rPr>
                <w:rFonts w:eastAsia="Calibri"/>
                <w:color w:val="auto"/>
              </w:rPr>
            </w:pPr>
            <w:r w:rsidRPr="00FE7622">
              <w:rPr>
                <w:rFonts w:eastAsia="Calibri"/>
                <w:color w:val="auto"/>
              </w:rPr>
              <w:t>15 weeks</w:t>
            </w:r>
          </w:p>
        </w:tc>
      </w:tr>
      <w:tr w:rsidR="00842EDD" w:rsidRPr="00FE7622" w14:paraId="6F5EFC05" w14:textId="77777777" w:rsidTr="00AF19CC">
        <w:trPr>
          <w:cantSplit/>
        </w:trPr>
        <w:tc>
          <w:tcPr>
            <w:tcW w:w="0" w:type="auto"/>
            <w:shd w:val="clear" w:color="auto" w:fill="auto"/>
          </w:tcPr>
          <w:p w14:paraId="3B84CD2E" w14:textId="57EA9480" w:rsidR="00F026E8" w:rsidRPr="00FE7622" w:rsidRDefault="00F026E8" w:rsidP="00AF19CC">
            <w:pPr>
              <w:pStyle w:val="72TabletextTablesTableFigureBoxstyles"/>
              <w:rPr>
                <w:rFonts w:eastAsia="Calibri"/>
              </w:rPr>
            </w:pPr>
            <w:r w:rsidRPr="00FE7622">
              <w:rPr>
                <w:rFonts w:eastAsia="Calibri"/>
                <w:color w:val="auto"/>
              </w:rPr>
              <w:t>Heisterberg</w:t>
            </w:r>
            <w:r w:rsidR="00F1466D" w:rsidRPr="00FE7622">
              <w:rPr>
                <w:rFonts w:eastAsia="Calibri"/>
                <w:color w:val="auto"/>
              </w:rPr>
              <w:t>,</w:t>
            </w:r>
            <w:r w:rsidRPr="00FE7622">
              <w:rPr>
                <w:rFonts w:eastAsia="Calibri"/>
                <w:color w:val="auto"/>
              </w:rPr>
              <w:t xml:space="preserve"> 2018</w:t>
            </w:r>
            <w:r w:rsidR="00E038BF" w:rsidRPr="00FE7622">
              <w:rPr>
                <w:rFonts w:eastAsia="Calibri"/>
                <w:color w:val="auto"/>
                <w:vertAlign w:val="superscript"/>
              </w:rPr>
              <w:t>85</w:t>
            </w:r>
          </w:p>
        </w:tc>
        <w:tc>
          <w:tcPr>
            <w:tcW w:w="0" w:type="auto"/>
            <w:shd w:val="clear" w:color="auto" w:fill="auto"/>
          </w:tcPr>
          <w:p w14:paraId="70C02856" w14:textId="77777777" w:rsidR="00F026E8" w:rsidRPr="00FE7622" w:rsidRDefault="00F026E8" w:rsidP="00AF19CC">
            <w:pPr>
              <w:pStyle w:val="72TabletextTablesTableFigureBoxstyles"/>
              <w:rPr>
                <w:rFonts w:eastAsia="Calibri"/>
              </w:rPr>
            </w:pPr>
            <w:r w:rsidRPr="00FE7622">
              <w:rPr>
                <w:rFonts w:eastAsia="Calibri"/>
                <w:color w:val="auto"/>
              </w:rPr>
              <w:t>Denmark</w:t>
            </w:r>
          </w:p>
        </w:tc>
        <w:tc>
          <w:tcPr>
            <w:tcW w:w="0" w:type="auto"/>
            <w:shd w:val="clear" w:color="auto" w:fill="auto"/>
          </w:tcPr>
          <w:p w14:paraId="16D86827" w14:textId="77777777" w:rsidR="00F026E8" w:rsidRPr="00FE7622" w:rsidRDefault="00F026E8" w:rsidP="00AF19CC">
            <w:pPr>
              <w:pStyle w:val="72TabletextTablesTableFigureBoxstyles"/>
              <w:rPr>
                <w:rFonts w:eastAsia="Calibri"/>
              </w:rPr>
            </w:pPr>
            <w:r w:rsidRPr="00FE7622">
              <w:rPr>
                <w:rFonts w:eastAsia="Calibri"/>
                <w:color w:val="auto"/>
              </w:rPr>
              <w:t>71</w:t>
            </w:r>
          </w:p>
        </w:tc>
        <w:tc>
          <w:tcPr>
            <w:tcW w:w="0" w:type="auto"/>
            <w:shd w:val="clear" w:color="auto" w:fill="auto"/>
          </w:tcPr>
          <w:p w14:paraId="07204BDB" w14:textId="77777777" w:rsidR="00F026E8" w:rsidRPr="00FE7622" w:rsidRDefault="00F026E8" w:rsidP="00AF19CC">
            <w:pPr>
              <w:pStyle w:val="72TabletextTablesTableFigureBoxstyles"/>
              <w:rPr>
                <w:rFonts w:eastAsia="Calibri"/>
              </w:rPr>
            </w:pPr>
            <w:r w:rsidRPr="00FE7622">
              <w:rPr>
                <w:rFonts w:eastAsia="Calibri"/>
                <w:color w:val="auto"/>
              </w:rPr>
              <w:t>72</w:t>
            </w:r>
          </w:p>
        </w:tc>
        <w:tc>
          <w:tcPr>
            <w:tcW w:w="0" w:type="auto"/>
            <w:shd w:val="clear" w:color="auto" w:fill="auto"/>
          </w:tcPr>
          <w:p w14:paraId="7D0AC00F" w14:textId="77777777" w:rsidR="00F026E8" w:rsidRPr="00FE7622" w:rsidRDefault="00F026E8" w:rsidP="00AF19CC">
            <w:pPr>
              <w:pStyle w:val="72TabletextTablesTableFigureBoxstyles"/>
              <w:rPr>
                <w:rFonts w:eastAsia="Calibri"/>
              </w:rPr>
            </w:pPr>
            <w:r w:rsidRPr="00FE7622">
              <w:rPr>
                <w:rFonts w:eastAsia="Calibri"/>
                <w:color w:val="auto"/>
              </w:rPr>
              <w:t>0</w:t>
            </w:r>
          </w:p>
        </w:tc>
        <w:tc>
          <w:tcPr>
            <w:tcW w:w="0" w:type="auto"/>
            <w:shd w:val="clear" w:color="auto" w:fill="auto"/>
          </w:tcPr>
          <w:p w14:paraId="207705CC" w14:textId="77777777" w:rsidR="00F026E8" w:rsidRPr="00FE7622" w:rsidRDefault="00F026E8" w:rsidP="00AF19CC">
            <w:pPr>
              <w:pStyle w:val="72TabletextTablesTableFigureBoxstyles"/>
              <w:rPr>
                <w:rFonts w:eastAsia="Calibri"/>
              </w:rPr>
            </w:pPr>
            <w:r w:rsidRPr="00FE7622">
              <w:rPr>
                <w:rFonts w:eastAsia="Calibri"/>
                <w:color w:val="auto"/>
              </w:rPr>
              <w:t>Healthy, untrained males without hypertension or other disease</w:t>
            </w:r>
          </w:p>
        </w:tc>
        <w:tc>
          <w:tcPr>
            <w:tcW w:w="0" w:type="auto"/>
            <w:shd w:val="clear" w:color="auto" w:fill="auto"/>
          </w:tcPr>
          <w:p w14:paraId="112630D0" w14:textId="57615BB8" w:rsidR="00F026E8" w:rsidRPr="00FE7622" w:rsidRDefault="00F026E8" w:rsidP="00AF19CC">
            <w:pPr>
              <w:pStyle w:val="72TabletextTablesTableFigureBoxstyles"/>
              <w:rPr>
                <w:rFonts w:eastAsia="Calibri"/>
              </w:rPr>
            </w:pPr>
            <w:r w:rsidRPr="00FE7622">
              <w:rPr>
                <w:rFonts w:eastAsia="Calibri"/>
                <w:color w:val="auto"/>
              </w:rPr>
              <w:t>Mean 1-rep max</w:t>
            </w:r>
            <w:r w:rsidR="00032767" w:rsidRPr="00FE7622">
              <w:rPr>
                <w:rFonts w:eastAsia="Calibri"/>
                <w:color w:val="auto"/>
              </w:rPr>
              <w:t>imum</w:t>
            </w:r>
            <w:r w:rsidRPr="00FE7622">
              <w:rPr>
                <w:rFonts w:eastAsia="Calibri"/>
                <w:color w:val="auto"/>
              </w:rPr>
              <w:t xml:space="preserve"> quad</w:t>
            </w:r>
            <w:r w:rsidR="00032767" w:rsidRPr="00FE7622">
              <w:rPr>
                <w:rFonts w:eastAsia="Calibri"/>
                <w:color w:val="auto"/>
              </w:rPr>
              <w:t>ricep</w:t>
            </w:r>
            <w:r w:rsidRPr="00FE7622">
              <w:rPr>
                <w:rFonts w:eastAsia="Calibri"/>
                <w:color w:val="auto"/>
              </w:rPr>
              <w:t>s strength</w:t>
            </w:r>
            <w:r w:rsidR="00F1466D" w:rsidRPr="00FE7622">
              <w:rPr>
                <w:rFonts w:eastAsia="Calibri"/>
                <w:color w:val="auto"/>
              </w:rPr>
              <w:t xml:space="preserve"> of</w:t>
            </w:r>
            <w:r w:rsidRPr="00FE7622">
              <w:rPr>
                <w:rFonts w:eastAsia="Calibri"/>
                <w:color w:val="auto"/>
              </w:rPr>
              <w:t xml:space="preserve"> 83</w:t>
            </w:r>
            <w:r w:rsidR="008F27B7" w:rsidRPr="00FE7622">
              <w:rPr>
                <w:rFonts w:eastAsia="Calibri"/>
                <w:color w:val="auto"/>
              </w:rPr>
              <w:t> </w:t>
            </w:r>
            <w:r w:rsidRPr="00FE7622">
              <w:rPr>
                <w:rFonts w:eastAsia="Calibri"/>
                <w:color w:val="auto"/>
              </w:rPr>
              <w:t>kg</w:t>
            </w:r>
          </w:p>
        </w:tc>
        <w:tc>
          <w:tcPr>
            <w:tcW w:w="0" w:type="auto"/>
            <w:shd w:val="clear" w:color="auto" w:fill="auto"/>
          </w:tcPr>
          <w:p w14:paraId="012B5CE7" w14:textId="3CC3EE0F" w:rsidR="00F026E8" w:rsidRPr="00FE7622" w:rsidRDefault="00F026E8" w:rsidP="00AF19CC">
            <w:pPr>
              <w:pStyle w:val="72TabletextTablesTableFigureBoxstyles"/>
              <w:rPr>
                <w:rFonts w:eastAsia="Calibri"/>
              </w:rPr>
            </w:pPr>
            <w:r w:rsidRPr="00FE7622">
              <w:rPr>
                <w:rFonts w:eastAsia="Calibri"/>
                <w:color w:val="auto"/>
              </w:rPr>
              <w:t xml:space="preserve">50–100 mg </w:t>
            </w:r>
            <w:r w:rsidR="00F1466D" w:rsidRPr="00FE7622">
              <w:rPr>
                <w:rFonts w:eastAsia="Calibri"/>
                <w:color w:val="auto"/>
              </w:rPr>
              <w:t xml:space="preserve">of losartan </w:t>
            </w:r>
            <w:r w:rsidRPr="00FE7622">
              <w:rPr>
                <w:rFonts w:eastAsia="Calibri"/>
                <w:color w:val="auto"/>
              </w:rPr>
              <w:t>once daily</w:t>
            </w:r>
            <w:r w:rsidR="00032767" w:rsidRPr="00FE7622">
              <w:rPr>
                <w:rFonts w:eastAsia="Calibri"/>
                <w:color w:val="auto"/>
              </w:rPr>
              <w:t xml:space="preserve"> plus</w:t>
            </w:r>
            <w:r w:rsidRPr="00FE7622">
              <w:rPr>
                <w:rFonts w:eastAsia="Calibri"/>
                <w:color w:val="auto"/>
              </w:rPr>
              <w:t xml:space="preserve"> resistance training</w:t>
            </w:r>
          </w:p>
        </w:tc>
        <w:tc>
          <w:tcPr>
            <w:tcW w:w="0" w:type="auto"/>
            <w:shd w:val="clear" w:color="auto" w:fill="auto"/>
          </w:tcPr>
          <w:p w14:paraId="7797CC60" w14:textId="486BF8D2" w:rsidR="00F026E8" w:rsidRPr="00FE7622" w:rsidRDefault="00F026E8" w:rsidP="00AF19CC">
            <w:pPr>
              <w:pStyle w:val="72TabletextTablesTableFigureBoxstyles"/>
              <w:rPr>
                <w:rFonts w:eastAsia="Calibri"/>
              </w:rPr>
            </w:pPr>
            <w:r w:rsidRPr="00FE7622">
              <w:rPr>
                <w:rFonts w:eastAsia="Calibri"/>
                <w:color w:val="auto"/>
              </w:rPr>
              <w:t xml:space="preserve">Placebo </w:t>
            </w:r>
            <w:r w:rsidR="00032767" w:rsidRPr="00FE7622">
              <w:rPr>
                <w:rFonts w:eastAsia="Calibri"/>
                <w:color w:val="auto"/>
              </w:rPr>
              <w:t>plus</w:t>
            </w:r>
            <w:r w:rsidRPr="00FE7622">
              <w:rPr>
                <w:rFonts w:eastAsia="Calibri"/>
                <w:color w:val="auto"/>
              </w:rPr>
              <w:t xml:space="preserve"> resistance training</w:t>
            </w:r>
          </w:p>
        </w:tc>
        <w:tc>
          <w:tcPr>
            <w:tcW w:w="0" w:type="auto"/>
            <w:shd w:val="clear" w:color="auto" w:fill="auto"/>
          </w:tcPr>
          <w:p w14:paraId="15888381" w14:textId="77777777" w:rsidR="00F026E8" w:rsidRPr="00FE7622" w:rsidRDefault="00F026E8" w:rsidP="00AF19CC">
            <w:pPr>
              <w:pStyle w:val="72TabletextTablesTableFigureBoxstyles"/>
              <w:rPr>
                <w:rFonts w:eastAsia="Calibri"/>
              </w:rPr>
            </w:pPr>
            <w:r w:rsidRPr="00FE7622">
              <w:rPr>
                <w:rFonts w:eastAsia="Calibri"/>
                <w:color w:val="auto"/>
              </w:rPr>
              <w:t>Quadriceps mass</w:t>
            </w:r>
          </w:p>
        </w:tc>
        <w:tc>
          <w:tcPr>
            <w:tcW w:w="0" w:type="auto"/>
            <w:shd w:val="clear" w:color="auto" w:fill="auto"/>
          </w:tcPr>
          <w:p w14:paraId="312997D9" w14:textId="7040A53A" w:rsidR="00F026E8" w:rsidRPr="00FE7622" w:rsidRDefault="00F026E8" w:rsidP="00AF19CC">
            <w:pPr>
              <w:pStyle w:val="72TabletextTablesTableFigureBoxstyles"/>
              <w:rPr>
                <w:rFonts w:eastAsia="Calibri"/>
                <w:color w:val="auto"/>
              </w:rPr>
            </w:pPr>
            <w:r w:rsidRPr="00FE7622">
              <w:rPr>
                <w:rFonts w:eastAsia="Calibri"/>
                <w:color w:val="auto"/>
              </w:rPr>
              <w:t xml:space="preserve">Isometric </w:t>
            </w:r>
            <w:r w:rsidR="001F6207" w:rsidRPr="00FE7622">
              <w:rPr>
                <w:rFonts w:eastAsia="Calibri"/>
                <w:color w:val="auto"/>
              </w:rPr>
              <w:t>q</w:t>
            </w:r>
            <w:r w:rsidRPr="00FE7622">
              <w:rPr>
                <w:rFonts w:eastAsia="Calibri"/>
                <w:color w:val="auto"/>
              </w:rPr>
              <w:t>uadriceps strength</w:t>
            </w:r>
          </w:p>
          <w:p w14:paraId="23B32B36" w14:textId="77777777" w:rsidR="00F026E8" w:rsidRPr="00FE7622" w:rsidRDefault="00F026E8" w:rsidP="00AF19CC">
            <w:pPr>
              <w:pStyle w:val="72TabletextTablesTableFigureBoxstyles"/>
              <w:rPr>
                <w:rFonts w:eastAsia="Calibri"/>
              </w:rPr>
            </w:pPr>
            <w:r w:rsidRPr="00FE7622">
              <w:rPr>
                <w:rFonts w:eastAsia="Calibri"/>
                <w:color w:val="auto"/>
              </w:rPr>
              <w:t>Isokinetic quadriceps strength</w:t>
            </w:r>
          </w:p>
        </w:tc>
        <w:tc>
          <w:tcPr>
            <w:tcW w:w="0" w:type="auto"/>
            <w:shd w:val="clear" w:color="auto" w:fill="auto"/>
          </w:tcPr>
          <w:p w14:paraId="2B8D861E" w14:textId="77777777" w:rsidR="00F026E8" w:rsidRPr="00FE7622" w:rsidRDefault="00F026E8" w:rsidP="00AF19CC">
            <w:pPr>
              <w:pStyle w:val="72TabletextTablesTableFigureBoxstyles"/>
              <w:rPr>
                <w:rFonts w:eastAsia="Calibri"/>
                <w:color w:val="auto"/>
              </w:rPr>
            </w:pPr>
            <w:r w:rsidRPr="00FE7622">
              <w:rPr>
                <w:rFonts w:eastAsia="Calibri"/>
                <w:color w:val="auto"/>
              </w:rPr>
              <w:t>16 weeks</w:t>
            </w:r>
          </w:p>
        </w:tc>
      </w:tr>
      <w:tr w:rsidR="00F026E8" w:rsidRPr="00FE7622" w14:paraId="0E1839FB" w14:textId="77777777" w:rsidTr="00AF19CC">
        <w:trPr>
          <w:cantSplit/>
        </w:trPr>
        <w:tc>
          <w:tcPr>
            <w:tcW w:w="0" w:type="auto"/>
            <w:gridSpan w:val="12"/>
            <w:shd w:val="clear" w:color="auto" w:fill="auto"/>
          </w:tcPr>
          <w:p w14:paraId="29F744D4" w14:textId="6C995A7A" w:rsidR="00F026E8" w:rsidRPr="00FE7622" w:rsidRDefault="00F026E8" w:rsidP="00AF19CC">
            <w:pPr>
              <w:pStyle w:val="75TablenotesTablesTableFigureBoxstyles"/>
              <w:rPr>
                <w:rFonts w:ascii="Calibri" w:eastAsia="Calibri" w:hAnsi="Calibri"/>
                <w:sz w:val="18"/>
                <w:szCs w:val="18"/>
                <w:lang w:val="en-GB"/>
              </w:rPr>
            </w:pPr>
            <w:r w:rsidRPr="00FE7622">
              <w:rPr>
                <w:lang w:val="en-GB"/>
              </w:rPr>
              <w:t>6MWD</w:t>
            </w:r>
            <w:r w:rsidR="001F6207" w:rsidRPr="00FE7622">
              <w:rPr>
                <w:lang w:val="en-GB"/>
              </w:rPr>
              <w:t>,</w:t>
            </w:r>
            <w:r w:rsidRPr="00FE7622">
              <w:rPr>
                <w:lang w:val="en-GB"/>
              </w:rPr>
              <w:t xml:space="preserve"> </w:t>
            </w:r>
            <w:r w:rsidR="001F6207" w:rsidRPr="00FE7622">
              <w:rPr>
                <w:lang w:val="en-GB"/>
              </w:rPr>
              <w:t>6</w:t>
            </w:r>
            <w:r w:rsidRPr="00FE7622">
              <w:rPr>
                <w:lang w:val="en-GB"/>
              </w:rPr>
              <w:t>-minute walk distance</w:t>
            </w:r>
            <w:r w:rsidR="001F6207" w:rsidRPr="00FE7622">
              <w:rPr>
                <w:lang w:val="en-GB"/>
              </w:rPr>
              <w:t>;</w:t>
            </w:r>
            <w:r w:rsidRPr="00FE7622">
              <w:rPr>
                <w:lang w:val="en-GB"/>
              </w:rPr>
              <w:t xml:space="preserve"> 12MWD</w:t>
            </w:r>
            <w:r w:rsidR="001F6207" w:rsidRPr="00FE7622">
              <w:rPr>
                <w:lang w:val="en-GB"/>
              </w:rPr>
              <w:t>,</w:t>
            </w:r>
            <w:r w:rsidRPr="00FE7622">
              <w:rPr>
                <w:lang w:val="en-GB"/>
              </w:rPr>
              <w:t xml:space="preserve"> 12-minute walk distance</w:t>
            </w:r>
            <w:r w:rsidR="001F6207" w:rsidRPr="00FE7622">
              <w:rPr>
                <w:lang w:val="en-GB"/>
              </w:rPr>
              <w:t>;</w:t>
            </w:r>
            <w:r w:rsidRPr="00FE7622">
              <w:rPr>
                <w:lang w:val="en-GB"/>
              </w:rPr>
              <w:t xml:space="preserve"> ECG</w:t>
            </w:r>
            <w:r w:rsidR="001F6207" w:rsidRPr="00FE7622">
              <w:rPr>
                <w:lang w:val="en-GB"/>
              </w:rPr>
              <w:t>,</w:t>
            </w:r>
            <w:r w:rsidRPr="00FE7622">
              <w:rPr>
                <w:lang w:val="en-GB"/>
              </w:rPr>
              <w:t xml:space="preserve"> </w:t>
            </w:r>
            <w:r w:rsidR="001F6207" w:rsidRPr="00FE7622">
              <w:rPr>
                <w:lang w:val="en-GB"/>
              </w:rPr>
              <w:t>e</w:t>
            </w:r>
            <w:r w:rsidRPr="00FE7622">
              <w:rPr>
                <w:lang w:val="en-GB"/>
              </w:rPr>
              <w:t>lectrocardiogram</w:t>
            </w:r>
            <w:r w:rsidR="001F6207" w:rsidRPr="00FE7622">
              <w:rPr>
                <w:lang w:val="en-GB"/>
              </w:rPr>
              <w:t>;</w:t>
            </w:r>
            <w:r w:rsidRPr="00FE7622">
              <w:rPr>
                <w:lang w:val="en-GB"/>
              </w:rPr>
              <w:t xml:space="preserve"> HCTZ</w:t>
            </w:r>
            <w:r w:rsidR="001F6207" w:rsidRPr="00FE7622">
              <w:rPr>
                <w:lang w:val="en-GB"/>
              </w:rPr>
              <w:t>,</w:t>
            </w:r>
            <w:r w:rsidRPr="00FE7622">
              <w:rPr>
                <w:lang w:val="en-GB"/>
              </w:rPr>
              <w:t xml:space="preserve"> </w:t>
            </w:r>
            <w:r w:rsidR="001F6207" w:rsidRPr="00FE7622">
              <w:rPr>
                <w:lang w:val="en-GB"/>
              </w:rPr>
              <w:t>h</w:t>
            </w:r>
            <w:r w:rsidRPr="00FE7622">
              <w:rPr>
                <w:lang w:val="en-GB"/>
              </w:rPr>
              <w:t>ydrochlorothiazide</w:t>
            </w:r>
            <w:r w:rsidR="001F6207" w:rsidRPr="00FE7622">
              <w:rPr>
                <w:lang w:val="en-GB"/>
              </w:rPr>
              <w:t>;</w:t>
            </w:r>
            <w:r w:rsidRPr="00FE7622">
              <w:rPr>
                <w:lang w:val="en-GB"/>
              </w:rPr>
              <w:t xml:space="preserve"> STS</w:t>
            </w:r>
            <w:r w:rsidR="001F6207" w:rsidRPr="00FE7622">
              <w:rPr>
                <w:lang w:val="en-GB"/>
              </w:rPr>
              <w:t>,</w:t>
            </w:r>
            <w:r w:rsidRPr="00FE7622">
              <w:rPr>
                <w:lang w:val="en-GB"/>
              </w:rPr>
              <w:t xml:space="preserve"> </w:t>
            </w:r>
            <w:r w:rsidR="001F6207" w:rsidRPr="00FE7622">
              <w:rPr>
                <w:lang w:val="en-GB"/>
              </w:rPr>
              <w:t>s</w:t>
            </w:r>
            <w:r w:rsidRPr="00FE7622">
              <w:rPr>
                <w:lang w:val="en-GB"/>
              </w:rPr>
              <w:t>it</w:t>
            </w:r>
            <w:r w:rsidR="001F6207" w:rsidRPr="00FE7622">
              <w:rPr>
                <w:lang w:val="en-GB"/>
              </w:rPr>
              <w:t>-</w:t>
            </w:r>
            <w:r w:rsidRPr="00FE7622">
              <w:rPr>
                <w:lang w:val="en-GB"/>
              </w:rPr>
              <w:t>to</w:t>
            </w:r>
            <w:r w:rsidR="001F6207" w:rsidRPr="00FE7622">
              <w:rPr>
                <w:lang w:val="en-GB"/>
              </w:rPr>
              <w:t>-</w:t>
            </w:r>
            <w:r w:rsidRPr="00FE7622">
              <w:rPr>
                <w:lang w:val="en-GB"/>
              </w:rPr>
              <w:t>stand tes</w:t>
            </w:r>
            <w:r w:rsidR="001F6207" w:rsidRPr="00FE7622">
              <w:rPr>
                <w:lang w:val="en-GB"/>
              </w:rPr>
              <w:t>t;</w:t>
            </w:r>
            <w:r w:rsidRPr="00FE7622">
              <w:rPr>
                <w:lang w:val="en-GB"/>
              </w:rPr>
              <w:t xml:space="preserve"> TUAG</w:t>
            </w:r>
            <w:r w:rsidR="001F6207" w:rsidRPr="00FE7622">
              <w:rPr>
                <w:lang w:val="en-GB"/>
              </w:rPr>
              <w:t>,</w:t>
            </w:r>
            <w:r w:rsidRPr="00FE7622">
              <w:rPr>
                <w:lang w:val="en-GB"/>
              </w:rPr>
              <w:t xml:space="preserve"> Timed </w:t>
            </w:r>
            <w:r w:rsidR="00F1466D" w:rsidRPr="00FE7622">
              <w:rPr>
                <w:lang w:val="en-GB"/>
              </w:rPr>
              <w:t>U</w:t>
            </w:r>
            <w:r w:rsidRPr="00FE7622">
              <w:rPr>
                <w:lang w:val="en-GB"/>
              </w:rPr>
              <w:t>p and G</w:t>
            </w:r>
            <w:r w:rsidR="00F1466D" w:rsidRPr="00FE7622">
              <w:rPr>
                <w:lang w:val="en-GB"/>
              </w:rPr>
              <w:t>o</w:t>
            </w:r>
            <w:r w:rsidR="001F6207" w:rsidRPr="00FE7622">
              <w:rPr>
                <w:lang w:val="en-GB"/>
              </w:rPr>
              <w:t>;</w:t>
            </w:r>
            <w:r w:rsidRPr="00FE7622">
              <w:rPr>
                <w:lang w:val="en-GB"/>
              </w:rPr>
              <w:t xml:space="preserve"> </w:t>
            </w:r>
            <w:r w:rsidR="00E038BF" w:rsidRPr="00FE7622">
              <w:rPr>
                <w:i/>
                <w:lang w:val="en-GB"/>
              </w:rPr>
              <w:t>V</w:t>
            </w:r>
            <w:r w:rsidRPr="00FE7622">
              <w:rPr>
                <w:lang w:val="en-GB"/>
              </w:rPr>
              <w:t>O</w:t>
            </w:r>
            <w:r w:rsidR="00E038BF" w:rsidRPr="00FE7622">
              <w:rPr>
                <w:vertAlign w:val="subscript"/>
                <w:lang w:val="en-GB"/>
              </w:rPr>
              <w:t>2max</w:t>
            </w:r>
            <w:r w:rsidR="001F6207" w:rsidRPr="00FE7622">
              <w:rPr>
                <w:lang w:val="en-GB"/>
              </w:rPr>
              <w:t>, m</w:t>
            </w:r>
            <w:r w:rsidRPr="00FE7622">
              <w:rPr>
                <w:lang w:val="en-GB"/>
              </w:rPr>
              <w:t>aximal oxygen uptake</w:t>
            </w:r>
            <w:r w:rsidR="001F6207" w:rsidRPr="00FE7622">
              <w:rPr>
                <w:lang w:val="en-GB"/>
              </w:rPr>
              <w:t>.</w:t>
            </w:r>
          </w:p>
        </w:tc>
      </w:tr>
    </w:tbl>
    <w:p w14:paraId="712CF61F" w14:textId="5E81EB6A" w:rsidR="00F026E8" w:rsidRPr="00FE7622" w:rsidRDefault="00E038BF" w:rsidP="008879FC">
      <w:pPr>
        <w:pStyle w:val="70TablelegendTablesTableFigureBoxstyles"/>
        <w:rPr>
          <w:rFonts w:eastAsia="Calibri"/>
        </w:rPr>
      </w:pPr>
      <w:r w:rsidRPr="00FE7622">
        <w:rPr>
          <w:rFonts w:eastAsia="Calibri"/>
          <w:b/>
        </w:rPr>
        <w:t>TABLE 23</w:t>
      </w:r>
      <w:r w:rsidRPr="00FE7622">
        <w:rPr>
          <w:rFonts w:eastAsia="Calibri"/>
          <w:b/>
        </w:rPr>
        <w:t> </w:t>
      </w:r>
      <w:r w:rsidRPr="00E038BF">
        <w:rPr>
          <w:rFonts w:eastAsia="Calibri"/>
          <w:b/>
          <w:color w:val="FF00FF"/>
          <w:sz w:val="24"/>
        </w:rPr>
        <w:t>[28]</w:t>
      </w:r>
      <w:commentRangeStart w:id="166"/>
      <w:r w:rsidR="00F026E8" w:rsidRPr="00FE7622">
        <w:rPr>
          <w:rFonts w:eastAsia="Calibri"/>
        </w:rPr>
        <w:t>Risk</w:t>
      </w:r>
      <w:r w:rsidR="007E574A" w:rsidRPr="00FE7622">
        <w:rPr>
          <w:rFonts w:eastAsia="Calibri"/>
        </w:rPr>
        <w:t>-</w:t>
      </w:r>
      <w:r w:rsidR="00F026E8" w:rsidRPr="00FE7622">
        <w:rPr>
          <w:rFonts w:eastAsia="Calibri"/>
        </w:rPr>
        <w:t>of</w:t>
      </w:r>
      <w:r w:rsidR="007E574A" w:rsidRPr="00FE7622">
        <w:rPr>
          <w:rFonts w:eastAsia="Calibri"/>
        </w:rPr>
        <w:t>-</w:t>
      </w:r>
      <w:r w:rsidR="00F026E8" w:rsidRPr="00FE7622">
        <w:rPr>
          <w:rFonts w:eastAsia="Calibri"/>
        </w:rPr>
        <w:t>bias assessment from</w:t>
      </w:r>
      <w:r w:rsidR="000822CA" w:rsidRPr="00FE7622">
        <w:rPr>
          <w:rFonts w:eastAsia="Calibri"/>
        </w:rPr>
        <w:t xml:space="preserve"> the</w:t>
      </w:r>
      <w:r w:rsidR="00F026E8" w:rsidRPr="00FE7622">
        <w:rPr>
          <w:rFonts w:eastAsia="Calibri"/>
        </w:rPr>
        <w:t xml:space="preserve"> </w:t>
      </w:r>
      <w:r w:rsidR="00F026E8" w:rsidRPr="00842651">
        <w:rPr>
          <w:rFonts w:eastAsia="Calibri"/>
        </w:rPr>
        <w:t>ACEi</w:t>
      </w:r>
      <w:r w:rsidR="00F026E8" w:rsidRPr="00FE7622">
        <w:rPr>
          <w:rFonts w:eastAsia="Calibri"/>
        </w:rPr>
        <w:t>/</w:t>
      </w:r>
      <w:r w:rsidR="00F026E8" w:rsidRPr="00842651">
        <w:rPr>
          <w:rFonts w:eastAsia="Calibri"/>
        </w:rPr>
        <w:t>ARB</w:t>
      </w:r>
      <w:r w:rsidR="00F026E8" w:rsidRPr="00FE7622">
        <w:rPr>
          <w:rFonts w:eastAsia="Calibri"/>
        </w:rPr>
        <w:t xml:space="preserve"> systematic review</w:t>
      </w:r>
      <w:commentRangeEnd w:id="166"/>
      <w:r w:rsidR="002152F4" w:rsidRPr="00FE7622">
        <w:rPr>
          <w:rStyle w:val="CommentReference"/>
          <w:rFonts w:ascii="Times New Roman" w:hAnsi="Times New Roman" w:cs="Times New Roman"/>
          <w:color w:val="auto"/>
        </w:rPr>
        <w:commentReference w:id="166"/>
      </w:r>
    </w:p>
    <w:p w14:paraId="64EAEE8F" w14:textId="3931265D" w:rsidR="00F026E8" w:rsidRPr="00FE7622" w:rsidRDefault="00E038BF" w:rsidP="00675A0E">
      <w:pPr>
        <w:pStyle w:val="602TextfoTextstylesTextstyles"/>
        <w:rPr>
          <w:b/>
          <w:i/>
          <w:color w:val="FF0000"/>
        </w:rPr>
      </w:pPr>
      <w:r w:rsidRPr="00FE7622">
        <w:rPr>
          <w:b/>
          <w:i/>
          <w:color w:val="FF0000"/>
        </w:rPr>
        <w:t>&lt;&lt;Typesetter please retain shading using journal style colours&gt;&gt;</w:t>
      </w:r>
    </w:p>
    <w:tbl>
      <w:tblPr>
        <w:tblW w:w="0" w:type="auto"/>
        <w:tblCellMar>
          <w:top w:w="40" w:type="dxa"/>
          <w:left w:w="60" w:type="dxa"/>
          <w:bottom w:w="40" w:type="dxa"/>
          <w:right w:w="60" w:type="dxa"/>
        </w:tblCellMar>
        <w:tblLook w:val="04A0" w:firstRow="1" w:lastRow="0" w:firstColumn="1" w:lastColumn="0" w:noHBand="0" w:noVBand="1"/>
      </w:tblPr>
      <w:tblGrid>
        <w:gridCol w:w="1144"/>
        <w:gridCol w:w="1254"/>
        <w:gridCol w:w="1299"/>
        <w:gridCol w:w="1100"/>
        <w:gridCol w:w="1087"/>
        <w:gridCol w:w="908"/>
        <w:gridCol w:w="958"/>
        <w:gridCol w:w="1276"/>
      </w:tblGrid>
      <w:tr w:rsidR="00F026E8" w:rsidRPr="00FE7622" w14:paraId="28C1B504" w14:textId="77777777" w:rsidTr="00AF19CC">
        <w:trPr>
          <w:cantSplit/>
        </w:trPr>
        <w:tc>
          <w:tcPr>
            <w:tcW w:w="0" w:type="auto"/>
            <w:shd w:val="clear" w:color="auto" w:fill="auto"/>
          </w:tcPr>
          <w:p w14:paraId="23CEC1FC" w14:textId="2D9983FF" w:rsidR="00F026E8" w:rsidRPr="00FE7622" w:rsidRDefault="00E038BF" w:rsidP="00AF19CC">
            <w:pPr>
              <w:pStyle w:val="710TableheadTablesTableFigureBoxstyles"/>
              <w:rPr>
                <w:rFonts w:eastAsia="Calibri"/>
              </w:rPr>
            </w:pPr>
            <w:r w:rsidRPr="00FE7622">
              <w:rPr>
                <w:rFonts w:eastAsia="Calibri"/>
              </w:rPr>
              <w:t>First author, year</w:t>
            </w:r>
          </w:p>
        </w:tc>
        <w:tc>
          <w:tcPr>
            <w:tcW w:w="0" w:type="auto"/>
            <w:shd w:val="clear" w:color="auto" w:fill="auto"/>
          </w:tcPr>
          <w:p w14:paraId="4DF4B8D0" w14:textId="756988AD" w:rsidR="00F026E8" w:rsidRPr="00FE7622" w:rsidRDefault="00E038BF" w:rsidP="00AF19CC">
            <w:pPr>
              <w:pStyle w:val="710TableheadTablesTableFigureBoxstyles"/>
              <w:rPr>
                <w:rFonts w:eastAsia="Calibri"/>
              </w:rPr>
            </w:pPr>
            <w:r w:rsidRPr="00FE7622">
              <w:rPr>
                <w:rFonts w:eastAsia="Calibri"/>
              </w:rPr>
              <w:t>Allocation concealment</w:t>
            </w:r>
          </w:p>
        </w:tc>
        <w:tc>
          <w:tcPr>
            <w:tcW w:w="0" w:type="auto"/>
            <w:shd w:val="clear" w:color="auto" w:fill="auto"/>
          </w:tcPr>
          <w:p w14:paraId="4062DC5A" w14:textId="6CAD5A25" w:rsidR="00F026E8" w:rsidRPr="00FE7622" w:rsidRDefault="00E038BF" w:rsidP="00AF19CC">
            <w:pPr>
              <w:pStyle w:val="710TableheadTablesTableFigureBoxstyles"/>
              <w:rPr>
                <w:rFonts w:eastAsia="Calibri"/>
              </w:rPr>
            </w:pPr>
            <w:r w:rsidRPr="00FE7622">
              <w:rPr>
                <w:rFonts w:eastAsia="Calibri"/>
              </w:rPr>
              <w:t>Withdrawals and dropouts</w:t>
            </w:r>
          </w:p>
        </w:tc>
        <w:tc>
          <w:tcPr>
            <w:tcW w:w="0" w:type="auto"/>
            <w:shd w:val="clear" w:color="auto" w:fill="auto"/>
          </w:tcPr>
          <w:p w14:paraId="2BAC4BE7" w14:textId="51681CAD" w:rsidR="00F026E8" w:rsidRPr="00FE7622" w:rsidRDefault="00E038BF" w:rsidP="00AF19CC">
            <w:pPr>
              <w:pStyle w:val="710TableheadTablesTableFigureBoxstyles"/>
              <w:rPr>
                <w:rFonts w:eastAsia="Calibri"/>
              </w:rPr>
            </w:pPr>
            <w:r w:rsidRPr="00FE7622">
              <w:rPr>
                <w:rFonts w:eastAsia="Calibri"/>
              </w:rPr>
              <w:t>Analysis by intention to treat</w:t>
            </w:r>
          </w:p>
        </w:tc>
        <w:tc>
          <w:tcPr>
            <w:tcW w:w="0" w:type="auto"/>
            <w:shd w:val="clear" w:color="auto" w:fill="auto"/>
          </w:tcPr>
          <w:p w14:paraId="0BE8A347" w14:textId="2220ED98" w:rsidR="00F026E8" w:rsidRPr="00FE7622" w:rsidRDefault="00E038BF" w:rsidP="00AF19CC">
            <w:pPr>
              <w:pStyle w:val="710TableheadTablesTableFigureBoxstyles"/>
              <w:rPr>
                <w:rFonts w:eastAsia="Calibri"/>
              </w:rPr>
            </w:pPr>
            <w:r w:rsidRPr="00FE7622">
              <w:rPr>
                <w:rFonts w:eastAsia="Calibri"/>
              </w:rPr>
              <w:t>Participant blinding</w:t>
            </w:r>
          </w:p>
        </w:tc>
        <w:tc>
          <w:tcPr>
            <w:tcW w:w="0" w:type="auto"/>
            <w:shd w:val="clear" w:color="auto" w:fill="auto"/>
          </w:tcPr>
          <w:p w14:paraId="76CCA3C5" w14:textId="6447A467" w:rsidR="00F026E8" w:rsidRPr="00FE7622" w:rsidRDefault="00E038BF" w:rsidP="00AF19CC">
            <w:pPr>
              <w:pStyle w:val="710TableheadTablesTableFigureBoxstyles"/>
              <w:rPr>
                <w:rFonts w:eastAsia="Calibri"/>
              </w:rPr>
            </w:pPr>
            <w:r w:rsidRPr="00FE7622">
              <w:rPr>
                <w:rFonts w:eastAsia="Calibri"/>
              </w:rPr>
              <w:t>Health-care blinding</w:t>
            </w:r>
          </w:p>
        </w:tc>
        <w:tc>
          <w:tcPr>
            <w:tcW w:w="0" w:type="auto"/>
            <w:shd w:val="clear" w:color="auto" w:fill="auto"/>
          </w:tcPr>
          <w:p w14:paraId="23B3B9A0" w14:textId="2B7AE87F" w:rsidR="00F026E8" w:rsidRPr="00FE7622" w:rsidRDefault="00E038BF" w:rsidP="00AF19CC">
            <w:pPr>
              <w:pStyle w:val="710TableheadTablesTableFigureBoxstyles"/>
              <w:rPr>
                <w:rFonts w:eastAsia="Calibri"/>
              </w:rPr>
            </w:pPr>
            <w:r w:rsidRPr="00FE7622">
              <w:rPr>
                <w:rFonts w:eastAsia="Calibri"/>
              </w:rPr>
              <w:t>Outcome blinding</w:t>
            </w:r>
          </w:p>
        </w:tc>
        <w:tc>
          <w:tcPr>
            <w:tcW w:w="0" w:type="auto"/>
            <w:shd w:val="clear" w:color="auto" w:fill="auto"/>
          </w:tcPr>
          <w:p w14:paraId="40E4E8BF" w14:textId="25362B40" w:rsidR="00F026E8" w:rsidRPr="00FE7622" w:rsidRDefault="00E038BF" w:rsidP="00AF19CC">
            <w:pPr>
              <w:pStyle w:val="710TableheadTablesTableFigureBoxstyles"/>
              <w:rPr>
                <w:rFonts w:eastAsia="Calibri"/>
              </w:rPr>
            </w:pPr>
            <w:r w:rsidRPr="00FE7622">
              <w:rPr>
                <w:rFonts w:eastAsia="Calibri"/>
              </w:rPr>
              <w:t>Treatment groups comparable</w:t>
            </w:r>
          </w:p>
        </w:tc>
      </w:tr>
      <w:tr w:rsidR="00F026E8" w:rsidRPr="00FE7622" w14:paraId="35E52F69" w14:textId="77777777" w:rsidTr="00AF19CC">
        <w:trPr>
          <w:cantSplit/>
        </w:trPr>
        <w:tc>
          <w:tcPr>
            <w:tcW w:w="0" w:type="auto"/>
            <w:shd w:val="clear" w:color="auto" w:fill="auto"/>
          </w:tcPr>
          <w:p w14:paraId="2A4A14D3" w14:textId="5D4FE60A" w:rsidR="00F026E8" w:rsidRPr="00FE7622" w:rsidRDefault="00F026E8" w:rsidP="00AF19CC">
            <w:pPr>
              <w:pStyle w:val="72TabletextTablesTableFigureBoxstyles"/>
              <w:rPr>
                <w:rFonts w:eastAsia="Calibri"/>
              </w:rPr>
            </w:pPr>
            <w:r w:rsidRPr="00FE7622">
              <w:rPr>
                <w:rFonts w:eastAsia="Calibri"/>
                <w:color w:val="auto"/>
              </w:rPr>
              <w:t>Leonetti</w:t>
            </w:r>
            <w:r w:rsidR="000822CA" w:rsidRPr="00FE7622">
              <w:rPr>
                <w:rFonts w:eastAsia="Calibri"/>
                <w:color w:val="auto"/>
              </w:rPr>
              <w:t>,</w:t>
            </w:r>
            <w:r w:rsidRPr="00FE7622">
              <w:rPr>
                <w:rFonts w:eastAsia="Calibri"/>
                <w:color w:val="auto"/>
              </w:rPr>
              <w:t xml:space="preserve"> 1991</w:t>
            </w:r>
            <w:r w:rsidR="00E038BF" w:rsidRPr="00FE7622">
              <w:rPr>
                <w:rFonts w:eastAsia="Calibri"/>
                <w:color w:val="auto"/>
                <w:vertAlign w:val="superscript"/>
              </w:rPr>
              <w:t>80</w:t>
            </w:r>
          </w:p>
        </w:tc>
        <w:tc>
          <w:tcPr>
            <w:tcW w:w="0" w:type="auto"/>
            <w:shd w:val="clear" w:color="auto" w:fill="FFFF00"/>
          </w:tcPr>
          <w:p w14:paraId="770DA93B" w14:textId="77777777" w:rsidR="00F026E8" w:rsidRPr="00FE7622" w:rsidRDefault="00F026E8" w:rsidP="00AF19CC">
            <w:pPr>
              <w:pStyle w:val="72TabletextTablesTableFigureBoxstyles"/>
              <w:rPr>
                <w:rFonts w:eastAsia="Calibri"/>
              </w:rPr>
            </w:pPr>
          </w:p>
        </w:tc>
        <w:tc>
          <w:tcPr>
            <w:tcW w:w="0" w:type="auto"/>
            <w:shd w:val="clear" w:color="auto" w:fill="FFFF00"/>
          </w:tcPr>
          <w:p w14:paraId="622240AE" w14:textId="77777777" w:rsidR="00F026E8" w:rsidRPr="00FE7622" w:rsidRDefault="00F026E8" w:rsidP="00AF19CC">
            <w:pPr>
              <w:pStyle w:val="72TabletextTablesTableFigureBoxstyles"/>
              <w:rPr>
                <w:rFonts w:eastAsia="Calibri"/>
              </w:rPr>
            </w:pPr>
          </w:p>
        </w:tc>
        <w:tc>
          <w:tcPr>
            <w:tcW w:w="0" w:type="auto"/>
            <w:shd w:val="clear" w:color="auto" w:fill="FFFF00"/>
          </w:tcPr>
          <w:p w14:paraId="571843FA" w14:textId="77777777" w:rsidR="00F026E8" w:rsidRPr="00FE7622" w:rsidRDefault="00F026E8" w:rsidP="00AF19CC">
            <w:pPr>
              <w:pStyle w:val="72TabletextTablesTableFigureBoxstyles"/>
              <w:rPr>
                <w:rFonts w:eastAsia="Calibri"/>
              </w:rPr>
            </w:pPr>
          </w:p>
        </w:tc>
        <w:tc>
          <w:tcPr>
            <w:tcW w:w="0" w:type="auto"/>
            <w:shd w:val="clear" w:color="auto" w:fill="92D050"/>
          </w:tcPr>
          <w:p w14:paraId="58F4B5D2" w14:textId="77777777" w:rsidR="00F026E8" w:rsidRPr="00FE7622" w:rsidRDefault="00F026E8" w:rsidP="00AF19CC">
            <w:pPr>
              <w:pStyle w:val="72TabletextTablesTableFigureBoxstyles"/>
              <w:rPr>
                <w:rFonts w:eastAsia="Calibri"/>
              </w:rPr>
            </w:pPr>
          </w:p>
        </w:tc>
        <w:tc>
          <w:tcPr>
            <w:tcW w:w="0" w:type="auto"/>
            <w:shd w:val="clear" w:color="auto" w:fill="92D050"/>
          </w:tcPr>
          <w:p w14:paraId="3EF017A0" w14:textId="77777777" w:rsidR="00F026E8" w:rsidRPr="00FE7622" w:rsidRDefault="00F026E8" w:rsidP="00AF19CC">
            <w:pPr>
              <w:pStyle w:val="72TabletextTablesTableFigureBoxstyles"/>
              <w:rPr>
                <w:rFonts w:eastAsia="Calibri"/>
              </w:rPr>
            </w:pPr>
          </w:p>
        </w:tc>
        <w:tc>
          <w:tcPr>
            <w:tcW w:w="0" w:type="auto"/>
            <w:shd w:val="clear" w:color="auto" w:fill="92D050"/>
          </w:tcPr>
          <w:p w14:paraId="1BC722E7" w14:textId="77777777" w:rsidR="00F026E8" w:rsidRPr="00FE7622" w:rsidRDefault="00F026E8" w:rsidP="00AF19CC">
            <w:pPr>
              <w:pStyle w:val="72TabletextTablesTableFigureBoxstyles"/>
              <w:rPr>
                <w:rFonts w:eastAsia="Calibri"/>
              </w:rPr>
            </w:pPr>
          </w:p>
        </w:tc>
        <w:tc>
          <w:tcPr>
            <w:tcW w:w="0" w:type="auto"/>
            <w:shd w:val="clear" w:color="auto" w:fill="92D050"/>
          </w:tcPr>
          <w:p w14:paraId="4192C039" w14:textId="77777777" w:rsidR="00F026E8" w:rsidRPr="00FE7622" w:rsidRDefault="00F026E8" w:rsidP="00AF19CC">
            <w:pPr>
              <w:pStyle w:val="72TabletextTablesTableFigureBoxstyles"/>
              <w:rPr>
                <w:rFonts w:eastAsia="Calibri"/>
                <w:color w:val="auto"/>
              </w:rPr>
            </w:pPr>
          </w:p>
        </w:tc>
      </w:tr>
      <w:tr w:rsidR="00F026E8" w:rsidRPr="00FE7622" w14:paraId="5FC3F1C0" w14:textId="77777777" w:rsidTr="00AF19CC">
        <w:trPr>
          <w:cantSplit/>
        </w:trPr>
        <w:tc>
          <w:tcPr>
            <w:tcW w:w="0" w:type="auto"/>
            <w:shd w:val="clear" w:color="auto" w:fill="auto"/>
          </w:tcPr>
          <w:p w14:paraId="3458ADC8" w14:textId="5D38EAEB" w:rsidR="00F026E8" w:rsidRPr="00FE7622" w:rsidRDefault="00F026E8" w:rsidP="00AF19CC">
            <w:pPr>
              <w:pStyle w:val="72TabletextTablesTableFigureBoxstyles"/>
              <w:rPr>
                <w:rFonts w:eastAsia="Calibri"/>
              </w:rPr>
            </w:pPr>
            <w:r w:rsidRPr="00FE7622">
              <w:rPr>
                <w:rFonts w:eastAsia="Calibri"/>
                <w:color w:val="auto"/>
              </w:rPr>
              <w:t>Gerdts</w:t>
            </w:r>
            <w:r w:rsidR="000822CA" w:rsidRPr="00FE7622">
              <w:rPr>
                <w:rFonts w:eastAsia="Calibri"/>
                <w:color w:val="auto"/>
              </w:rPr>
              <w:t>,</w:t>
            </w:r>
            <w:r w:rsidRPr="00FE7622">
              <w:rPr>
                <w:rFonts w:eastAsia="Calibri"/>
                <w:color w:val="auto"/>
              </w:rPr>
              <w:t xml:space="preserve"> 2006</w:t>
            </w:r>
            <w:r w:rsidR="00E038BF" w:rsidRPr="00FE7622">
              <w:rPr>
                <w:rFonts w:eastAsia="Calibri"/>
                <w:color w:val="auto"/>
                <w:vertAlign w:val="superscript"/>
              </w:rPr>
              <w:t>81</w:t>
            </w:r>
          </w:p>
        </w:tc>
        <w:tc>
          <w:tcPr>
            <w:tcW w:w="0" w:type="auto"/>
            <w:shd w:val="clear" w:color="auto" w:fill="92D050"/>
          </w:tcPr>
          <w:p w14:paraId="490F94F1" w14:textId="77777777" w:rsidR="00F026E8" w:rsidRPr="00FE7622" w:rsidRDefault="00F026E8" w:rsidP="00AF19CC">
            <w:pPr>
              <w:pStyle w:val="72TabletextTablesTableFigureBoxstyles"/>
              <w:rPr>
                <w:rFonts w:eastAsia="Calibri"/>
              </w:rPr>
            </w:pPr>
          </w:p>
        </w:tc>
        <w:tc>
          <w:tcPr>
            <w:tcW w:w="0" w:type="auto"/>
            <w:shd w:val="clear" w:color="auto" w:fill="FFFF00"/>
          </w:tcPr>
          <w:p w14:paraId="75D1BFBC" w14:textId="77777777" w:rsidR="00F026E8" w:rsidRPr="00FE7622" w:rsidRDefault="00F026E8" w:rsidP="00AF19CC">
            <w:pPr>
              <w:pStyle w:val="72TabletextTablesTableFigureBoxstyles"/>
              <w:rPr>
                <w:rFonts w:eastAsia="Calibri"/>
              </w:rPr>
            </w:pPr>
          </w:p>
        </w:tc>
        <w:tc>
          <w:tcPr>
            <w:tcW w:w="0" w:type="auto"/>
            <w:shd w:val="clear" w:color="auto" w:fill="FFFF00"/>
          </w:tcPr>
          <w:p w14:paraId="0AB57581" w14:textId="77777777" w:rsidR="00F026E8" w:rsidRPr="00FE7622" w:rsidRDefault="00F026E8" w:rsidP="00AF19CC">
            <w:pPr>
              <w:pStyle w:val="72TabletextTablesTableFigureBoxstyles"/>
              <w:rPr>
                <w:rFonts w:eastAsia="Calibri"/>
              </w:rPr>
            </w:pPr>
          </w:p>
        </w:tc>
        <w:tc>
          <w:tcPr>
            <w:tcW w:w="0" w:type="auto"/>
            <w:shd w:val="clear" w:color="auto" w:fill="92D050"/>
          </w:tcPr>
          <w:p w14:paraId="6E69800C" w14:textId="77777777" w:rsidR="00F026E8" w:rsidRPr="00FE7622" w:rsidRDefault="00F026E8" w:rsidP="00AF19CC">
            <w:pPr>
              <w:pStyle w:val="72TabletextTablesTableFigureBoxstyles"/>
              <w:rPr>
                <w:rFonts w:eastAsia="Calibri"/>
              </w:rPr>
            </w:pPr>
          </w:p>
        </w:tc>
        <w:tc>
          <w:tcPr>
            <w:tcW w:w="0" w:type="auto"/>
            <w:shd w:val="clear" w:color="auto" w:fill="92D050"/>
          </w:tcPr>
          <w:p w14:paraId="60623050" w14:textId="77777777" w:rsidR="00F026E8" w:rsidRPr="00FE7622" w:rsidRDefault="00F026E8" w:rsidP="00AF19CC">
            <w:pPr>
              <w:pStyle w:val="72TabletextTablesTableFigureBoxstyles"/>
              <w:rPr>
                <w:rFonts w:eastAsia="Calibri"/>
              </w:rPr>
            </w:pPr>
          </w:p>
        </w:tc>
        <w:tc>
          <w:tcPr>
            <w:tcW w:w="0" w:type="auto"/>
            <w:shd w:val="clear" w:color="auto" w:fill="92D050"/>
          </w:tcPr>
          <w:p w14:paraId="31E452E4" w14:textId="77777777" w:rsidR="00F026E8" w:rsidRPr="00FE7622" w:rsidRDefault="00F026E8" w:rsidP="00AF19CC">
            <w:pPr>
              <w:pStyle w:val="72TabletextTablesTableFigureBoxstyles"/>
              <w:rPr>
                <w:rFonts w:eastAsia="Calibri"/>
              </w:rPr>
            </w:pPr>
          </w:p>
        </w:tc>
        <w:tc>
          <w:tcPr>
            <w:tcW w:w="0" w:type="auto"/>
            <w:shd w:val="clear" w:color="auto" w:fill="92D050"/>
          </w:tcPr>
          <w:p w14:paraId="1F4CC8E6" w14:textId="77777777" w:rsidR="00F026E8" w:rsidRPr="00FE7622" w:rsidRDefault="00F026E8" w:rsidP="00AF19CC">
            <w:pPr>
              <w:pStyle w:val="72TabletextTablesTableFigureBoxstyles"/>
              <w:rPr>
                <w:rFonts w:eastAsia="Calibri"/>
                <w:color w:val="auto"/>
              </w:rPr>
            </w:pPr>
          </w:p>
        </w:tc>
      </w:tr>
      <w:tr w:rsidR="00F026E8" w:rsidRPr="00FE7622" w14:paraId="3E7B5AA8" w14:textId="77777777" w:rsidTr="00AF19CC">
        <w:trPr>
          <w:cantSplit/>
        </w:trPr>
        <w:tc>
          <w:tcPr>
            <w:tcW w:w="0" w:type="auto"/>
            <w:shd w:val="clear" w:color="auto" w:fill="auto"/>
          </w:tcPr>
          <w:p w14:paraId="7B1E368D" w14:textId="6B9918AD" w:rsidR="00F026E8" w:rsidRPr="00FE7622" w:rsidRDefault="00F026E8" w:rsidP="00AF19CC">
            <w:pPr>
              <w:pStyle w:val="72TabletextTablesTableFigureBoxstyles"/>
              <w:rPr>
                <w:rFonts w:eastAsia="Calibri"/>
              </w:rPr>
            </w:pPr>
            <w:r w:rsidRPr="00FE7622">
              <w:rPr>
                <w:rFonts w:eastAsia="Calibri"/>
                <w:color w:val="auto"/>
              </w:rPr>
              <w:t>Sumukadas</w:t>
            </w:r>
            <w:r w:rsidR="000822CA" w:rsidRPr="00FE7622">
              <w:rPr>
                <w:rFonts w:eastAsia="Calibri"/>
                <w:color w:val="auto"/>
              </w:rPr>
              <w:t>,</w:t>
            </w:r>
            <w:r w:rsidRPr="00FE7622">
              <w:rPr>
                <w:rFonts w:eastAsia="Calibri"/>
                <w:color w:val="auto"/>
              </w:rPr>
              <w:t xml:space="preserve"> 2007</w:t>
            </w:r>
            <w:r w:rsidR="00E038BF" w:rsidRPr="00FE7622">
              <w:rPr>
                <w:rFonts w:eastAsia="Calibri"/>
                <w:color w:val="auto"/>
                <w:vertAlign w:val="superscript"/>
              </w:rPr>
              <w:t>30</w:t>
            </w:r>
          </w:p>
        </w:tc>
        <w:tc>
          <w:tcPr>
            <w:tcW w:w="0" w:type="auto"/>
            <w:shd w:val="clear" w:color="auto" w:fill="92D050"/>
          </w:tcPr>
          <w:p w14:paraId="511FBD54" w14:textId="77777777" w:rsidR="00F026E8" w:rsidRPr="00FE7622" w:rsidRDefault="00F026E8" w:rsidP="00AF19CC">
            <w:pPr>
              <w:pStyle w:val="72TabletextTablesTableFigureBoxstyles"/>
              <w:rPr>
                <w:rFonts w:eastAsia="Calibri"/>
              </w:rPr>
            </w:pPr>
          </w:p>
        </w:tc>
        <w:tc>
          <w:tcPr>
            <w:tcW w:w="0" w:type="auto"/>
            <w:shd w:val="clear" w:color="auto" w:fill="92D050"/>
          </w:tcPr>
          <w:p w14:paraId="49AF0DF7" w14:textId="77777777" w:rsidR="00F026E8" w:rsidRPr="00FE7622" w:rsidRDefault="00F026E8" w:rsidP="00AF19CC">
            <w:pPr>
              <w:pStyle w:val="72TabletextTablesTableFigureBoxstyles"/>
              <w:rPr>
                <w:rFonts w:eastAsia="Calibri"/>
              </w:rPr>
            </w:pPr>
          </w:p>
        </w:tc>
        <w:tc>
          <w:tcPr>
            <w:tcW w:w="0" w:type="auto"/>
            <w:shd w:val="clear" w:color="auto" w:fill="FFFF00"/>
          </w:tcPr>
          <w:p w14:paraId="5BB79D63" w14:textId="77777777" w:rsidR="00F026E8" w:rsidRPr="00FE7622" w:rsidRDefault="00F026E8" w:rsidP="00AF19CC">
            <w:pPr>
              <w:pStyle w:val="72TabletextTablesTableFigureBoxstyles"/>
              <w:rPr>
                <w:rFonts w:eastAsia="Calibri"/>
              </w:rPr>
            </w:pPr>
          </w:p>
        </w:tc>
        <w:tc>
          <w:tcPr>
            <w:tcW w:w="0" w:type="auto"/>
            <w:shd w:val="clear" w:color="auto" w:fill="92D050"/>
          </w:tcPr>
          <w:p w14:paraId="2E1DC4F2" w14:textId="77777777" w:rsidR="00F026E8" w:rsidRPr="00FE7622" w:rsidRDefault="00F026E8" w:rsidP="00AF19CC">
            <w:pPr>
              <w:pStyle w:val="72TabletextTablesTableFigureBoxstyles"/>
              <w:rPr>
                <w:rFonts w:eastAsia="Calibri"/>
              </w:rPr>
            </w:pPr>
          </w:p>
        </w:tc>
        <w:tc>
          <w:tcPr>
            <w:tcW w:w="0" w:type="auto"/>
            <w:shd w:val="clear" w:color="auto" w:fill="92D050"/>
          </w:tcPr>
          <w:p w14:paraId="4719338F" w14:textId="77777777" w:rsidR="00F026E8" w:rsidRPr="00FE7622" w:rsidRDefault="00F026E8" w:rsidP="00AF19CC">
            <w:pPr>
              <w:pStyle w:val="72TabletextTablesTableFigureBoxstyles"/>
              <w:rPr>
                <w:rFonts w:eastAsia="Calibri"/>
              </w:rPr>
            </w:pPr>
          </w:p>
        </w:tc>
        <w:tc>
          <w:tcPr>
            <w:tcW w:w="0" w:type="auto"/>
            <w:shd w:val="clear" w:color="auto" w:fill="92D050"/>
          </w:tcPr>
          <w:p w14:paraId="2CDBBEE8" w14:textId="77777777" w:rsidR="00F026E8" w:rsidRPr="00FE7622" w:rsidRDefault="00F026E8" w:rsidP="00AF19CC">
            <w:pPr>
              <w:pStyle w:val="72TabletextTablesTableFigureBoxstyles"/>
              <w:rPr>
                <w:rFonts w:eastAsia="Calibri"/>
              </w:rPr>
            </w:pPr>
          </w:p>
        </w:tc>
        <w:tc>
          <w:tcPr>
            <w:tcW w:w="0" w:type="auto"/>
            <w:shd w:val="clear" w:color="auto" w:fill="92D050"/>
          </w:tcPr>
          <w:p w14:paraId="0537887A" w14:textId="77777777" w:rsidR="00F026E8" w:rsidRPr="00FE7622" w:rsidRDefault="00F026E8" w:rsidP="00AF19CC">
            <w:pPr>
              <w:pStyle w:val="72TabletextTablesTableFigureBoxstyles"/>
              <w:rPr>
                <w:rFonts w:eastAsia="Calibri"/>
                <w:color w:val="auto"/>
              </w:rPr>
            </w:pPr>
          </w:p>
        </w:tc>
      </w:tr>
      <w:tr w:rsidR="00F026E8" w:rsidRPr="00FE7622" w14:paraId="59EA272D" w14:textId="77777777" w:rsidTr="00AF19CC">
        <w:trPr>
          <w:cantSplit/>
        </w:trPr>
        <w:tc>
          <w:tcPr>
            <w:tcW w:w="0" w:type="auto"/>
            <w:shd w:val="clear" w:color="auto" w:fill="auto"/>
          </w:tcPr>
          <w:p w14:paraId="1D51AA90" w14:textId="6B54A6D9" w:rsidR="00F026E8" w:rsidRPr="00FE7622" w:rsidRDefault="00F026E8" w:rsidP="00AF19CC">
            <w:pPr>
              <w:pStyle w:val="72TabletextTablesTableFigureBoxstyles"/>
              <w:rPr>
                <w:rFonts w:eastAsia="Calibri"/>
              </w:rPr>
            </w:pPr>
            <w:r w:rsidRPr="00FE7622">
              <w:rPr>
                <w:rFonts w:eastAsia="Calibri"/>
                <w:color w:val="auto"/>
              </w:rPr>
              <w:t>Bunout</w:t>
            </w:r>
            <w:r w:rsidR="000822CA" w:rsidRPr="00FE7622">
              <w:rPr>
                <w:rFonts w:eastAsia="Calibri"/>
                <w:color w:val="auto"/>
              </w:rPr>
              <w:t>,</w:t>
            </w:r>
            <w:r w:rsidRPr="00FE7622">
              <w:rPr>
                <w:rFonts w:eastAsia="Calibri"/>
                <w:color w:val="auto"/>
              </w:rPr>
              <w:t xml:space="preserve"> 2009</w:t>
            </w:r>
            <w:r w:rsidR="00E038BF" w:rsidRPr="00FE7622">
              <w:rPr>
                <w:rFonts w:eastAsia="Calibri"/>
                <w:color w:val="auto"/>
                <w:vertAlign w:val="superscript"/>
              </w:rPr>
              <w:t>82</w:t>
            </w:r>
          </w:p>
        </w:tc>
        <w:tc>
          <w:tcPr>
            <w:tcW w:w="0" w:type="auto"/>
            <w:shd w:val="clear" w:color="auto" w:fill="92D050"/>
          </w:tcPr>
          <w:p w14:paraId="61090D62" w14:textId="77777777" w:rsidR="00F026E8" w:rsidRPr="00FE7622" w:rsidRDefault="00F026E8" w:rsidP="00AF19CC">
            <w:pPr>
              <w:pStyle w:val="72TabletextTablesTableFigureBoxstyles"/>
              <w:rPr>
                <w:rFonts w:eastAsia="Calibri"/>
              </w:rPr>
            </w:pPr>
          </w:p>
        </w:tc>
        <w:tc>
          <w:tcPr>
            <w:tcW w:w="0" w:type="auto"/>
            <w:shd w:val="clear" w:color="auto" w:fill="92D050"/>
          </w:tcPr>
          <w:p w14:paraId="335355D9" w14:textId="77777777" w:rsidR="00F026E8" w:rsidRPr="00FE7622" w:rsidRDefault="00F026E8" w:rsidP="00AF19CC">
            <w:pPr>
              <w:pStyle w:val="72TabletextTablesTableFigureBoxstyles"/>
              <w:rPr>
                <w:rFonts w:eastAsia="Calibri"/>
              </w:rPr>
            </w:pPr>
          </w:p>
        </w:tc>
        <w:tc>
          <w:tcPr>
            <w:tcW w:w="0" w:type="auto"/>
            <w:shd w:val="clear" w:color="auto" w:fill="92D050"/>
          </w:tcPr>
          <w:p w14:paraId="1F11393B" w14:textId="77777777" w:rsidR="00F026E8" w:rsidRPr="00FE7622" w:rsidRDefault="00F026E8" w:rsidP="00AF19CC">
            <w:pPr>
              <w:pStyle w:val="72TabletextTablesTableFigureBoxstyles"/>
              <w:rPr>
                <w:rFonts w:eastAsia="Calibri"/>
              </w:rPr>
            </w:pPr>
          </w:p>
        </w:tc>
        <w:tc>
          <w:tcPr>
            <w:tcW w:w="0" w:type="auto"/>
            <w:shd w:val="clear" w:color="auto" w:fill="92D050"/>
          </w:tcPr>
          <w:p w14:paraId="72CD4647" w14:textId="77777777" w:rsidR="00F026E8" w:rsidRPr="00FE7622" w:rsidRDefault="00F026E8" w:rsidP="00AF19CC">
            <w:pPr>
              <w:pStyle w:val="72TabletextTablesTableFigureBoxstyles"/>
              <w:rPr>
                <w:rFonts w:eastAsia="Calibri"/>
              </w:rPr>
            </w:pPr>
          </w:p>
        </w:tc>
        <w:tc>
          <w:tcPr>
            <w:tcW w:w="0" w:type="auto"/>
            <w:shd w:val="clear" w:color="auto" w:fill="92D050"/>
          </w:tcPr>
          <w:p w14:paraId="480DF453" w14:textId="77777777" w:rsidR="00F026E8" w:rsidRPr="00FE7622" w:rsidRDefault="00F026E8" w:rsidP="00AF19CC">
            <w:pPr>
              <w:pStyle w:val="72TabletextTablesTableFigureBoxstyles"/>
              <w:rPr>
                <w:rFonts w:eastAsia="Calibri"/>
              </w:rPr>
            </w:pPr>
          </w:p>
        </w:tc>
        <w:tc>
          <w:tcPr>
            <w:tcW w:w="0" w:type="auto"/>
            <w:shd w:val="clear" w:color="auto" w:fill="FFFF00"/>
          </w:tcPr>
          <w:p w14:paraId="5A62E898" w14:textId="77777777" w:rsidR="00F026E8" w:rsidRPr="00FE7622" w:rsidRDefault="00F026E8" w:rsidP="00AF19CC">
            <w:pPr>
              <w:pStyle w:val="72TabletextTablesTableFigureBoxstyles"/>
              <w:rPr>
                <w:rFonts w:eastAsia="Calibri"/>
              </w:rPr>
            </w:pPr>
          </w:p>
        </w:tc>
        <w:tc>
          <w:tcPr>
            <w:tcW w:w="0" w:type="auto"/>
            <w:shd w:val="clear" w:color="auto" w:fill="92D050"/>
          </w:tcPr>
          <w:p w14:paraId="1F820442" w14:textId="77777777" w:rsidR="00F026E8" w:rsidRPr="00FE7622" w:rsidRDefault="00F026E8" w:rsidP="00AF19CC">
            <w:pPr>
              <w:pStyle w:val="72TabletextTablesTableFigureBoxstyles"/>
              <w:rPr>
                <w:rFonts w:eastAsia="Calibri"/>
                <w:color w:val="auto"/>
              </w:rPr>
            </w:pPr>
          </w:p>
        </w:tc>
      </w:tr>
      <w:tr w:rsidR="00F026E8" w:rsidRPr="00FE7622" w14:paraId="48DC5438" w14:textId="77777777" w:rsidTr="00AF19CC">
        <w:trPr>
          <w:cantSplit/>
        </w:trPr>
        <w:tc>
          <w:tcPr>
            <w:tcW w:w="0" w:type="auto"/>
            <w:shd w:val="clear" w:color="auto" w:fill="auto"/>
          </w:tcPr>
          <w:p w14:paraId="06EDC2F7" w14:textId="2991B25E" w:rsidR="00F026E8" w:rsidRPr="00FE7622" w:rsidRDefault="00F026E8" w:rsidP="00AF19CC">
            <w:pPr>
              <w:pStyle w:val="72TabletextTablesTableFigureBoxstyles"/>
              <w:rPr>
                <w:rFonts w:eastAsia="Calibri"/>
              </w:rPr>
            </w:pPr>
            <w:r w:rsidRPr="00FE7622">
              <w:rPr>
                <w:rFonts w:eastAsia="Calibri"/>
                <w:color w:val="auto"/>
              </w:rPr>
              <w:t>Cesari</w:t>
            </w:r>
            <w:r w:rsidR="000822CA" w:rsidRPr="00FE7622">
              <w:rPr>
                <w:rFonts w:eastAsia="Calibri"/>
                <w:color w:val="auto"/>
              </w:rPr>
              <w:t>,</w:t>
            </w:r>
            <w:r w:rsidRPr="00FE7622">
              <w:rPr>
                <w:rFonts w:eastAsia="Calibri"/>
                <w:color w:val="auto"/>
              </w:rPr>
              <w:t xml:space="preserve"> 2010</w:t>
            </w:r>
            <w:r w:rsidR="00E038BF" w:rsidRPr="00FE7622">
              <w:rPr>
                <w:rFonts w:eastAsia="Calibri"/>
                <w:color w:val="auto"/>
                <w:vertAlign w:val="superscript"/>
              </w:rPr>
              <w:t>83</w:t>
            </w:r>
          </w:p>
        </w:tc>
        <w:tc>
          <w:tcPr>
            <w:tcW w:w="0" w:type="auto"/>
            <w:shd w:val="clear" w:color="auto" w:fill="FFFF00"/>
          </w:tcPr>
          <w:p w14:paraId="6A5D3A7F" w14:textId="77777777" w:rsidR="00F026E8" w:rsidRPr="00FE7622" w:rsidRDefault="00F026E8" w:rsidP="00AF19CC">
            <w:pPr>
              <w:pStyle w:val="72TabletextTablesTableFigureBoxstyles"/>
              <w:rPr>
                <w:rFonts w:eastAsia="Calibri"/>
              </w:rPr>
            </w:pPr>
          </w:p>
        </w:tc>
        <w:tc>
          <w:tcPr>
            <w:tcW w:w="0" w:type="auto"/>
            <w:shd w:val="clear" w:color="auto" w:fill="FFFF00"/>
          </w:tcPr>
          <w:p w14:paraId="1599FFE4" w14:textId="77777777" w:rsidR="00F026E8" w:rsidRPr="00FE7622" w:rsidRDefault="00F026E8" w:rsidP="00AF19CC">
            <w:pPr>
              <w:pStyle w:val="72TabletextTablesTableFigureBoxstyles"/>
              <w:rPr>
                <w:rFonts w:eastAsia="Calibri"/>
              </w:rPr>
            </w:pPr>
          </w:p>
        </w:tc>
        <w:tc>
          <w:tcPr>
            <w:tcW w:w="0" w:type="auto"/>
            <w:shd w:val="clear" w:color="auto" w:fill="FFFF00"/>
          </w:tcPr>
          <w:p w14:paraId="4FFA9AEE" w14:textId="77777777" w:rsidR="00F026E8" w:rsidRPr="00FE7622" w:rsidRDefault="00F026E8" w:rsidP="00AF19CC">
            <w:pPr>
              <w:pStyle w:val="72TabletextTablesTableFigureBoxstyles"/>
              <w:rPr>
                <w:rFonts w:eastAsia="Calibri"/>
              </w:rPr>
            </w:pPr>
          </w:p>
        </w:tc>
        <w:tc>
          <w:tcPr>
            <w:tcW w:w="0" w:type="auto"/>
            <w:shd w:val="clear" w:color="auto" w:fill="92D050"/>
          </w:tcPr>
          <w:p w14:paraId="5C1672C7" w14:textId="77777777" w:rsidR="00F026E8" w:rsidRPr="00FE7622" w:rsidRDefault="00F026E8" w:rsidP="00AF19CC">
            <w:pPr>
              <w:pStyle w:val="72TabletextTablesTableFigureBoxstyles"/>
              <w:rPr>
                <w:rFonts w:eastAsia="Calibri"/>
              </w:rPr>
            </w:pPr>
          </w:p>
        </w:tc>
        <w:tc>
          <w:tcPr>
            <w:tcW w:w="0" w:type="auto"/>
            <w:shd w:val="clear" w:color="auto" w:fill="92D050"/>
          </w:tcPr>
          <w:p w14:paraId="643E1FB9" w14:textId="77777777" w:rsidR="00F026E8" w:rsidRPr="00FE7622" w:rsidRDefault="00F026E8" w:rsidP="00AF19CC">
            <w:pPr>
              <w:pStyle w:val="72TabletextTablesTableFigureBoxstyles"/>
              <w:rPr>
                <w:rFonts w:eastAsia="Calibri"/>
              </w:rPr>
            </w:pPr>
          </w:p>
        </w:tc>
        <w:tc>
          <w:tcPr>
            <w:tcW w:w="0" w:type="auto"/>
            <w:shd w:val="clear" w:color="auto" w:fill="92D050"/>
          </w:tcPr>
          <w:p w14:paraId="3E53D778" w14:textId="77777777" w:rsidR="00F026E8" w:rsidRPr="00FE7622" w:rsidRDefault="00F026E8" w:rsidP="00AF19CC">
            <w:pPr>
              <w:pStyle w:val="72TabletextTablesTableFigureBoxstyles"/>
              <w:rPr>
                <w:rFonts w:eastAsia="Calibri"/>
              </w:rPr>
            </w:pPr>
          </w:p>
        </w:tc>
        <w:tc>
          <w:tcPr>
            <w:tcW w:w="0" w:type="auto"/>
            <w:shd w:val="clear" w:color="auto" w:fill="92D050"/>
          </w:tcPr>
          <w:p w14:paraId="317DF993" w14:textId="77777777" w:rsidR="00F026E8" w:rsidRPr="00FE7622" w:rsidRDefault="00F026E8" w:rsidP="00AF19CC">
            <w:pPr>
              <w:pStyle w:val="72TabletextTablesTableFigureBoxstyles"/>
              <w:rPr>
                <w:rFonts w:eastAsia="Calibri"/>
                <w:color w:val="auto"/>
              </w:rPr>
            </w:pPr>
          </w:p>
        </w:tc>
      </w:tr>
      <w:tr w:rsidR="00F026E8" w:rsidRPr="00FE7622" w14:paraId="7DE4B01C" w14:textId="77777777" w:rsidTr="00AF19CC">
        <w:trPr>
          <w:cantSplit/>
        </w:trPr>
        <w:tc>
          <w:tcPr>
            <w:tcW w:w="0" w:type="auto"/>
            <w:shd w:val="clear" w:color="auto" w:fill="auto"/>
          </w:tcPr>
          <w:p w14:paraId="4797BDB0" w14:textId="55748A67" w:rsidR="00F026E8" w:rsidRPr="00FE7622" w:rsidRDefault="00F026E8" w:rsidP="00AF19CC">
            <w:pPr>
              <w:pStyle w:val="72TabletextTablesTableFigureBoxstyles"/>
              <w:rPr>
                <w:rFonts w:eastAsia="Calibri"/>
              </w:rPr>
            </w:pPr>
            <w:r w:rsidRPr="00FE7622">
              <w:rPr>
                <w:rFonts w:eastAsia="Calibri"/>
                <w:color w:val="auto"/>
              </w:rPr>
              <w:t>Sumukadas</w:t>
            </w:r>
            <w:r w:rsidR="000822CA" w:rsidRPr="00FE7622">
              <w:rPr>
                <w:rFonts w:eastAsia="Calibri"/>
                <w:color w:val="auto"/>
              </w:rPr>
              <w:t>,</w:t>
            </w:r>
            <w:r w:rsidRPr="00FE7622">
              <w:rPr>
                <w:rFonts w:eastAsia="Calibri"/>
                <w:color w:val="auto"/>
              </w:rPr>
              <w:t xml:space="preserve"> 2013</w:t>
            </w:r>
            <w:r w:rsidR="00E038BF" w:rsidRPr="00FE7622">
              <w:rPr>
                <w:rFonts w:eastAsia="Calibri"/>
                <w:color w:val="auto"/>
                <w:vertAlign w:val="superscript"/>
              </w:rPr>
              <w:t>34</w:t>
            </w:r>
          </w:p>
        </w:tc>
        <w:tc>
          <w:tcPr>
            <w:tcW w:w="0" w:type="auto"/>
            <w:shd w:val="clear" w:color="auto" w:fill="92D050"/>
          </w:tcPr>
          <w:p w14:paraId="2354DE82" w14:textId="77777777" w:rsidR="00F026E8" w:rsidRPr="00FE7622" w:rsidRDefault="00F026E8" w:rsidP="00AF19CC">
            <w:pPr>
              <w:pStyle w:val="72TabletextTablesTableFigureBoxstyles"/>
              <w:rPr>
                <w:rFonts w:eastAsia="Calibri"/>
              </w:rPr>
            </w:pPr>
          </w:p>
        </w:tc>
        <w:tc>
          <w:tcPr>
            <w:tcW w:w="0" w:type="auto"/>
            <w:shd w:val="clear" w:color="auto" w:fill="92D050"/>
          </w:tcPr>
          <w:p w14:paraId="09E8E557" w14:textId="77777777" w:rsidR="00F026E8" w:rsidRPr="00FE7622" w:rsidRDefault="00F026E8" w:rsidP="00AF19CC">
            <w:pPr>
              <w:pStyle w:val="72TabletextTablesTableFigureBoxstyles"/>
              <w:rPr>
                <w:rFonts w:eastAsia="Calibri"/>
              </w:rPr>
            </w:pPr>
          </w:p>
        </w:tc>
        <w:tc>
          <w:tcPr>
            <w:tcW w:w="0" w:type="auto"/>
            <w:shd w:val="clear" w:color="auto" w:fill="92D050"/>
          </w:tcPr>
          <w:p w14:paraId="46B2F25A" w14:textId="77777777" w:rsidR="00F026E8" w:rsidRPr="00FE7622" w:rsidRDefault="00F026E8" w:rsidP="00AF19CC">
            <w:pPr>
              <w:pStyle w:val="72TabletextTablesTableFigureBoxstyles"/>
              <w:rPr>
                <w:rFonts w:eastAsia="Calibri"/>
              </w:rPr>
            </w:pPr>
          </w:p>
        </w:tc>
        <w:tc>
          <w:tcPr>
            <w:tcW w:w="0" w:type="auto"/>
            <w:shd w:val="clear" w:color="auto" w:fill="92D050"/>
          </w:tcPr>
          <w:p w14:paraId="5A0845EE" w14:textId="77777777" w:rsidR="00F026E8" w:rsidRPr="00FE7622" w:rsidRDefault="00F026E8" w:rsidP="00AF19CC">
            <w:pPr>
              <w:pStyle w:val="72TabletextTablesTableFigureBoxstyles"/>
              <w:rPr>
                <w:rFonts w:eastAsia="Calibri"/>
              </w:rPr>
            </w:pPr>
          </w:p>
        </w:tc>
        <w:tc>
          <w:tcPr>
            <w:tcW w:w="0" w:type="auto"/>
            <w:shd w:val="clear" w:color="auto" w:fill="92D050"/>
          </w:tcPr>
          <w:p w14:paraId="0A6F9022" w14:textId="77777777" w:rsidR="00F026E8" w:rsidRPr="00FE7622" w:rsidRDefault="00F026E8" w:rsidP="00AF19CC">
            <w:pPr>
              <w:pStyle w:val="72TabletextTablesTableFigureBoxstyles"/>
              <w:rPr>
                <w:rFonts w:eastAsia="Calibri"/>
              </w:rPr>
            </w:pPr>
          </w:p>
        </w:tc>
        <w:tc>
          <w:tcPr>
            <w:tcW w:w="0" w:type="auto"/>
            <w:shd w:val="clear" w:color="auto" w:fill="92D050"/>
          </w:tcPr>
          <w:p w14:paraId="74F92591" w14:textId="77777777" w:rsidR="00F026E8" w:rsidRPr="00FE7622" w:rsidRDefault="00F026E8" w:rsidP="00AF19CC">
            <w:pPr>
              <w:pStyle w:val="72TabletextTablesTableFigureBoxstyles"/>
              <w:rPr>
                <w:rFonts w:eastAsia="Calibri"/>
              </w:rPr>
            </w:pPr>
          </w:p>
        </w:tc>
        <w:tc>
          <w:tcPr>
            <w:tcW w:w="0" w:type="auto"/>
            <w:shd w:val="clear" w:color="auto" w:fill="92D050"/>
          </w:tcPr>
          <w:p w14:paraId="152314E1" w14:textId="77777777" w:rsidR="00F026E8" w:rsidRPr="00FE7622" w:rsidRDefault="00F026E8" w:rsidP="00AF19CC">
            <w:pPr>
              <w:pStyle w:val="72TabletextTablesTableFigureBoxstyles"/>
              <w:rPr>
                <w:rFonts w:eastAsia="Calibri"/>
                <w:color w:val="auto"/>
              </w:rPr>
            </w:pPr>
          </w:p>
        </w:tc>
      </w:tr>
      <w:tr w:rsidR="00F026E8" w:rsidRPr="00FE7622" w14:paraId="73A6FFE4" w14:textId="77777777" w:rsidTr="00AF19CC">
        <w:trPr>
          <w:cantSplit/>
        </w:trPr>
        <w:tc>
          <w:tcPr>
            <w:tcW w:w="0" w:type="auto"/>
            <w:shd w:val="clear" w:color="auto" w:fill="auto"/>
          </w:tcPr>
          <w:p w14:paraId="4945211A" w14:textId="72EE6B7B" w:rsidR="00F026E8" w:rsidRPr="00FE7622" w:rsidRDefault="00F026E8" w:rsidP="00AF19CC">
            <w:pPr>
              <w:pStyle w:val="72TabletextTablesTableFigureBoxstyles"/>
              <w:rPr>
                <w:rFonts w:eastAsia="Calibri"/>
              </w:rPr>
            </w:pPr>
            <w:r w:rsidRPr="00FE7622">
              <w:rPr>
                <w:rFonts w:eastAsia="Calibri"/>
                <w:color w:val="auto"/>
              </w:rPr>
              <w:t>Sumukadas</w:t>
            </w:r>
            <w:r w:rsidR="000822CA" w:rsidRPr="00FE7622">
              <w:rPr>
                <w:rFonts w:eastAsia="Calibri"/>
                <w:color w:val="auto"/>
              </w:rPr>
              <w:t>,</w:t>
            </w:r>
            <w:r w:rsidRPr="00FE7622">
              <w:rPr>
                <w:rFonts w:eastAsia="Calibri"/>
                <w:color w:val="auto"/>
              </w:rPr>
              <w:t xml:space="preserve"> 2018</w:t>
            </w:r>
            <w:r w:rsidR="00E038BF" w:rsidRPr="00FE7622">
              <w:rPr>
                <w:rFonts w:eastAsia="Calibri"/>
                <w:color w:val="auto"/>
                <w:vertAlign w:val="superscript"/>
              </w:rPr>
              <w:t>84</w:t>
            </w:r>
          </w:p>
        </w:tc>
        <w:tc>
          <w:tcPr>
            <w:tcW w:w="0" w:type="auto"/>
            <w:shd w:val="clear" w:color="auto" w:fill="92D050"/>
          </w:tcPr>
          <w:p w14:paraId="7C13B0E4" w14:textId="77777777" w:rsidR="00F026E8" w:rsidRPr="00FE7622" w:rsidRDefault="00F026E8" w:rsidP="00AF19CC">
            <w:pPr>
              <w:pStyle w:val="72TabletextTablesTableFigureBoxstyles"/>
              <w:rPr>
                <w:rFonts w:eastAsia="Calibri"/>
              </w:rPr>
            </w:pPr>
          </w:p>
        </w:tc>
        <w:tc>
          <w:tcPr>
            <w:tcW w:w="0" w:type="auto"/>
            <w:shd w:val="clear" w:color="auto" w:fill="92D050"/>
          </w:tcPr>
          <w:p w14:paraId="1A7621DA" w14:textId="77777777" w:rsidR="00F026E8" w:rsidRPr="00FE7622" w:rsidRDefault="00F026E8" w:rsidP="00AF19CC">
            <w:pPr>
              <w:pStyle w:val="72TabletextTablesTableFigureBoxstyles"/>
              <w:rPr>
                <w:rFonts w:eastAsia="Calibri"/>
              </w:rPr>
            </w:pPr>
          </w:p>
        </w:tc>
        <w:tc>
          <w:tcPr>
            <w:tcW w:w="0" w:type="auto"/>
            <w:shd w:val="clear" w:color="auto" w:fill="92D050"/>
          </w:tcPr>
          <w:p w14:paraId="40FD67F6" w14:textId="77777777" w:rsidR="00F026E8" w:rsidRPr="00FE7622" w:rsidRDefault="00F026E8" w:rsidP="00AF19CC">
            <w:pPr>
              <w:pStyle w:val="72TabletextTablesTableFigureBoxstyles"/>
              <w:rPr>
                <w:rFonts w:eastAsia="Calibri"/>
              </w:rPr>
            </w:pPr>
          </w:p>
        </w:tc>
        <w:tc>
          <w:tcPr>
            <w:tcW w:w="0" w:type="auto"/>
            <w:shd w:val="clear" w:color="auto" w:fill="92D050"/>
          </w:tcPr>
          <w:p w14:paraId="548A11F2" w14:textId="77777777" w:rsidR="00F026E8" w:rsidRPr="00FE7622" w:rsidRDefault="00F026E8" w:rsidP="00AF19CC">
            <w:pPr>
              <w:pStyle w:val="72TabletextTablesTableFigureBoxstyles"/>
              <w:rPr>
                <w:rFonts w:eastAsia="Calibri"/>
              </w:rPr>
            </w:pPr>
          </w:p>
        </w:tc>
        <w:tc>
          <w:tcPr>
            <w:tcW w:w="0" w:type="auto"/>
            <w:shd w:val="clear" w:color="auto" w:fill="92D050"/>
          </w:tcPr>
          <w:p w14:paraId="4FDF58FD" w14:textId="77777777" w:rsidR="00F026E8" w:rsidRPr="00FE7622" w:rsidRDefault="00F026E8" w:rsidP="00AF19CC">
            <w:pPr>
              <w:pStyle w:val="72TabletextTablesTableFigureBoxstyles"/>
              <w:rPr>
                <w:rFonts w:eastAsia="Calibri"/>
              </w:rPr>
            </w:pPr>
          </w:p>
        </w:tc>
        <w:tc>
          <w:tcPr>
            <w:tcW w:w="0" w:type="auto"/>
            <w:shd w:val="clear" w:color="auto" w:fill="92D050"/>
          </w:tcPr>
          <w:p w14:paraId="4665C737" w14:textId="77777777" w:rsidR="00F026E8" w:rsidRPr="00FE7622" w:rsidRDefault="00F026E8" w:rsidP="00AF19CC">
            <w:pPr>
              <w:pStyle w:val="72TabletextTablesTableFigureBoxstyles"/>
              <w:rPr>
                <w:rFonts w:eastAsia="Calibri"/>
              </w:rPr>
            </w:pPr>
          </w:p>
        </w:tc>
        <w:tc>
          <w:tcPr>
            <w:tcW w:w="0" w:type="auto"/>
            <w:shd w:val="clear" w:color="auto" w:fill="92D050"/>
          </w:tcPr>
          <w:p w14:paraId="499852A2" w14:textId="77777777" w:rsidR="00F026E8" w:rsidRPr="00FE7622" w:rsidRDefault="00F026E8" w:rsidP="00AF19CC">
            <w:pPr>
              <w:pStyle w:val="72TabletextTablesTableFigureBoxstyles"/>
              <w:rPr>
                <w:rFonts w:eastAsia="Calibri"/>
                <w:color w:val="auto"/>
              </w:rPr>
            </w:pPr>
          </w:p>
        </w:tc>
      </w:tr>
      <w:tr w:rsidR="00F026E8" w:rsidRPr="00FE7622" w14:paraId="345DBC91" w14:textId="77777777" w:rsidTr="00AF19CC">
        <w:trPr>
          <w:cantSplit/>
        </w:trPr>
        <w:tc>
          <w:tcPr>
            <w:tcW w:w="0" w:type="auto"/>
            <w:shd w:val="clear" w:color="auto" w:fill="auto"/>
          </w:tcPr>
          <w:p w14:paraId="68B3D55F" w14:textId="3F9E3443" w:rsidR="00F026E8" w:rsidRPr="00FE7622" w:rsidRDefault="00F026E8" w:rsidP="00AF19CC">
            <w:pPr>
              <w:pStyle w:val="72TabletextTablesTableFigureBoxstyles"/>
              <w:rPr>
                <w:rFonts w:eastAsia="Calibri"/>
              </w:rPr>
            </w:pPr>
            <w:r w:rsidRPr="00FE7622">
              <w:rPr>
                <w:rFonts w:eastAsia="Calibri"/>
                <w:color w:val="auto"/>
              </w:rPr>
              <w:t>Heisterberg</w:t>
            </w:r>
            <w:r w:rsidR="000822CA" w:rsidRPr="00FE7622">
              <w:rPr>
                <w:rFonts w:eastAsia="Calibri"/>
                <w:color w:val="auto"/>
              </w:rPr>
              <w:t>,</w:t>
            </w:r>
            <w:r w:rsidRPr="00FE7622">
              <w:rPr>
                <w:rFonts w:eastAsia="Calibri"/>
                <w:color w:val="auto"/>
              </w:rPr>
              <w:t xml:space="preserve"> 2018</w:t>
            </w:r>
            <w:r w:rsidR="00E038BF" w:rsidRPr="00FE7622">
              <w:rPr>
                <w:rFonts w:eastAsia="Calibri"/>
                <w:color w:val="auto"/>
                <w:vertAlign w:val="superscript"/>
              </w:rPr>
              <w:t>85</w:t>
            </w:r>
          </w:p>
        </w:tc>
        <w:tc>
          <w:tcPr>
            <w:tcW w:w="0" w:type="auto"/>
            <w:shd w:val="clear" w:color="auto" w:fill="FFFF00"/>
          </w:tcPr>
          <w:p w14:paraId="560D8DFA" w14:textId="77777777" w:rsidR="00F026E8" w:rsidRPr="00FE7622" w:rsidRDefault="00F026E8" w:rsidP="00AF19CC">
            <w:pPr>
              <w:pStyle w:val="72TabletextTablesTableFigureBoxstyles"/>
              <w:rPr>
                <w:rFonts w:eastAsia="Calibri"/>
              </w:rPr>
            </w:pPr>
          </w:p>
        </w:tc>
        <w:tc>
          <w:tcPr>
            <w:tcW w:w="0" w:type="auto"/>
            <w:shd w:val="clear" w:color="auto" w:fill="92D050"/>
          </w:tcPr>
          <w:p w14:paraId="610CA24F" w14:textId="77777777" w:rsidR="00F026E8" w:rsidRPr="00FE7622" w:rsidRDefault="00F026E8" w:rsidP="00AF19CC">
            <w:pPr>
              <w:pStyle w:val="72TabletextTablesTableFigureBoxstyles"/>
              <w:rPr>
                <w:rFonts w:eastAsia="Calibri"/>
              </w:rPr>
            </w:pPr>
          </w:p>
        </w:tc>
        <w:tc>
          <w:tcPr>
            <w:tcW w:w="0" w:type="auto"/>
            <w:shd w:val="clear" w:color="auto" w:fill="FFFF00"/>
          </w:tcPr>
          <w:p w14:paraId="3CBB9F85" w14:textId="77777777" w:rsidR="00F026E8" w:rsidRPr="00FE7622" w:rsidRDefault="00F026E8" w:rsidP="00AF19CC">
            <w:pPr>
              <w:pStyle w:val="72TabletextTablesTableFigureBoxstyles"/>
              <w:rPr>
                <w:rFonts w:eastAsia="Calibri"/>
              </w:rPr>
            </w:pPr>
          </w:p>
        </w:tc>
        <w:tc>
          <w:tcPr>
            <w:tcW w:w="0" w:type="auto"/>
            <w:shd w:val="clear" w:color="auto" w:fill="92D050"/>
          </w:tcPr>
          <w:p w14:paraId="04E37D99" w14:textId="77777777" w:rsidR="00F026E8" w:rsidRPr="00FE7622" w:rsidRDefault="00F026E8" w:rsidP="00AF19CC">
            <w:pPr>
              <w:pStyle w:val="72TabletextTablesTableFigureBoxstyles"/>
              <w:rPr>
                <w:rFonts w:eastAsia="Calibri"/>
              </w:rPr>
            </w:pPr>
          </w:p>
        </w:tc>
        <w:tc>
          <w:tcPr>
            <w:tcW w:w="0" w:type="auto"/>
            <w:shd w:val="clear" w:color="auto" w:fill="92D050"/>
          </w:tcPr>
          <w:p w14:paraId="2656069D" w14:textId="77777777" w:rsidR="00F026E8" w:rsidRPr="00FE7622" w:rsidRDefault="00F026E8" w:rsidP="00AF19CC">
            <w:pPr>
              <w:pStyle w:val="72TabletextTablesTableFigureBoxstyles"/>
              <w:rPr>
                <w:rFonts w:eastAsia="Calibri"/>
              </w:rPr>
            </w:pPr>
          </w:p>
        </w:tc>
        <w:tc>
          <w:tcPr>
            <w:tcW w:w="0" w:type="auto"/>
            <w:shd w:val="clear" w:color="auto" w:fill="92D050"/>
          </w:tcPr>
          <w:p w14:paraId="4D487912" w14:textId="77777777" w:rsidR="00F026E8" w:rsidRPr="00FE7622" w:rsidRDefault="00F026E8" w:rsidP="00AF19CC">
            <w:pPr>
              <w:pStyle w:val="72TabletextTablesTableFigureBoxstyles"/>
              <w:rPr>
                <w:rFonts w:eastAsia="Calibri"/>
              </w:rPr>
            </w:pPr>
          </w:p>
        </w:tc>
        <w:tc>
          <w:tcPr>
            <w:tcW w:w="0" w:type="auto"/>
            <w:shd w:val="clear" w:color="auto" w:fill="92D050"/>
          </w:tcPr>
          <w:p w14:paraId="70597EAE" w14:textId="77777777" w:rsidR="00F026E8" w:rsidRPr="00FE7622" w:rsidRDefault="00F026E8" w:rsidP="00AF19CC">
            <w:pPr>
              <w:pStyle w:val="72TabletextTablesTableFigureBoxstyles"/>
              <w:rPr>
                <w:rFonts w:eastAsia="Calibri"/>
                <w:color w:val="auto"/>
              </w:rPr>
            </w:pPr>
          </w:p>
        </w:tc>
      </w:tr>
      <w:tr w:rsidR="00F026E8" w:rsidRPr="00FE7622" w14:paraId="2D3E02F0" w14:textId="77777777" w:rsidTr="00AF19CC">
        <w:trPr>
          <w:cantSplit/>
        </w:trPr>
        <w:tc>
          <w:tcPr>
            <w:tcW w:w="0" w:type="auto"/>
            <w:gridSpan w:val="8"/>
            <w:shd w:val="clear" w:color="auto" w:fill="auto"/>
          </w:tcPr>
          <w:p w14:paraId="0B17DB20" w14:textId="54BC6B80" w:rsidR="00F026E8" w:rsidRPr="00FE7622" w:rsidRDefault="00F026E8" w:rsidP="00AF19CC">
            <w:pPr>
              <w:pStyle w:val="75TablenotesTablesTableFigureBoxstyles"/>
              <w:rPr>
                <w:rFonts w:ascii="Calibri" w:eastAsia="Calibri" w:hAnsi="Calibri"/>
                <w:lang w:val="en-GB"/>
              </w:rPr>
            </w:pPr>
            <w:r w:rsidRPr="00FE7622">
              <w:rPr>
                <w:rFonts w:eastAsia="Calibri"/>
                <w:lang w:val="en-GB"/>
              </w:rPr>
              <w:t>Green</w:t>
            </w:r>
            <w:r w:rsidR="006F7A80" w:rsidRPr="00FE7622">
              <w:rPr>
                <w:rFonts w:eastAsia="Calibri"/>
                <w:lang w:val="en-GB"/>
              </w:rPr>
              <w:t>,</w:t>
            </w:r>
            <w:r w:rsidRPr="00FE7622">
              <w:rPr>
                <w:rFonts w:eastAsia="Calibri"/>
                <w:lang w:val="en-GB"/>
              </w:rPr>
              <w:t xml:space="preserve"> </w:t>
            </w:r>
            <w:r w:rsidR="006F7A80" w:rsidRPr="00FE7622">
              <w:rPr>
                <w:rFonts w:eastAsia="Calibri"/>
                <w:lang w:val="en-GB"/>
              </w:rPr>
              <w:t>l</w:t>
            </w:r>
            <w:r w:rsidRPr="00FE7622">
              <w:rPr>
                <w:rFonts w:eastAsia="Calibri"/>
                <w:lang w:val="en-GB"/>
              </w:rPr>
              <w:t>ow risk of bias</w:t>
            </w:r>
            <w:r w:rsidR="006F7A80" w:rsidRPr="00FE7622">
              <w:rPr>
                <w:rFonts w:eastAsia="Calibri"/>
                <w:lang w:val="en-GB"/>
              </w:rPr>
              <w:t>;</w:t>
            </w:r>
            <w:r w:rsidRPr="00FE7622">
              <w:rPr>
                <w:rFonts w:eastAsia="Calibri"/>
                <w:lang w:val="en-GB"/>
              </w:rPr>
              <w:t xml:space="preserve"> </w:t>
            </w:r>
            <w:r w:rsidR="006F7A80" w:rsidRPr="00FE7622">
              <w:rPr>
                <w:rFonts w:eastAsia="Calibri"/>
                <w:lang w:val="en-GB"/>
              </w:rPr>
              <w:t>y</w:t>
            </w:r>
            <w:r w:rsidRPr="00FE7622">
              <w:rPr>
                <w:rFonts w:eastAsia="Calibri"/>
                <w:lang w:val="en-GB"/>
              </w:rPr>
              <w:t>ellow</w:t>
            </w:r>
            <w:r w:rsidR="006F7A80" w:rsidRPr="00FE7622">
              <w:rPr>
                <w:rFonts w:eastAsia="Calibri"/>
                <w:lang w:val="en-GB"/>
              </w:rPr>
              <w:t>,</w:t>
            </w:r>
            <w:r w:rsidRPr="00FE7622">
              <w:rPr>
                <w:rFonts w:eastAsia="Calibri"/>
                <w:lang w:val="en-GB"/>
              </w:rPr>
              <w:t xml:space="preserve"> </w:t>
            </w:r>
            <w:r w:rsidR="006F7A80" w:rsidRPr="00FE7622">
              <w:rPr>
                <w:rFonts w:eastAsia="Calibri"/>
                <w:lang w:val="en-GB"/>
              </w:rPr>
              <w:t>u</w:t>
            </w:r>
            <w:r w:rsidRPr="00FE7622">
              <w:rPr>
                <w:rFonts w:eastAsia="Calibri"/>
                <w:lang w:val="en-GB"/>
              </w:rPr>
              <w:t>nclear risk of bias</w:t>
            </w:r>
            <w:r w:rsidR="006F7A80" w:rsidRPr="00FE7622">
              <w:rPr>
                <w:rFonts w:eastAsia="Calibri"/>
                <w:lang w:val="en-GB"/>
              </w:rPr>
              <w:t>;</w:t>
            </w:r>
            <w:r w:rsidRPr="00FE7622">
              <w:rPr>
                <w:rFonts w:eastAsia="Calibri"/>
                <w:lang w:val="en-GB"/>
              </w:rPr>
              <w:t xml:space="preserve"> </w:t>
            </w:r>
            <w:r w:rsidR="006F7A80" w:rsidRPr="00FE7622">
              <w:rPr>
                <w:rFonts w:eastAsia="Calibri"/>
                <w:lang w:val="en-GB"/>
              </w:rPr>
              <w:t>r</w:t>
            </w:r>
            <w:r w:rsidRPr="00FE7622">
              <w:rPr>
                <w:rFonts w:eastAsia="Calibri"/>
                <w:lang w:val="en-GB"/>
              </w:rPr>
              <w:t>ed</w:t>
            </w:r>
            <w:r w:rsidR="006F7A80" w:rsidRPr="00FE7622">
              <w:rPr>
                <w:rFonts w:eastAsia="Calibri"/>
                <w:lang w:val="en-GB"/>
              </w:rPr>
              <w:t>,</w:t>
            </w:r>
            <w:r w:rsidRPr="00FE7622">
              <w:rPr>
                <w:rFonts w:eastAsia="Calibri"/>
                <w:lang w:val="en-GB"/>
              </w:rPr>
              <w:t xml:space="preserve"> </w:t>
            </w:r>
            <w:r w:rsidR="006F7A80" w:rsidRPr="00FE7622">
              <w:rPr>
                <w:rFonts w:eastAsia="Calibri"/>
                <w:lang w:val="en-GB"/>
              </w:rPr>
              <w:t>h</w:t>
            </w:r>
            <w:r w:rsidRPr="00FE7622">
              <w:rPr>
                <w:rFonts w:eastAsia="Calibri"/>
                <w:lang w:val="en-GB"/>
              </w:rPr>
              <w:t>igh risk of bias</w:t>
            </w:r>
            <w:r w:rsidR="006F7A80" w:rsidRPr="00FE7622">
              <w:rPr>
                <w:rFonts w:eastAsia="Calibri"/>
                <w:lang w:val="en-GB"/>
              </w:rPr>
              <w:t>.</w:t>
            </w:r>
          </w:p>
        </w:tc>
      </w:tr>
    </w:tbl>
    <w:p w14:paraId="130A2AEE" w14:textId="6DB8289B" w:rsidR="00E038BF" w:rsidRPr="00FE7622" w:rsidRDefault="00E038BF" w:rsidP="00675A0E">
      <w:pPr>
        <w:pStyle w:val="43AppendixtitleHeadingsHeadingstyles"/>
      </w:pPr>
      <w:bookmarkStart w:id="167" w:name="_Toc79684575"/>
      <w:r w:rsidRPr="00FE7622">
        <w:t>Appendix 5</w:t>
      </w:r>
      <w:r w:rsidRPr="00FE7622">
        <w:t> </w:t>
      </w:r>
      <w:r w:rsidRPr="00FE7622">
        <w:t>Genotyping analyses</w:t>
      </w:r>
      <w:bookmarkEnd w:id="167"/>
    </w:p>
    <w:p w14:paraId="04612F95" w14:textId="3347BB71" w:rsidR="00F026E8" w:rsidRPr="00FE7622" w:rsidRDefault="00F026E8" w:rsidP="007A55D6">
      <w:pPr>
        <w:pStyle w:val="601TextdropcapTextstylesTextstyles"/>
        <w:rPr>
          <w:color w:val="auto"/>
        </w:rPr>
      </w:pPr>
      <w:r w:rsidRPr="00FE7622">
        <w:rPr>
          <w:color w:val="auto"/>
        </w:rPr>
        <w:t xml:space="preserve">Genotyping was performed for four polymorphisms previously associated with muscle mass or physical performance </w:t>
      </w:r>
      <w:r w:rsidR="00E31600" w:rsidRPr="00FE7622">
        <w:rPr>
          <w:color w:val="auto"/>
        </w:rPr>
        <w:t>[</w:t>
      </w:r>
      <w:r w:rsidRPr="00FE7622">
        <w:rPr>
          <w:color w:val="auto"/>
        </w:rPr>
        <w:t>ACE I/D</w:t>
      </w:r>
      <w:r w:rsidR="007E574A" w:rsidRPr="00FE7622">
        <w:rPr>
          <w:color w:val="auto"/>
        </w:rPr>
        <w:t xml:space="preserve"> and</w:t>
      </w:r>
      <w:r w:rsidRPr="00FE7622">
        <w:rPr>
          <w:color w:val="auto"/>
        </w:rPr>
        <w:t xml:space="preserve"> ACTN3 R577X and two from the activin type 1B receptor (ACVR1B), rs2854464 in the 3′-UTR and the intronic rs10783486</w:t>
      </w:r>
      <w:r w:rsidR="00E31600" w:rsidRPr="00FE7622">
        <w:rPr>
          <w:color w:val="auto"/>
        </w:rPr>
        <w:t>]</w:t>
      </w:r>
      <w:r w:rsidRPr="00FE7622">
        <w:rPr>
          <w:color w:val="auto"/>
        </w:rPr>
        <w:t>. All polymorphisms were in Hardy</w:t>
      </w:r>
      <w:r w:rsidR="00E31600" w:rsidRPr="00FE7622">
        <w:rPr>
          <w:color w:val="auto"/>
        </w:rPr>
        <w:t>–</w:t>
      </w:r>
      <w:r w:rsidRPr="00FE7622">
        <w:rPr>
          <w:color w:val="auto"/>
        </w:rPr>
        <w:t xml:space="preserve">Weinberg equilibrium in comparison </w:t>
      </w:r>
      <w:r w:rsidR="00E31600" w:rsidRPr="00FE7622">
        <w:rPr>
          <w:color w:val="auto"/>
        </w:rPr>
        <w:t>with</w:t>
      </w:r>
      <w:r w:rsidRPr="00FE7622">
        <w:rPr>
          <w:color w:val="auto"/>
        </w:rPr>
        <w:t xml:space="preserve"> normal UK populations from the 1000 genome project and from </w:t>
      </w:r>
      <w:r w:rsidR="00A66EEC" w:rsidRPr="00FE7622">
        <w:rPr>
          <w:color w:val="auto"/>
        </w:rPr>
        <w:t xml:space="preserve">Steeds </w:t>
      </w:r>
      <w:r w:rsidR="00E038BF" w:rsidRPr="00FE7622">
        <w:rPr>
          <w:i/>
          <w:iCs/>
          <w:color w:val="auto"/>
        </w:rPr>
        <w:t>et</w:t>
      </w:r>
      <w:r w:rsidR="00A66EEC" w:rsidRPr="00FE7622">
        <w:rPr>
          <w:color w:val="auto"/>
        </w:rPr>
        <w:t xml:space="preserve"> </w:t>
      </w:r>
      <w:r w:rsidR="00E038BF" w:rsidRPr="00FE7622">
        <w:rPr>
          <w:i/>
          <w:iCs/>
          <w:color w:val="auto"/>
        </w:rPr>
        <w:t>al</w:t>
      </w:r>
      <w:r w:rsidR="00A66EEC" w:rsidRPr="00FE7622">
        <w:rPr>
          <w:color w:val="auto"/>
        </w:rPr>
        <w:t>.</w:t>
      </w:r>
      <w:r w:rsidR="00652C2E" w:rsidRPr="00FE7622">
        <w:rPr>
          <w:color w:val="auto"/>
        </w:rPr>
        <w:t>,</w:t>
      </w:r>
      <w:r w:rsidR="00E038BF" w:rsidRPr="00FE7622">
        <w:rPr>
          <w:color w:val="auto"/>
          <w:vertAlign w:val="superscript"/>
        </w:rPr>
        <w:t>800</w:t>
      </w:r>
      <w:r w:rsidRPr="00FE7622">
        <w:rPr>
          <w:color w:val="auto"/>
        </w:rPr>
        <w:t xml:space="preserve"> and their frequencies are given </w:t>
      </w:r>
      <w:r w:rsidR="00BC6861" w:rsidRPr="00FE7622">
        <w:rPr>
          <w:color w:val="auto"/>
        </w:rPr>
        <w:t xml:space="preserve">in </w:t>
      </w:r>
      <w:r w:rsidR="00E038BF" w:rsidRPr="00FE7622">
        <w:rPr>
          <w:i/>
          <w:iCs/>
          <w:color w:val="FF0000"/>
        </w:rPr>
        <w:t>Table 24</w:t>
      </w:r>
      <w:r w:rsidR="00BC6861" w:rsidRPr="00FE7622">
        <w:rPr>
          <w:color w:val="auto"/>
        </w:rPr>
        <w:t>.</w:t>
      </w:r>
    </w:p>
    <w:p w14:paraId="1F6B23E6" w14:textId="6A26B0ED" w:rsidR="00F026E8" w:rsidRPr="00FE7622" w:rsidRDefault="00E038BF" w:rsidP="00F026E8">
      <w:pPr>
        <w:pStyle w:val="70TablelegendTablesTableFigureBoxstyles"/>
        <w:rPr>
          <w:lang w:val="en-GB"/>
        </w:rPr>
      </w:pPr>
      <w:r w:rsidRPr="00FE7622">
        <w:rPr>
          <w:b/>
        </w:rPr>
        <w:t>TABLE 24</w:t>
      </w:r>
      <w:r w:rsidRPr="00FE7622">
        <w:rPr>
          <w:b/>
        </w:rPr>
        <w:t> </w:t>
      </w:r>
      <w:r w:rsidR="00F026E8" w:rsidRPr="00FE7622">
        <w:rPr>
          <w:lang w:val="en-GB"/>
        </w:rPr>
        <w:t>Genotype frequencies</w:t>
      </w:r>
    </w:p>
    <w:tbl>
      <w:tblPr>
        <w:tblW w:w="0" w:type="auto"/>
        <w:tblCellMar>
          <w:top w:w="40" w:type="dxa"/>
          <w:left w:w="60" w:type="dxa"/>
          <w:bottom w:w="40" w:type="dxa"/>
          <w:right w:w="60" w:type="dxa"/>
        </w:tblCellMar>
        <w:tblLook w:val="0600" w:firstRow="0" w:lastRow="0" w:firstColumn="0" w:lastColumn="0" w:noHBand="1" w:noVBand="1"/>
      </w:tblPr>
      <w:tblGrid>
        <w:gridCol w:w="1234"/>
        <w:gridCol w:w="557"/>
        <w:gridCol w:w="931"/>
        <w:gridCol w:w="690"/>
      </w:tblGrid>
      <w:tr w:rsidR="00F026E8" w:rsidRPr="00FE7622" w14:paraId="0B363CCB" w14:textId="77777777" w:rsidTr="00AF19CC">
        <w:trPr>
          <w:cantSplit/>
        </w:trPr>
        <w:tc>
          <w:tcPr>
            <w:tcW w:w="0" w:type="auto"/>
            <w:shd w:val="clear" w:color="auto" w:fill="auto"/>
          </w:tcPr>
          <w:p w14:paraId="6C4CEDF1" w14:textId="77777777" w:rsidR="00F026E8" w:rsidRPr="00FE7622" w:rsidRDefault="00F026E8" w:rsidP="00AF19CC">
            <w:pPr>
              <w:pStyle w:val="710TableheadTablesTableFigureBoxstyles"/>
            </w:pPr>
          </w:p>
        </w:tc>
        <w:tc>
          <w:tcPr>
            <w:tcW w:w="0" w:type="auto"/>
            <w:shd w:val="clear" w:color="auto" w:fill="auto"/>
          </w:tcPr>
          <w:p w14:paraId="5E512A04" w14:textId="695E7712" w:rsidR="00F026E8" w:rsidRPr="00FE7622" w:rsidRDefault="00E038BF" w:rsidP="00AF19CC">
            <w:pPr>
              <w:pStyle w:val="710TableheadTablesTableFigureBoxstyles"/>
            </w:pPr>
            <w:r w:rsidRPr="00FE7622">
              <w:t>Allele</w:t>
            </w:r>
          </w:p>
        </w:tc>
        <w:tc>
          <w:tcPr>
            <w:tcW w:w="0" w:type="auto"/>
            <w:shd w:val="clear" w:color="auto" w:fill="auto"/>
          </w:tcPr>
          <w:p w14:paraId="6AC5B1D8" w14:textId="680ADADB" w:rsidR="00F026E8" w:rsidRPr="00FE7622" w:rsidRDefault="00E038BF" w:rsidP="00AF19CC">
            <w:pPr>
              <w:pStyle w:val="710TableheadTablesTableFigureBoxstyles"/>
            </w:pPr>
            <w:r w:rsidRPr="00FE7622">
              <w:t>Frequency</w:t>
            </w:r>
          </w:p>
        </w:tc>
        <w:tc>
          <w:tcPr>
            <w:tcW w:w="0" w:type="auto"/>
            <w:shd w:val="clear" w:color="auto" w:fill="auto"/>
          </w:tcPr>
          <w:p w14:paraId="3D4495DE" w14:textId="037B044A" w:rsidR="00F026E8" w:rsidRPr="00FE7622" w:rsidRDefault="00E038BF" w:rsidP="00AF19CC">
            <w:pPr>
              <w:pStyle w:val="710TableheadTablesTableFigureBoxstyles"/>
            </w:pPr>
            <w:r w:rsidRPr="00FE7622">
              <w:rPr>
                <w:i/>
              </w:rPr>
              <w:t>p</w:t>
            </w:r>
            <w:r w:rsidRPr="00FE7622">
              <w:rPr>
                <w:iCs/>
              </w:rPr>
              <w:t>-value</w:t>
            </w:r>
          </w:p>
        </w:tc>
      </w:tr>
      <w:tr w:rsidR="00F026E8" w:rsidRPr="00FE7622" w14:paraId="4AC91F18" w14:textId="77777777" w:rsidTr="00AF19CC">
        <w:trPr>
          <w:cantSplit/>
        </w:trPr>
        <w:tc>
          <w:tcPr>
            <w:tcW w:w="0" w:type="auto"/>
            <w:vMerge w:val="restart"/>
            <w:shd w:val="clear" w:color="auto" w:fill="auto"/>
          </w:tcPr>
          <w:p w14:paraId="3AC6F4BD" w14:textId="72EA93CB" w:rsidR="00F026E8" w:rsidRPr="00FE7622" w:rsidRDefault="00F026E8" w:rsidP="00AF19CC">
            <w:pPr>
              <w:pStyle w:val="72TabletextTablesTableFigureBoxstyles"/>
              <w:rPr>
                <w:color w:val="auto"/>
              </w:rPr>
            </w:pPr>
            <w:r w:rsidRPr="00FE7622">
              <w:rPr>
                <w:color w:val="auto"/>
              </w:rPr>
              <w:t>ACTN3 R577</w:t>
            </w:r>
            <w:r w:rsidR="0065751E" w:rsidRPr="00FE7622">
              <w:rPr>
                <w:color w:val="auto"/>
              </w:rPr>
              <w:t>X</w:t>
            </w:r>
          </w:p>
        </w:tc>
        <w:tc>
          <w:tcPr>
            <w:tcW w:w="0" w:type="auto"/>
            <w:shd w:val="clear" w:color="auto" w:fill="auto"/>
          </w:tcPr>
          <w:p w14:paraId="7DA7CAF3" w14:textId="77777777" w:rsidR="00F026E8" w:rsidRPr="00FE7622" w:rsidRDefault="00F026E8" w:rsidP="00AF19CC">
            <w:pPr>
              <w:pStyle w:val="72TabletextTablesTableFigureBoxstyles"/>
            </w:pPr>
            <w:r w:rsidRPr="00FE7622">
              <w:rPr>
                <w:color w:val="auto"/>
              </w:rPr>
              <w:t>TT</w:t>
            </w:r>
          </w:p>
        </w:tc>
        <w:tc>
          <w:tcPr>
            <w:tcW w:w="0" w:type="auto"/>
            <w:shd w:val="clear" w:color="auto" w:fill="auto"/>
          </w:tcPr>
          <w:p w14:paraId="2921D9BE" w14:textId="77777777" w:rsidR="00F026E8" w:rsidRPr="00FE7622" w:rsidRDefault="00F026E8" w:rsidP="00AF19CC">
            <w:pPr>
              <w:pStyle w:val="72TabletextTablesTableFigureBoxstyles"/>
            </w:pPr>
            <w:r w:rsidRPr="00FE7622">
              <w:rPr>
                <w:color w:val="auto"/>
              </w:rPr>
              <w:t>0.287</w:t>
            </w:r>
          </w:p>
        </w:tc>
        <w:tc>
          <w:tcPr>
            <w:tcW w:w="0" w:type="auto"/>
            <w:vMerge w:val="restart"/>
            <w:shd w:val="clear" w:color="auto" w:fill="auto"/>
          </w:tcPr>
          <w:p w14:paraId="12AB2578" w14:textId="77777777" w:rsidR="00F026E8" w:rsidRPr="00FE7622" w:rsidRDefault="00F026E8" w:rsidP="00AF19CC">
            <w:pPr>
              <w:pStyle w:val="72TabletextTablesTableFigureBoxstyles"/>
              <w:rPr>
                <w:color w:val="auto"/>
              </w:rPr>
            </w:pPr>
            <w:r w:rsidRPr="00FE7622">
              <w:rPr>
                <w:color w:val="auto"/>
              </w:rPr>
              <w:t>0.194</w:t>
            </w:r>
          </w:p>
        </w:tc>
      </w:tr>
      <w:tr w:rsidR="00F026E8" w:rsidRPr="00FE7622" w14:paraId="7E2677E2" w14:textId="77777777" w:rsidTr="00AF19CC">
        <w:trPr>
          <w:cantSplit/>
        </w:trPr>
        <w:tc>
          <w:tcPr>
            <w:tcW w:w="0" w:type="auto"/>
            <w:vMerge/>
            <w:shd w:val="clear" w:color="auto" w:fill="auto"/>
          </w:tcPr>
          <w:p w14:paraId="20BAC5E5" w14:textId="77777777" w:rsidR="00F026E8" w:rsidRPr="00FE7622" w:rsidRDefault="00F026E8" w:rsidP="00AF19CC">
            <w:pPr>
              <w:pStyle w:val="72TabletextTablesTableFigureBoxstyles"/>
              <w:rPr>
                <w:color w:val="auto"/>
              </w:rPr>
            </w:pPr>
          </w:p>
        </w:tc>
        <w:tc>
          <w:tcPr>
            <w:tcW w:w="0" w:type="auto"/>
            <w:shd w:val="clear" w:color="auto" w:fill="auto"/>
          </w:tcPr>
          <w:p w14:paraId="3846A46E" w14:textId="77777777" w:rsidR="00F026E8" w:rsidRPr="00FE7622" w:rsidRDefault="00F026E8" w:rsidP="00AF19CC">
            <w:pPr>
              <w:pStyle w:val="72TabletextTablesTableFigureBoxstyles"/>
            </w:pPr>
            <w:r w:rsidRPr="00FE7622">
              <w:rPr>
                <w:color w:val="auto"/>
              </w:rPr>
              <w:t>TC</w:t>
            </w:r>
          </w:p>
        </w:tc>
        <w:tc>
          <w:tcPr>
            <w:tcW w:w="0" w:type="auto"/>
            <w:shd w:val="clear" w:color="auto" w:fill="auto"/>
          </w:tcPr>
          <w:p w14:paraId="091ED952" w14:textId="77777777" w:rsidR="00F026E8" w:rsidRPr="00FE7622" w:rsidRDefault="00F026E8" w:rsidP="00AF19CC">
            <w:pPr>
              <w:pStyle w:val="72TabletextTablesTableFigureBoxstyles"/>
            </w:pPr>
            <w:r w:rsidRPr="00FE7622">
              <w:rPr>
                <w:color w:val="auto"/>
              </w:rPr>
              <w:t>0.417</w:t>
            </w:r>
          </w:p>
        </w:tc>
        <w:tc>
          <w:tcPr>
            <w:tcW w:w="0" w:type="auto"/>
            <w:vMerge/>
            <w:shd w:val="clear" w:color="auto" w:fill="auto"/>
          </w:tcPr>
          <w:p w14:paraId="7F83CB98" w14:textId="77777777" w:rsidR="00F026E8" w:rsidRPr="00FE7622" w:rsidRDefault="00F026E8" w:rsidP="00AF19CC">
            <w:pPr>
              <w:pStyle w:val="72TabletextTablesTableFigureBoxstyles"/>
              <w:rPr>
                <w:color w:val="auto"/>
              </w:rPr>
            </w:pPr>
          </w:p>
        </w:tc>
      </w:tr>
      <w:tr w:rsidR="00F026E8" w:rsidRPr="00FE7622" w14:paraId="67942AB6" w14:textId="77777777" w:rsidTr="00AF19CC">
        <w:trPr>
          <w:cantSplit/>
        </w:trPr>
        <w:tc>
          <w:tcPr>
            <w:tcW w:w="0" w:type="auto"/>
            <w:vMerge/>
            <w:shd w:val="clear" w:color="auto" w:fill="auto"/>
          </w:tcPr>
          <w:p w14:paraId="24D20813" w14:textId="77777777" w:rsidR="00F026E8" w:rsidRPr="00FE7622" w:rsidRDefault="00F026E8" w:rsidP="00AF19CC">
            <w:pPr>
              <w:pStyle w:val="72TabletextTablesTableFigureBoxstyles"/>
              <w:rPr>
                <w:color w:val="auto"/>
              </w:rPr>
            </w:pPr>
          </w:p>
        </w:tc>
        <w:tc>
          <w:tcPr>
            <w:tcW w:w="0" w:type="auto"/>
            <w:shd w:val="clear" w:color="auto" w:fill="auto"/>
          </w:tcPr>
          <w:p w14:paraId="288C74D4" w14:textId="77777777" w:rsidR="00F026E8" w:rsidRPr="00FE7622" w:rsidRDefault="00F026E8" w:rsidP="00AF19CC">
            <w:pPr>
              <w:pStyle w:val="72TabletextTablesTableFigureBoxstyles"/>
            </w:pPr>
            <w:r w:rsidRPr="00FE7622">
              <w:rPr>
                <w:color w:val="auto"/>
              </w:rPr>
              <w:t>CC</w:t>
            </w:r>
          </w:p>
        </w:tc>
        <w:tc>
          <w:tcPr>
            <w:tcW w:w="0" w:type="auto"/>
            <w:shd w:val="clear" w:color="auto" w:fill="auto"/>
          </w:tcPr>
          <w:p w14:paraId="2F6ABE23" w14:textId="77777777" w:rsidR="00F026E8" w:rsidRPr="00FE7622" w:rsidRDefault="00F026E8" w:rsidP="00AF19CC">
            <w:pPr>
              <w:pStyle w:val="72TabletextTablesTableFigureBoxstyles"/>
            </w:pPr>
            <w:r w:rsidRPr="00FE7622">
              <w:rPr>
                <w:color w:val="auto"/>
              </w:rPr>
              <w:t>0.296</w:t>
            </w:r>
          </w:p>
        </w:tc>
        <w:tc>
          <w:tcPr>
            <w:tcW w:w="0" w:type="auto"/>
            <w:vMerge/>
            <w:shd w:val="clear" w:color="auto" w:fill="auto"/>
          </w:tcPr>
          <w:p w14:paraId="2D0D0561" w14:textId="77777777" w:rsidR="00F026E8" w:rsidRPr="00FE7622" w:rsidRDefault="00F026E8" w:rsidP="00AF19CC">
            <w:pPr>
              <w:pStyle w:val="72TabletextTablesTableFigureBoxstyles"/>
              <w:rPr>
                <w:color w:val="auto"/>
              </w:rPr>
            </w:pPr>
          </w:p>
        </w:tc>
      </w:tr>
      <w:tr w:rsidR="00F026E8" w:rsidRPr="00FE7622" w14:paraId="377B1016" w14:textId="77777777" w:rsidTr="00AF19CC">
        <w:trPr>
          <w:cantSplit/>
        </w:trPr>
        <w:tc>
          <w:tcPr>
            <w:tcW w:w="0" w:type="auto"/>
            <w:vMerge w:val="restart"/>
            <w:shd w:val="clear" w:color="auto" w:fill="auto"/>
          </w:tcPr>
          <w:p w14:paraId="3A37651B" w14:textId="77777777" w:rsidR="00F026E8" w:rsidRPr="00FE7622" w:rsidRDefault="00F026E8" w:rsidP="00AF19CC">
            <w:pPr>
              <w:pStyle w:val="72TabletextTablesTableFigureBoxstyles"/>
              <w:rPr>
                <w:color w:val="auto"/>
              </w:rPr>
            </w:pPr>
            <w:r w:rsidRPr="00FE7622">
              <w:rPr>
                <w:color w:val="auto"/>
              </w:rPr>
              <w:t>ACE I/D</w:t>
            </w:r>
          </w:p>
        </w:tc>
        <w:tc>
          <w:tcPr>
            <w:tcW w:w="0" w:type="auto"/>
            <w:shd w:val="clear" w:color="auto" w:fill="auto"/>
          </w:tcPr>
          <w:p w14:paraId="7A2E803E" w14:textId="77777777" w:rsidR="00F026E8" w:rsidRPr="00FE7622" w:rsidRDefault="00F026E8" w:rsidP="00AF19CC">
            <w:pPr>
              <w:pStyle w:val="72TabletextTablesTableFigureBoxstyles"/>
            </w:pPr>
            <w:r w:rsidRPr="00FE7622">
              <w:rPr>
                <w:color w:val="auto"/>
              </w:rPr>
              <w:t>II</w:t>
            </w:r>
          </w:p>
        </w:tc>
        <w:tc>
          <w:tcPr>
            <w:tcW w:w="0" w:type="auto"/>
            <w:shd w:val="clear" w:color="auto" w:fill="auto"/>
          </w:tcPr>
          <w:p w14:paraId="64FAB6A5" w14:textId="77777777" w:rsidR="00F026E8" w:rsidRPr="00FE7622" w:rsidRDefault="00F026E8" w:rsidP="00AF19CC">
            <w:pPr>
              <w:pStyle w:val="72TabletextTablesTableFigureBoxstyles"/>
            </w:pPr>
            <w:r w:rsidRPr="00FE7622">
              <w:rPr>
                <w:color w:val="auto"/>
              </w:rPr>
              <w:t>0.162</w:t>
            </w:r>
          </w:p>
        </w:tc>
        <w:tc>
          <w:tcPr>
            <w:tcW w:w="0" w:type="auto"/>
            <w:vMerge w:val="restart"/>
            <w:shd w:val="clear" w:color="auto" w:fill="auto"/>
          </w:tcPr>
          <w:p w14:paraId="013DB5FB" w14:textId="77777777" w:rsidR="00F026E8" w:rsidRPr="00FE7622" w:rsidRDefault="00F026E8" w:rsidP="00AF19CC">
            <w:pPr>
              <w:pStyle w:val="72TabletextTablesTableFigureBoxstyles"/>
              <w:rPr>
                <w:color w:val="auto"/>
              </w:rPr>
            </w:pPr>
            <w:r w:rsidRPr="00FE7622">
              <w:rPr>
                <w:color w:val="auto"/>
              </w:rPr>
              <w:t>0.367</w:t>
            </w:r>
          </w:p>
        </w:tc>
      </w:tr>
      <w:tr w:rsidR="00F026E8" w:rsidRPr="00FE7622" w14:paraId="0D59DC74" w14:textId="77777777" w:rsidTr="00AF19CC">
        <w:trPr>
          <w:cantSplit/>
        </w:trPr>
        <w:tc>
          <w:tcPr>
            <w:tcW w:w="0" w:type="auto"/>
            <w:vMerge/>
            <w:shd w:val="clear" w:color="auto" w:fill="auto"/>
          </w:tcPr>
          <w:p w14:paraId="0724F4CA" w14:textId="77777777" w:rsidR="00F026E8" w:rsidRPr="00FE7622" w:rsidRDefault="00F026E8" w:rsidP="00AF19CC">
            <w:pPr>
              <w:pStyle w:val="72TabletextTablesTableFigureBoxstyles"/>
              <w:rPr>
                <w:color w:val="auto"/>
              </w:rPr>
            </w:pPr>
          </w:p>
        </w:tc>
        <w:tc>
          <w:tcPr>
            <w:tcW w:w="0" w:type="auto"/>
            <w:shd w:val="clear" w:color="auto" w:fill="auto"/>
          </w:tcPr>
          <w:p w14:paraId="2FCF8B54" w14:textId="77777777" w:rsidR="00F026E8" w:rsidRPr="00FE7622" w:rsidRDefault="00F026E8" w:rsidP="00AF19CC">
            <w:pPr>
              <w:pStyle w:val="72TabletextTablesTableFigureBoxstyles"/>
            </w:pPr>
            <w:r w:rsidRPr="00FE7622">
              <w:rPr>
                <w:color w:val="auto"/>
              </w:rPr>
              <w:t>ID</w:t>
            </w:r>
          </w:p>
        </w:tc>
        <w:tc>
          <w:tcPr>
            <w:tcW w:w="0" w:type="auto"/>
            <w:shd w:val="clear" w:color="auto" w:fill="auto"/>
          </w:tcPr>
          <w:p w14:paraId="4820D3DB" w14:textId="77777777" w:rsidR="00F026E8" w:rsidRPr="00FE7622" w:rsidRDefault="00F026E8" w:rsidP="00AF19CC">
            <w:pPr>
              <w:pStyle w:val="72TabletextTablesTableFigureBoxstyles"/>
            </w:pPr>
            <w:r w:rsidRPr="00FE7622">
              <w:rPr>
                <w:color w:val="auto"/>
              </w:rPr>
              <w:t>0.500</w:t>
            </w:r>
          </w:p>
        </w:tc>
        <w:tc>
          <w:tcPr>
            <w:tcW w:w="0" w:type="auto"/>
            <w:vMerge/>
            <w:shd w:val="clear" w:color="auto" w:fill="auto"/>
          </w:tcPr>
          <w:p w14:paraId="2E6C5732" w14:textId="77777777" w:rsidR="00F026E8" w:rsidRPr="00FE7622" w:rsidRDefault="00F026E8" w:rsidP="00AF19CC">
            <w:pPr>
              <w:pStyle w:val="72TabletextTablesTableFigureBoxstyles"/>
              <w:rPr>
                <w:color w:val="auto"/>
              </w:rPr>
            </w:pPr>
          </w:p>
        </w:tc>
      </w:tr>
      <w:tr w:rsidR="00F026E8" w:rsidRPr="00FE7622" w14:paraId="1387FE18" w14:textId="77777777" w:rsidTr="00AF19CC">
        <w:trPr>
          <w:cantSplit/>
        </w:trPr>
        <w:tc>
          <w:tcPr>
            <w:tcW w:w="0" w:type="auto"/>
            <w:vMerge/>
            <w:shd w:val="clear" w:color="auto" w:fill="auto"/>
          </w:tcPr>
          <w:p w14:paraId="4B6B05F6" w14:textId="77777777" w:rsidR="00F026E8" w:rsidRPr="00FE7622" w:rsidRDefault="00F026E8" w:rsidP="00AF19CC">
            <w:pPr>
              <w:pStyle w:val="72TabletextTablesTableFigureBoxstyles"/>
              <w:rPr>
                <w:color w:val="auto"/>
              </w:rPr>
            </w:pPr>
          </w:p>
        </w:tc>
        <w:tc>
          <w:tcPr>
            <w:tcW w:w="0" w:type="auto"/>
            <w:shd w:val="clear" w:color="auto" w:fill="auto"/>
          </w:tcPr>
          <w:p w14:paraId="63D09491" w14:textId="77777777" w:rsidR="00F026E8" w:rsidRPr="00FE7622" w:rsidRDefault="00F026E8" w:rsidP="00AF19CC">
            <w:pPr>
              <w:pStyle w:val="72TabletextTablesTableFigureBoxstyles"/>
            </w:pPr>
            <w:r w:rsidRPr="00FE7622">
              <w:rPr>
                <w:color w:val="auto"/>
              </w:rPr>
              <w:t>DD</w:t>
            </w:r>
          </w:p>
        </w:tc>
        <w:tc>
          <w:tcPr>
            <w:tcW w:w="0" w:type="auto"/>
            <w:shd w:val="clear" w:color="auto" w:fill="auto"/>
          </w:tcPr>
          <w:p w14:paraId="53E07596" w14:textId="77777777" w:rsidR="00F026E8" w:rsidRPr="00FE7622" w:rsidRDefault="00F026E8" w:rsidP="00AF19CC">
            <w:pPr>
              <w:pStyle w:val="72TabletextTablesTableFigureBoxstyles"/>
            </w:pPr>
            <w:r w:rsidRPr="00FE7622">
              <w:rPr>
                <w:color w:val="auto"/>
              </w:rPr>
              <w:t>0.338</w:t>
            </w:r>
          </w:p>
        </w:tc>
        <w:tc>
          <w:tcPr>
            <w:tcW w:w="0" w:type="auto"/>
            <w:vMerge/>
            <w:shd w:val="clear" w:color="auto" w:fill="auto"/>
          </w:tcPr>
          <w:p w14:paraId="650BDF72" w14:textId="77777777" w:rsidR="00F026E8" w:rsidRPr="00FE7622" w:rsidRDefault="00F026E8" w:rsidP="00AF19CC">
            <w:pPr>
              <w:pStyle w:val="72TabletextTablesTableFigureBoxstyles"/>
              <w:rPr>
                <w:color w:val="auto"/>
              </w:rPr>
            </w:pPr>
          </w:p>
        </w:tc>
      </w:tr>
      <w:tr w:rsidR="00F026E8" w:rsidRPr="00FE7622" w14:paraId="206A4266" w14:textId="77777777" w:rsidTr="00AF19CC">
        <w:trPr>
          <w:cantSplit/>
        </w:trPr>
        <w:tc>
          <w:tcPr>
            <w:tcW w:w="0" w:type="auto"/>
            <w:vMerge w:val="restart"/>
            <w:shd w:val="clear" w:color="auto" w:fill="auto"/>
          </w:tcPr>
          <w:p w14:paraId="632BA4DA" w14:textId="77777777" w:rsidR="00F026E8" w:rsidRPr="00FE7622" w:rsidRDefault="00F026E8" w:rsidP="00AF19CC">
            <w:pPr>
              <w:pStyle w:val="72TabletextTablesTableFigureBoxstyles"/>
              <w:rPr>
                <w:color w:val="auto"/>
              </w:rPr>
            </w:pPr>
            <w:r w:rsidRPr="00FE7622">
              <w:rPr>
                <w:color w:val="auto"/>
              </w:rPr>
              <w:t>rs2854464</w:t>
            </w:r>
          </w:p>
        </w:tc>
        <w:tc>
          <w:tcPr>
            <w:tcW w:w="0" w:type="auto"/>
            <w:shd w:val="clear" w:color="auto" w:fill="auto"/>
          </w:tcPr>
          <w:p w14:paraId="1C6019A3" w14:textId="77777777" w:rsidR="00F026E8" w:rsidRPr="00FE7622" w:rsidRDefault="00F026E8" w:rsidP="00AF19CC">
            <w:pPr>
              <w:pStyle w:val="72TabletextTablesTableFigureBoxstyles"/>
            </w:pPr>
            <w:r w:rsidRPr="00FE7622">
              <w:rPr>
                <w:color w:val="auto"/>
              </w:rPr>
              <w:t>AA</w:t>
            </w:r>
          </w:p>
        </w:tc>
        <w:tc>
          <w:tcPr>
            <w:tcW w:w="0" w:type="auto"/>
            <w:shd w:val="clear" w:color="auto" w:fill="auto"/>
          </w:tcPr>
          <w:p w14:paraId="2DC43EE8" w14:textId="77777777" w:rsidR="00F026E8" w:rsidRPr="00FE7622" w:rsidRDefault="00F026E8" w:rsidP="00AF19CC">
            <w:pPr>
              <w:pStyle w:val="72TabletextTablesTableFigureBoxstyles"/>
            </w:pPr>
            <w:r w:rsidRPr="00FE7622">
              <w:rPr>
                <w:color w:val="auto"/>
              </w:rPr>
              <w:t>0.495</w:t>
            </w:r>
          </w:p>
        </w:tc>
        <w:tc>
          <w:tcPr>
            <w:tcW w:w="0" w:type="auto"/>
            <w:vMerge w:val="restart"/>
            <w:shd w:val="clear" w:color="auto" w:fill="auto"/>
          </w:tcPr>
          <w:p w14:paraId="5CAE2910" w14:textId="77777777" w:rsidR="00F026E8" w:rsidRPr="00FE7622" w:rsidRDefault="00F026E8" w:rsidP="00AF19CC">
            <w:pPr>
              <w:pStyle w:val="72TabletextTablesTableFigureBoxstyles"/>
              <w:rPr>
                <w:color w:val="auto"/>
              </w:rPr>
            </w:pPr>
            <w:r w:rsidRPr="00FE7622">
              <w:rPr>
                <w:color w:val="auto"/>
              </w:rPr>
              <w:t>0.441</w:t>
            </w:r>
          </w:p>
        </w:tc>
      </w:tr>
      <w:tr w:rsidR="00F026E8" w:rsidRPr="00FE7622" w14:paraId="69A24977" w14:textId="77777777" w:rsidTr="00AF19CC">
        <w:trPr>
          <w:cantSplit/>
        </w:trPr>
        <w:tc>
          <w:tcPr>
            <w:tcW w:w="0" w:type="auto"/>
            <w:vMerge/>
            <w:shd w:val="clear" w:color="auto" w:fill="auto"/>
          </w:tcPr>
          <w:p w14:paraId="27821900" w14:textId="77777777" w:rsidR="00F026E8" w:rsidRPr="00FE7622" w:rsidRDefault="00F026E8" w:rsidP="00AF19CC">
            <w:pPr>
              <w:pStyle w:val="72TabletextTablesTableFigureBoxstyles"/>
              <w:rPr>
                <w:color w:val="auto"/>
              </w:rPr>
            </w:pPr>
          </w:p>
        </w:tc>
        <w:tc>
          <w:tcPr>
            <w:tcW w:w="0" w:type="auto"/>
            <w:shd w:val="clear" w:color="auto" w:fill="auto"/>
          </w:tcPr>
          <w:p w14:paraId="4505D597" w14:textId="77777777" w:rsidR="00F026E8" w:rsidRPr="00FE7622" w:rsidRDefault="00F026E8" w:rsidP="00AF19CC">
            <w:pPr>
              <w:pStyle w:val="72TabletextTablesTableFigureBoxstyles"/>
            </w:pPr>
            <w:r w:rsidRPr="00FE7622">
              <w:rPr>
                <w:color w:val="auto"/>
              </w:rPr>
              <w:t>AG</w:t>
            </w:r>
          </w:p>
        </w:tc>
        <w:tc>
          <w:tcPr>
            <w:tcW w:w="0" w:type="auto"/>
            <w:shd w:val="clear" w:color="auto" w:fill="auto"/>
          </w:tcPr>
          <w:p w14:paraId="0BDFCB5D" w14:textId="77777777" w:rsidR="00F026E8" w:rsidRPr="00FE7622" w:rsidRDefault="00F026E8" w:rsidP="00AF19CC">
            <w:pPr>
              <w:pStyle w:val="72TabletextTablesTableFigureBoxstyles"/>
            </w:pPr>
            <w:r w:rsidRPr="00FE7622">
              <w:rPr>
                <w:color w:val="auto"/>
              </w:rPr>
              <w:t>0.450</w:t>
            </w:r>
          </w:p>
        </w:tc>
        <w:tc>
          <w:tcPr>
            <w:tcW w:w="0" w:type="auto"/>
            <w:vMerge/>
            <w:shd w:val="clear" w:color="auto" w:fill="auto"/>
          </w:tcPr>
          <w:p w14:paraId="23896988" w14:textId="77777777" w:rsidR="00F026E8" w:rsidRPr="00FE7622" w:rsidRDefault="00F026E8" w:rsidP="00AF19CC">
            <w:pPr>
              <w:pStyle w:val="72TabletextTablesTableFigureBoxstyles"/>
              <w:rPr>
                <w:color w:val="auto"/>
              </w:rPr>
            </w:pPr>
          </w:p>
        </w:tc>
      </w:tr>
      <w:tr w:rsidR="00F026E8" w:rsidRPr="00FE7622" w14:paraId="57BFDFC5" w14:textId="77777777" w:rsidTr="00AF19CC">
        <w:trPr>
          <w:cantSplit/>
        </w:trPr>
        <w:tc>
          <w:tcPr>
            <w:tcW w:w="0" w:type="auto"/>
            <w:vMerge/>
            <w:shd w:val="clear" w:color="auto" w:fill="auto"/>
          </w:tcPr>
          <w:p w14:paraId="11E949E0" w14:textId="77777777" w:rsidR="00F026E8" w:rsidRPr="00FE7622" w:rsidRDefault="00F026E8" w:rsidP="00AF19CC">
            <w:pPr>
              <w:pStyle w:val="72TabletextTablesTableFigureBoxstyles"/>
              <w:rPr>
                <w:color w:val="auto"/>
              </w:rPr>
            </w:pPr>
          </w:p>
        </w:tc>
        <w:tc>
          <w:tcPr>
            <w:tcW w:w="0" w:type="auto"/>
            <w:shd w:val="clear" w:color="auto" w:fill="auto"/>
          </w:tcPr>
          <w:p w14:paraId="3DC3E294" w14:textId="77777777" w:rsidR="00F026E8" w:rsidRPr="00FE7622" w:rsidRDefault="00F026E8" w:rsidP="00AF19CC">
            <w:pPr>
              <w:pStyle w:val="72TabletextTablesTableFigureBoxstyles"/>
            </w:pPr>
            <w:r w:rsidRPr="00FE7622">
              <w:rPr>
                <w:color w:val="auto"/>
              </w:rPr>
              <w:t>GG</w:t>
            </w:r>
          </w:p>
        </w:tc>
        <w:tc>
          <w:tcPr>
            <w:tcW w:w="0" w:type="auto"/>
            <w:shd w:val="clear" w:color="auto" w:fill="auto"/>
          </w:tcPr>
          <w:p w14:paraId="1ED81731" w14:textId="77777777" w:rsidR="00F026E8" w:rsidRPr="00FE7622" w:rsidRDefault="00F026E8" w:rsidP="00AF19CC">
            <w:pPr>
              <w:pStyle w:val="72TabletextTablesTableFigureBoxstyles"/>
            </w:pPr>
            <w:r w:rsidRPr="00FE7622">
              <w:rPr>
                <w:color w:val="auto"/>
              </w:rPr>
              <w:t>0.055</w:t>
            </w:r>
          </w:p>
        </w:tc>
        <w:tc>
          <w:tcPr>
            <w:tcW w:w="0" w:type="auto"/>
            <w:vMerge/>
            <w:shd w:val="clear" w:color="auto" w:fill="auto"/>
          </w:tcPr>
          <w:p w14:paraId="62FE7AF4" w14:textId="77777777" w:rsidR="00F026E8" w:rsidRPr="00FE7622" w:rsidRDefault="00F026E8" w:rsidP="00AF19CC">
            <w:pPr>
              <w:pStyle w:val="72TabletextTablesTableFigureBoxstyles"/>
              <w:rPr>
                <w:color w:val="auto"/>
              </w:rPr>
            </w:pPr>
          </w:p>
        </w:tc>
      </w:tr>
      <w:tr w:rsidR="00F026E8" w:rsidRPr="00FE7622" w14:paraId="7306DFCE" w14:textId="77777777" w:rsidTr="00AF19CC">
        <w:trPr>
          <w:cantSplit/>
        </w:trPr>
        <w:tc>
          <w:tcPr>
            <w:tcW w:w="0" w:type="auto"/>
            <w:vMerge w:val="restart"/>
            <w:shd w:val="clear" w:color="auto" w:fill="auto"/>
          </w:tcPr>
          <w:p w14:paraId="76F86F71" w14:textId="77777777" w:rsidR="00F026E8" w:rsidRPr="00FE7622" w:rsidRDefault="00F026E8" w:rsidP="00AF19CC">
            <w:pPr>
              <w:pStyle w:val="72TabletextTablesTableFigureBoxstyles"/>
              <w:rPr>
                <w:color w:val="auto"/>
              </w:rPr>
            </w:pPr>
            <w:r w:rsidRPr="00FE7622">
              <w:rPr>
                <w:color w:val="auto"/>
              </w:rPr>
              <w:t>rs10783486</w:t>
            </w:r>
          </w:p>
        </w:tc>
        <w:tc>
          <w:tcPr>
            <w:tcW w:w="0" w:type="auto"/>
            <w:shd w:val="clear" w:color="auto" w:fill="auto"/>
          </w:tcPr>
          <w:p w14:paraId="33D82AF4" w14:textId="77777777" w:rsidR="00F026E8" w:rsidRPr="00FE7622" w:rsidRDefault="00F026E8" w:rsidP="00AF19CC">
            <w:pPr>
              <w:pStyle w:val="72TabletextTablesTableFigureBoxstyles"/>
            </w:pPr>
            <w:r w:rsidRPr="00FE7622">
              <w:rPr>
                <w:color w:val="auto"/>
              </w:rPr>
              <w:t>AA</w:t>
            </w:r>
          </w:p>
        </w:tc>
        <w:tc>
          <w:tcPr>
            <w:tcW w:w="0" w:type="auto"/>
            <w:shd w:val="clear" w:color="auto" w:fill="auto"/>
          </w:tcPr>
          <w:p w14:paraId="06F49182" w14:textId="77777777" w:rsidR="00F026E8" w:rsidRPr="00FE7622" w:rsidRDefault="00F026E8" w:rsidP="00AF19CC">
            <w:pPr>
              <w:pStyle w:val="72TabletextTablesTableFigureBoxstyles"/>
            </w:pPr>
            <w:r w:rsidRPr="00FE7622">
              <w:rPr>
                <w:color w:val="auto"/>
              </w:rPr>
              <w:t>0.065</w:t>
            </w:r>
          </w:p>
        </w:tc>
        <w:tc>
          <w:tcPr>
            <w:tcW w:w="0" w:type="auto"/>
            <w:vMerge w:val="restart"/>
            <w:shd w:val="clear" w:color="auto" w:fill="auto"/>
          </w:tcPr>
          <w:p w14:paraId="6F7EEAE9" w14:textId="77777777" w:rsidR="00F026E8" w:rsidRPr="00FE7622" w:rsidRDefault="00F026E8" w:rsidP="00AF19CC">
            <w:pPr>
              <w:pStyle w:val="72TabletextTablesTableFigureBoxstyles"/>
              <w:rPr>
                <w:color w:val="auto"/>
              </w:rPr>
            </w:pPr>
            <w:r w:rsidRPr="00FE7622">
              <w:rPr>
                <w:color w:val="auto"/>
              </w:rPr>
              <w:t>0.499</w:t>
            </w:r>
          </w:p>
        </w:tc>
      </w:tr>
      <w:tr w:rsidR="00F026E8" w:rsidRPr="00FE7622" w14:paraId="599E43C0" w14:textId="77777777" w:rsidTr="00AF19CC">
        <w:trPr>
          <w:cantSplit/>
        </w:trPr>
        <w:tc>
          <w:tcPr>
            <w:tcW w:w="0" w:type="auto"/>
            <w:vMerge/>
            <w:shd w:val="clear" w:color="auto" w:fill="auto"/>
          </w:tcPr>
          <w:p w14:paraId="69C4E914" w14:textId="77777777" w:rsidR="00F026E8" w:rsidRPr="00FE7622" w:rsidRDefault="00F026E8" w:rsidP="00AF19CC">
            <w:pPr>
              <w:pStyle w:val="72TabletextTablesTableFigureBoxstyles"/>
              <w:rPr>
                <w:color w:val="auto"/>
              </w:rPr>
            </w:pPr>
          </w:p>
        </w:tc>
        <w:tc>
          <w:tcPr>
            <w:tcW w:w="0" w:type="auto"/>
            <w:shd w:val="clear" w:color="auto" w:fill="auto"/>
          </w:tcPr>
          <w:p w14:paraId="422E9F39" w14:textId="77777777" w:rsidR="00F026E8" w:rsidRPr="00FE7622" w:rsidRDefault="00F026E8" w:rsidP="00AF19CC">
            <w:pPr>
              <w:pStyle w:val="72TabletextTablesTableFigureBoxstyles"/>
            </w:pPr>
            <w:r w:rsidRPr="00FE7622">
              <w:rPr>
                <w:color w:val="auto"/>
              </w:rPr>
              <w:t>AG</w:t>
            </w:r>
          </w:p>
        </w:tc>
        <w:tc>
          <w:tcPr>
            <w:tcW w:w="0" w:type="auto"/>
            <w:shd w:val="clear" w:color="auto" w:fill="auto"/>
          </w:tcPr>
          <w:p w14:paraId="119F2A52" w14:textId="77777777" w:rsidR="00F026E8" w:rsidRPr="00FE7622" w:rsidRDefault="00F026E8" w:rsidP="00AF19CC">
            <w:pPr>
              <w:pStyle w:val="72TabletextTablesTableFigureBoxstyles"/>
              <w:rPr>
                <w:color w:val="auto"/>
              </w:rPr>
            </w:pPr>
            <w:r w:rsidRPr="00FE7622">
              <w:rPr>
                <w:color w:val="auto"/>
              </w:rPr>
              <w:t>0.472</w:t>
            </w:r>
          </w:p>
        </w:tc>
        <w:tc>
          <w:tcPr>
            <w:tcW w:w="0" w:type="auto"/>
            <w:vMerge/>
            <w:shd w:val="clear" w:color="auto" w:fill="auto"/>
          </w:tcPr>
          <w:p w14:paraId="222752C0" w14:textId="77777777" w:rsidR="00F026E8" w:rsidRPr="00FE7622" w:rsidRDefault="00F026E8" w:rsidP="00AF19CC">
            <w:pPr>
              <w:spacing w:line="360" w:lineRule="auto"/>
            </w:pPr>
          </w:p>
        </w:tc>
      </w:tr>
      <w:tr w:rsidR="00F026E8" w:rsidRPr="00FE7622" w14:paraId="74769E31" w14:textId="77777777" w:rsidTr="00AF19CC">
        <w:trPr>
          <w:cantSplit/>
        </w:trPr>
        <w:tc>
          <w:tcPr>
            <w:tcW w:w="0" w:type="auto"/>
            <w:vMerge/>
            <w:shd w:val="clear" w:color="auto" w:fill="auto"/>
          </w:tcPr>
          <w:p w14:paraId="2799F8D7" w14:textId="77777777" w:rsidR="00F026E8" w:rsidRPr="00FE7622" w:rsidRDefault="00F026E8" w:rsidP="00AF19CC">
            <w:pPr>
              <w:pStyle w:val="72TabletextTablesTableFigureBoxstyles"/>
              <w:rPr>
                <w:color w:val="auto"/>
              </w:rPr>
            </w:pPr>
          </w:p>
        </w:tc>
        <w:tc>
          <w:tcPr>
            <w:tcW w:w="0" w:type="auto"/>
            <w:shd w:val="clear" w:color="auto" w:fill="auto"/>
          </w:tcPr>
          <w:p w14:paraId="58EC0CA5" w14:textId="77777777" w:rsidR="00F026E8" w:rsidRPr="00FE7622" w:rsidRDefault="00F026E8" w:rsidP="00AF19CC">
            <w:pPr>
              <w:pStyle w:val="72TabletextTablesTableFigureBoxstyles"/>
            </w:pPr>
            <w:r w:rsidRPr="00FE7622">
              <w:rPr>
                <w:color w:val="auto"/>
              </w:rPr>
              <w:t>GG</w:t>
            </w:r>
          </w:p>
        </w:tc>
        <w:tc>
          <w:tcPr>
            <w:tcW w:w="0" w:type="auto"/>
            <w:shd w:val="clear" w:color="auto" w:fill="auto"/>
          </w:tcPr>
          <w:p w14:paraId="72AE0D26" w14:textId="77777777" w:rsidR="00F026E8" w:rsidRPr="00FE7622" w:rsidRDefault="00F026E8" w:rsidP="00AF19CC">
            <w:pPr>
              <w:pStyle w:val="72TabletextTablesTableFigureBoxstyles"/>
              <w:rPr>
                <w:color w:val="auto"/>
              </w:rPr>
            </w:pPr>
            <w:r w:rsidRPr="00FE7622">
              <w:rPr>
                <w:color w:val="auto"/>
              </w:rPr>
              <w:t>0.463</w:t>
            </w:r>
          </w:p>
        </w:tc>
        <w:tc>
          <w:tcPr>
            <w:tcW w:w="0" w:type="auto"/>
            <w:vMerge/>
            <w:shd w:val="clear" w:color="auto" w:fill="auto"/>
          </w:tcPr>
          <w:p w14:paraId="1A3B6AA3" w14:textId="77777777" w:rsidR="00F026E8" w:rsidRPr="00FE7622" w:rsidRDefault="00F026E8" w:rsidP="00AF19CC">
            <w:pPr>
              <w:spacing w:line="360" w:lineRule="auto"/>
            </w:pPr>
          </w:p>
        </w:tc>
      </w:tr>
    </w:tbl>
    <w:p w14:paraId="059FB9BC" w14:textId="049B5D38" w:rsidR="00F026E8" w:rsidRPr="00FE7622" w:rsidRDefault="00E038BF" w:rsidP="004455E0">
      <w:pPr>
        <w:pStyle w:val="70TablelegendTablesTableFigureBoxstyles"/>
        <w:rPr>
          <w:noProof/>
          <w:lang w:val="en-GB"/>
        </w:rPr>
      </w:pPr>
      <w:r w:rsidRPr="00FE7622">
        <w:rPr>
          <w:b/>
        </w:rPr>
        <w:t>TABLE 25</w:t>
      </w:r>
      <w:r w:rsidRPr="00FE7622">
        <w:rPr>
          <w:b/>
        </w:rPr>
        <w:t> </w:t>
      </w:r>
      <w:r w:rsidRPr="00E038BF">
        <w:rPr>
          <w:b/>
          <w:color w:val="FF00FF"/>
          <w:sz w:val="24"/>
        </w:rPr>
        <w:t>[29]</w:t>
      </w:r>
      <w:commentRangeStart w:id="168"/>
      <w:r w:rsidR="00F026E8" w:rsidRPr="00FE7622">
        <w:rPr>
          <w:noProof/>
          <w:lang w:val="en-GB"/>
        </w:rPr>
        <w:t xml:space="preserve">Associations of the </w:t>
      </w:r>
      <w:r w:rsidRPr="00FE7622">
        <w:rPr>
          <w:i/>
          <w:iCs/>
          <w:noProof/>
          <w:lang w:val="en-GB"/>
        </w:rPr>
        <w:t>ACTN3</w:t>
      </w:r>
      <w:r w:rsidR="00F026E8" w:rsidRPr="00FE7622">
        <w:rPr>
          <w:noProof/>
          <w:lang w:val="en-GB"/>
        </w:rPr>
        <w:t xml:space="preserve"> alleles with muscle mass and physical performance </w:t>
      </w:r>
      <w:bookmarkStart w:id="169" w:name="_Hlk70581811"/>
      <w:r w:rsidR="00F026E8" w:rsidRPr="00FE7622">
        <w:rPr>
          <w:noProof/>
          <w:lang w:val="en-GB"/>
        </w:rPr>
        <w:t>(numbers</w:t>
      </w:r>
      <w:r w:rsidR="004455E0" w:rsidRPr="00FE7622">
        <w:rPr>
          <w:noProof/>
          <w:lang w:val="en-GB"/>
        </w:rPr>
        <w:t> = </w:t>
      </w:r>
      <w:r w:rsidRPr="00FE7622">
        <w:rPr>
          <w:i/>
          <w:noProof/>
          <w:lang w:val="en-GB"/>
        </w:rPr>
        <w:t>p</w:t>
      </w:r>
      <w:r w:rsidR="003C5778" w:rsidRPr="00FE7622">
        <w:rPr>
          <w:noProof/>
          <w:lang w:val="en-GB"/>
        </w:rPr>
        <w:t>-</w:t>
      </w:r>
      <w:r w:rsidR="00F026E8" w:rsidRPr="00FE7622">
        <w:rPr>
          <w:noProof/>
          <w:lang w:val="en-GB"/>
        </w:rPr>
        <w:t>values)</w:t>
      </w:r>
      <w:bookmarkEnd w:id="169"/>
      <w:commentRangeEnd w:id="168"/>
      <w:r w:rsidR="003C5778" w:rsidRPr="00FE7622">
        <w:rPr>
          <w:rStyle w:val="CommentReference"/>
          <w:rFonts w:ascii="Times New Roman" w:hAnsi="Times New Roman" w:cs="Times New Roman"/>
          <w:color w:val="auto"/>
        </w:rPr>
        <w:commentReference w:id="168"/>
      </w:r>
    </w:p>
    <w:tbl>
      <w:tblPr>
        <w:tblW w:w="0" w:type="auto"/>
        <w:tblCellMar>
          <w:top w:w="40" w:type="dxa"/>
          <w:left w:w="60" w:type="dxa"/>
          <w:bottom w:w="40" w:type="dxa"/>
          <w:right w:w="60" w:type="dxa"/>
        </w:tblCellMar>
        <w:tblLook w:val="0600" w:firstRow="0" w:lastRow="0" w:firstColumn="0" w:lastColumn="0" w:noHBand="1" w:noVBand="1"/>
      </w:tblPr>
      <w:tblGrid>
        <w:gridCol w:w="2924"/>
        <w:gridCol w:w="489"/>
        <w:gridCol w:w="722"/>
        <w:gridCol w:w="964"/>
        <w:gridCol w:w="343"/>
        <w:gridCol w:w="507"/>
        <w:gridCol w:w="910"/>
      </w:tblGrid>
      <w:tr w:rsidR="003C5778" w:rsidRPr="00FE7622" w14:paraId="2E80235A" w14:textId="77777777" w:rsidTr="00AF19CC">
        <w:trPr>
          <w:cantSplit/>
        </w:trPr>
        <w:tc>
          <w:tcPr>
            <w:tcW w:w="0" w:type="auto"/>
            <w:vMerge w:val="restart"/>
            <w:shd w:val="clear" w:color="auto" w:fill="auto"/>
          </w:tcPr>
          <w:p w14:paraId="5BA5258E" w14:textId="77777777" w:rsidR="003C5778" w:rsidRPr="00FE7622" w:rsidRDefault="003C5778" w:rsidP="00AF19CC">
            <w:pPr>
              <w:pStyle w:val="710TableheadTablesTableFigureBoxstyles"/>
              <w:rPr>
                <w:noProof/>
              </w:rPr>
            </w:pPr>
          </w:p>
        </w:tc>
        <w:tc>
          <w:tcPr>
            <w:tcW w:w="0" w:type="auto"/>
            <w:gridSpan w:val="3"/>
            <w:shd w:val="clear" w:color="auto" w:fill="auto"/>
          </w:tcPr>
          <w:p w14:paraId="061EB1D9" w14:textId="5753D7D4" w:rsidR="003C5778" w:rsidRPr="00FE7622" w:rsidRDefault="00E038BF" w:rsidP="00AF19CC">
            <w:pPr>
              <w:pStyle w:val="705TableheadgroupTablesTableFigureBoxstyles"/>
            </w:pPr>
            <w:r w:rsidRPr="00FE7622">
              <w:rPr>
                <w:i/>
                <w:iCs/>
              </w:rPr>
              <w:t>ACTN3</w:t>
            </w:r>
            <w:r w:rsidRPr="00FE7622">
              <w:t xml:space="preserve"> presence of T allele</w:t>
            </w:r>
          </w:p>
        </w:tc>
        <w:tc>
          <w:tcPr>
            <w:tcW w:w="1760" w:type="dxa"/>
            <w:gridSpan w:val="3"/>
            <w:shd w:val="clear" w:color="auto" w:fill="auto"/>
          </w:tcPr>
          <w:p w14:paraId="35F26101" w14:textId="468BB97B" w:rsidR="003C5778" w:rsidRPr="00FE7622" w:rsidRDefault="00E038BF" w:rsidP="00AF19CC">
            <w:pPr>
              <w:pStyle w:val="705TableheadgroupTablesTableFigureBoxstyles"/>
            </w:pPr>
            <w:r w:rsidRPr="00FE7622">
              <w:rPr>
                <w:i/>
                <w:iCs/>
              </w:rPr>
              <w:t>ACTN3</w:t>
            </w:r>
            <w:r w:rsidRPr="00FE7622">
              <w:t xml:space="preserve"> presence of C allele</w:t>
            </w:r>
          </w:p>
        </w:tc>
      </w:tr>
      <w:tr w:rsidR="003C5778" w:rsidRPr="00FE7622" w14:paraId="1E3771E1" w14:textId="77777777" w:rsidTr="00AF19CC">
        <w:trPr>
          <w:cantSplit/>
        </w:trPr>
        <w:tc>
          <w:tcPr>
            <w:tcW w:w="0" w:type="auto"/>
            <w:vMerge/>
            <w:shd w:val="clear" w:color="auto" w:fill="auto"/>
          </w:tcPr>
          <w:p w14:paraId="04D9122F" w14:textId="77777777" w:rsidR="003C5778" w:rsidRPr="00FE7622" w:rsidRDefault="003C5778" w:rsidP="00AF19CC">
            <w:pPr>
              <w:pStyle w:val="710TableheadTablesTableFigureBoxstyles"/>
            </w:pPr>
          </w:p>
        </w:tc>
        <w:tc>
          <w:tcPr>
            <w:tcW w:w="0" w:type="auto"/>
            <w:shd w:val="clear" w:color="auto" w:fill="auto"/>
          </w:tcPr>
          <w:p w14:paraId="169B4A6D" w14:textId="795778E0" w:rsidR="003C5778" w:rsidRPr="00FE7622" w:rsidRDefault="00E038BF" w:rsidP="00AF19CC">
            <w:pPr>
              <w:pStyle w:val="710TableheadTablesTableFigureBoxstyles"/>
            </w:pPr>
            <w:r w:rsidRPr="00FE7622">
              <w:t>All</w:t>
            </w:r>
          </w:p>
        </w:tc>
        <w:tc>
          <w:tcPr>
            <w:tcW w:w="0" w:type="auto"/>
            <w:shd w:val="clear" w:color="auto" w:fill="auto"/>
          </w:tcPr>
          <w:p w14:paraId="5E82F7A9" w14:textId="2BC5175F" w:rsidR="003C5778" w:rsidRPr="00FE7622" w:rsidRDefault="00E038BF" w:rsidP="00AF19CC">
            <w:pPr>
              <w:pStyle w:val="710TableheadTablesTableFigureBoxstyles"/>
            </w:pPr>
            <w:r w:rsidRPr="00FE7622">
              <w:t>Male</w:t>
            </w:r>
          </w:p>
        </w:tc>
        <w:tc>
          <w:tcPr>
            <w:tcW w:w="0" w:type="auto"/>
            <w:shd w:val="clear" w:color="auto" w:fill="auto"/>
          </w:tcPr>
          <w:p w14:paraId="6163F3D9" w14:textId="431E63DD" w:rsidR="003C5778" w:rsidRPr="00FE7622" w:rsidRDefault="00E038BF" w:rsidP="00AF19CC">
            <w:pPr>
              <w:pStyle w:val="710TableheadTablesTableFigureBoxstyles"/>
            </w:pPr>
            <w:r w:rsidRPr="00FE7622">
              <w:t>Female</w:t>
            </w:r>
          </w:p>
        </w:tc>
        <w:tc>
          <w:tcPr>
            <w:tcW w:w="0" w:type="auto"/>
            <w:shd w:val="clear" w:color="auto" w:fill="auto"/>
          </w:tcPr>
          <w:p w14:paraId="528EA36C" w14:textId="7FE9F2A4" w:rsidR="003C5778" w:rsidRPr="00FE7622" w:rsidRDefault="00E038BF" w:rsidP="00AF19CC">
            <w:pPr>
              <w:pStyle w:val="710TableheadTablesTableFigureBoxstyles"/>
            </w:pPr>
            <w:r w:rsidRPr="00FE7622">
              <w:t>All</w:t>
            </w:r>
          </w:p>
        </w:tc>
        <w:tc>
          <w:tcPr>
            <w:tcW w:w="0" w:type="auto"/>
            <w:shd w:val="clear" w:color="auto" w:fill="auto"/>
          </w:tcPr>
          <w:p w14:paraId="45204D09" w14:textId="4D0E8A38" w:rsidR="003C5778" w:rsidRPr="00FE7622" w:rsidRDefault="00E038BF" w:rsidP="00AF19CC">
            <w:pPr>
              <w:pStyle w:val="710TableheadTablesTableFigureBoxstyles"/>
            </w:pPr>
            <w:r w:rsidRPr="00FE7622">
              <w:t>Male</w:t>
            </w:r>
          </w:p>
        </w:tc>
        <w:tc>
          <w:tcPr>
            <w:tcW w:w="910" w:type="dxa"/>
            <w:shd w:val="clear" w:color="auto" w:fill="auto"/>
          </w:tcPr>
          <w:p w14:paraId="03383434" w14:textId="41D95DEF" w:rsidR="003C5778" w:rsidRPr="00FE7622" w:rsidRDefault="00E038BF" w:rsidP="00AF19CC">
            <w:pPr>
              <w:pStyle w:val="710TableheadTablesTableFigureBoxstyles"/>
            </w:pPr>
            <w:r w:rsidRPr="00FE7622">
              <w:t>Female</w:t>
            </w:r>
          </w:p>
        </w:tc>
      </w:tr>
      <w:tr w:rsidR="005724C5" w:rsidRPr="00FE7622" w14:paraId="0B8D311D" w14:textId="77777777" w:rsidTr="00AF19CC">
        <w:trPr>
          <w:cantSplit/>
        </w:trPr>
        <w:tc>
          <w:tcPr>
            <w:tcW w:w="0" w:type="auto"/>
            <w:shd w:val="clear" w:color="auto" w:fill="auto"/>
          </w:tcPr>
          <w:p w14:paraId="5018870D" w14:textId="77777777" w:rsidR="005724C5" w:rsidRPr="00FE7622" w:rsidRDefault="005724C5" w:rsidP="00AF19CC">
            <w:pPr>
              <w:pStyle w:val="72TabletextTablesTableFigureBoxstyles"/>
              <w:rPr>
                <w:color w:val="auto"/>
              </w:rPr>
            </w:pPr>
            <w:r w:rsidRPr="00FE7622">
              <w:rPr>
                <w:color w:val="auto"/>
              </w:rPr>
              <w:t>Baseline muscle mass</w:t>
            </w:r>
          </w:p>
        </w:tc>
        <w:tc>
          <w:tcPr>
            <w:tcW w:w="0" w:type="auto"/>
            <w:shd w:val="clear" w:color="auto" w:fill="auto"/>
          </w:tcPr>
          <w:p w14:paraId="5801E50C" w14:textId="2C5495CE"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BBCE9B4" w14:textId="3ACF6D48"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95E9141" w14:textId="764B2F67"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BF755E9" w14:textId="7C207383"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AA7A9AF" w14:textId="2DE77A24" w:rsidR="005724C5" w:rsidRPr="00FE7622" w:rsidRDefault="005724C5" w:rsidP="00AF19CC">
            <w:pPr>
              <w:pStyle w:val="72TabletextTablesTableFigureBoxstyles"/>
              <w:rPr>
                <w:color w:val="auto"/>
              </w:rPr>
            </w:pPr>
            <w:r w:rsidRPr="00FE7622">
              <w:rPr>
                <w:color w:val="auto"/>
              </w:rPr>
              <w:t>NS</w:t>
            </w:r>
          </w:p>
        </w:tc>
        <w:tc>
          <w:tcPr>
            <w:tcW w:w="910" w:type="dxa"/>
            <w:shd w:val="clear" w:color="auto" w:fill="auto"/>
          </w:tcPr>
          <w:p w14:paraId="2D25507A" w14:textId="0DC88512" w:rsidR="005724C5" w:rsidRPr="00FE7622" w:rsidRDefault="005724C5" w:rsidP="00AF19CC">
            <w:pPr>
              <w:pStyle w:val="72TabletextTablesTableFigureBoxstyles"/>
              <w:rPr>
                <w:color w:val="auto"/>
              </w:rPr>
            </w:pPr>
            <w:r w:rsidRPr="00FE7622">
              <w:rPr>
                <w:color w:val="auto"/>
              </w:rPr>
              <w:t>NS</w:t>
            </w:r>
          </w:p>
        </w:tc>
      </w:tr>
      <w:tr w:rsidR="005724C5" w:rsidRPr="00FE7622" w14:paraId="69A2A73E" w14:textId="77777777" w:rsidTr="00AF19CC">
        <w:trPr>
          <w:cantSplit/>
        </w:trPr>
        <w:tc>
          <w:tcPr>
            <w:tcW w:w="0" w:type="auto"/>
            <w:shd w:val="clear" w:color="auto" w:fill="auto"/>
          </w:tcPr>
          <w:p w14:paraId="42A1E261" w14:textId="7F23EBC0" w:rsidR="005724C5" w:rsidRPr="00FE7622" w:rsidRDefault="005724C5" w:rsidP="00AF19CC">
            <w:pPr>
              <w:pStyle w:val="72TabletextTablesTableFigureBoxstyles"/>
              <w:rPr>
                <w:color w:val="auto"/>
              </w:rPr>
            </w:pPr>
            <w:r w:rsidRPr="00FE7622">
              <w:rPr>
                <w:color w:val="auto"/>
              </w:rPr>
              <w:t>Muscle mass change: 0 vs. 12 months</w:t>
            </w:r>
          </w:p>
        </w:tc>
        <w:tc>
          <w:tcPr>
            <w:tcW w:w="0" w:type="auto"/>
            <w:shd w:val="clear" w:color="auto" w:fill="auto"/>
          </w:tcPr>
          <w:p w14:paraId="57766998" w14:textId="60305122"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4BDDB8F" w14:textId="15AD52B4"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29CFA01" w14:textId="20B95EFE"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4B2FD859" w14:textId="0272E659"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058B9BF6" w14:textId="1AE6C3C8" w:rsidR="005724C5" w:rsidRPr="00FE7622" w:rsidRDefault="005724C5" w:rsidP="00AF19CC">
            <w:pPr>
              <w:pStyle w:val="72TabletextTablesTableFigureBoxstyles"/>
              <w:rPr>
                <w:color w:val="auto"/>
              </w:rPr>
            </w:pPr>
            <w:r w:rsidRPr="00FE7622">
              <w:rPr>
                <w:color w:val="auto"/>
              </w:rPr>
              <w:t>NS</w:t>
            </w:r>
          </w:p>
        </w:tc>
        <w:tc>
          <w:tcPr>
            <w:tcW w:w="910" w:type="dxa"/>
            <w:shd w:val="clear" w:color="auto" w:fill="auto"/>
          </w:tcPr>
          <w:p w14:paraId="57EAE6BC" w14:textId="4F3753F6" w:rsidR="005724C5" w:rsidRPr="00FE7622" w:rsidRDefault="005724C5" w:rsidP="00AF19CC">
            <w:pPr>
              <w:pStyle w:val="72TabletextTablesTableFigureBoxstyles"/>
              <w:rPr>
                <w:color w:val="auto"/>
              </w:rPr>
            </w:pPr>
            <w:r w:rsidRPr="00FE7622">
              <w:rPr>
                <w:color w:val="auto"/>
              </w:rPr>
              <w:t>NS</w:t>
            </w:r>
          </w:p>
        </w:tc>
      </w:tr>
      <w:tr w:rsidR="005724C5" w:rsidRPr="00FE7622" w14:paraId="1293FD4A" w14:textId="77777777" w:rsidTr="00AF19CC">
        <w:trPr>
          <w:cantSplit/>
        </w:trPr>
        <w:tc>
          <w:tcPr>
            <w:tcW w:w="0" w:type="auto"/>
            <w:shd w:val="clear" w:color="auto" w:fill="auto"/>
          </w:tcPr>
          <w:p w14:paraId="1FF6D369" w14:textId="77777777" w:rsidR="005724C5" w:rsidRPr="00FE7622" w:rsidRDefault="005724C5" w:rsidP="00AF19CC">
            <w:pPr>
              <w:pStyle w:val="72TabletextTablesTableFigureBoxstyles"/>
              <w:rPr>
                <w:color w:val="auto"/>
              </w:rPr>
            </w:pPr>
            <w:r w:rsidRPr="00FE7622">
              <w:rPr>
                <w:color w:val="auto"/>
              </w:rPr>
              <w:t xml:space="preserve">Baseline </w:t>
            </w:r>
            <w:r w:rsidRPr="00842651">
              <w:rPr>
                <w:color w:val="auto"/>
              </w:rPr>
              <w:t>SPPB</w:t>
            </w:r>
          </w:p>
        </w:tc>
        <w:tc>
          <w:tcPr>
            <w:tcW w:w="0" w:type="auto"/>
            <w:shd w:val="clear" w:color="auto" w:fill="auto"/>
          </w:tcPr>
          <w:p w14:paraId="5B192D79" w14:textId="3EA2E58C"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6FF25BFD" w14:textId="061504E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FBFDB5E" w14:textId="37BEAB68"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E4F72B3" w14:textId="27D9B5F5"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08F016CC" w14:textId="48B3A75C" w:rsidR="005724C5" w:rsidRPr="00FE7622" w:rsidRDefault="005724C5" w:rsidP="00AF19CC">
            <w:pPr>
              <w:pStyle w:val="72TabletextTablesTableFigureBoxstyles"/>
              <w:rPr>
                <w:color w:val="auto"/>
              </w:rPr>
            </w:pPr>
            <w:r w:rsidRPr="00FE7622">
              <w:rPr>
                <w:color w:val="auto"/>
              </w:rPr>
              <w:t>NS</w:t>
            </w:r>
          </w:p>
        </w:tc>
        <w:tc>
          <w:tcPr>
            <w:tcW w:w="910" w:type="dxa"/>
            <w:shd w:val="clear" w:color="auto" w:fill="auto"/>
          </w:tcPr>
          <w:p w14:paraId="7DA73472" w14:textId="57CB68FB" w:rsidR="005724C5" w:rsidRPr="00FE7622" w:rsidRDefault="005724C5" w:rsidP="00AF19CC">
            <w:pPr>
              <w:pStyle w:val="72TabletextTablesTableFigureBoxstyles"/>
              <w:rPr>
                <w:color w:val="auto"/>
              </w:rPr>
            </w:pPr>
            <w:r w:rsidRPr="00FE7622">
              <w:rPr>
                <w:color w:val="auto"/>
              </w:rPr>
              <w:t>NS</w:t>
            </w:r>
          </w:p>
        </w:tc>
      </w:tr>
      <w:tr w:rsidR="005724C5" w:rsidRPr="00FE7622" w14:paraId="79B476C6" w14:textId="77777777" w:rsidTr="00AF19CC">
        <w:trPr>
          <w:cantSplit/>
        </w:trPr>
        <w:tc>
          <w:tcPr>
            <w:tcW w:w="0" w:type="auto"/>
            <w:shd w:val="clear" w:color="auto" w:fill="auto"/>
          </w:tcPr>
          <w:p w14:paraId="5268CDBC" w14:textId="2018137F" w:rsidR="005724C5" w:rsidRPr="00FE7622" w:rsidRDefault="005724C5" w:rsidP="00AF19CC">
            <w:pPr>
              <w:pStyle w:val="72TabletextTablesTableFigureBoxstyles"/>
              <w:rPr>
                <w:color w:val="auto"/>
              </w:rPr>
            </w:pPr>
            <w:r w:rsidRPr="00842651">
              <w:rPr>
                <w:color w:val="auto"/>
              </w:rPr>
              <w:t>SPPB</w:t>
            </w:r>
            <w:r w:rsidRPr="00FE7622">
              <w:rPr>
                <w:color w:val="auto"/>
              </w:rPr>
              <w:t xml:space="preserve"> change: 0 vs. 6 months</w:t>
            </w:r>
          </w:p>
        </w:tc>
        <w:tc>
          <w:tcPr>
            <w:tcW w:w="0" w:type="auto"/>
            <w:shd w:val="clear" w:color="auto" w:fill="auto"/>
          </w:tcPr>
          <w:p w14:paraId="19A97493" w14:textId="45E3AC97"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4E9E5A0" w14:textId="76F24610" w:rsidR="005724C5" w:rsidRPr="00FE7622" w:rsidRDefault="005724C5" w:rsidP="00AF19CC">
            <w:pPr>
              <w:pStyle w:val="72TabletextTablesTableFigureBoxstyles"/>
            </w:pPr>
            <w:r w:rsidRPr="00FE7622">
              <w:rPr>
                <w:color w:val="auto"/>
              </w:rPr>
              <w:t>NS</w:t>
            </w:r>
          </w:p>
        </w:tc>
        <w:tc>
          <w:tcPr>
            <w:tcW w:w="0" w:type="auto"/>
            <w:shd w:val="clear" w:color="auto" w:fill="auto"/>
          </w:tcPr>
          <w:p w14:paraId="6C1AE3C5" w14:textId="77777777" w:rsidR="005724C5" w:rsidRPr="00FE7622" w:rsidRDefault="005724C5" w:rsidP="00AF19CC">
            <w:pPr>
              <w:pStyle w:val="72TabletextTablesTableFigureBoxstyles"/>
              <w:rPr>
                <w:color w:val="auto"/>
              </w:rPr>
            </w:pPr>
            <w:r w:rsidRPr="00FE7622">
              <w:rPr>
                <w:color w:val="auto"/>
              </w:rPr>
              <w:t>0.018</w:t>
            </w:r>
          </w:p>
        </w:tc>
        <w:tc>
          <w:tcPr>
            <w:tcW w:w="0" w:type="auto"/>
            <w:shd w:val="clear" w:color="auto" w:fill="auto"/>
          </w:tcPr>
          <w:p w14:paraId="5EA0E2B1" w14:textId="64949E64"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D259051" w14:textId="39C20154" w:rsidR="005724C5" w:rsidRPr="00FE7622" w:rsidRDefault="005724C5" w:rsidP="00AF19CC">
            <w:pPr>
              <w:pStyle w:val="72TabletextTablesTableFigureBoxstyles"/>
              <w:rPr>
                <w:color w:val="auto"/>
              </w:rPr>
            </w:pPr>
            <w:r w:rsidRPr="00FE7622">
              <w:rPr>
                <w:color w:val="auto"/>
              </w:rPr>
              <w:t>NS</w:t>
            </w:r>
          </w:p>
        </w:tc>
        <w:tc>
          <w:tcPr>
            <w:tcW w:w="910" w:type="dxa"/>
            <w:shd w:val="clear" w:color="auto" w:fill="auto"/>
          </w:tcPr>
          <w:p w14:paraId="051E6279" w14:textId="2F275CB8" w:rsidR="005724C5" w:rsidRPr="00FE7622" w:rsidRDefault="005724C5" w:rsidP="00AF19CC">
            <w:pPr>
              <w:pStyle w:val="72TabletextTablesTableFigureBoxstyles"/>
              <w:rPr>
                <w:color w:val="auto"/>
              </w:rPr>
            </w:pPr>
            <w:r w:rsidRPr="00FE7622">
              <w:rPr>
                <w:color w:val="auto"/>
              </w:rPr>
              <w:t>NS</w:t>
            </w:r>
          </w:p>
        </w:tc>
      </w:tr>
      <w:tr w:rsidR="005724C5" w:rsidRPr="00FE7622" w14:paraId="3BFDC9A0" w14:textId="77777777" w:rsidTr="00AF19CC">
        <w:trPr>
          <w:cantSplit/>
        </w:trPr>
        <w:tc>
          <w:tcPr>
            <w:tcW w:w="0" w:type="auto"/>
            <w:shd w:val="clear" w:color="auto" w:fill="auto"/>
          </w:tcPr>
          <w:p w14:paraId="1B3D7A53" w14:textId="56B0B498" w:rsidR="005724C5" w:rsidRPr="00FE7622" w:rsidRDefault="005724C5" w:rsidP="00AF19CC">
            <w:pPr>
              <w:pStyle w:val="72TabletextTablesTableFigureBoxstyles"/>
              <w:rPr>
                <w:color w:val="auto"/>
              </w:rPr>
            </w:pPr>
            <w:r w:rsidRPr="00842651">
              <w:rPr>
                <w:color w:val="auto"/>
              </w:rPr>
              <w:t>SPPB</w:t>
            </w:r>
            <w:r w:rsidRPr="00FE7622">
              <w:rPr>
                <w:color w:val="auto"/>
              </w:rPr>
              <w:t xml:space="preserve"> change: 0 vs. 12 months</w:t>
            </w:r>
          </w:p>
        </w:tc>
        <w:tc>
          <w:tcPr>
            <w:tcW w:w="0" w:type="auto"/>
            <w:shd w:val="clear" w:color="auto" w:fill="auto"/>
          </w:tcPr>
          <w:p w14:paraId="208A8750" w14:textId="04E7BC36"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D75D4A3" w14:textId="33070257"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C6B637B" w14:textId="386D55FB"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ED43FAD" w14:textId="68A606D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F9B8918" w14:textId="107DDFA1" w:rsidR="005724C5" w:rsidRPr="00FE7622" w:rsidRDefault="005724C5" w:rsidP="00AF19CC">
            <w:pPr>
              <w:pStyle w:val="72TabletextTablesTableFigureBoxstyles"/>
              <w:rPr>
                <w:color w:val="auto"/>
              </w:rPr>
            </w:pPr>
            <w:r w:rsidRPr="00FE7622">
              <w:rPr>
                <w:color w:val="auto"/>
              </w:rPr>
              <w:t>NS</w:t>
            </w:r>
          </w:p>
        </w:tc>
        <w:tc>
          <w:tcPr>
            <w:tcW w:w="910" w:type="dxa"/>
            <w:shd w:val="clear" w:color="auto" w:fill="auto"/>
          </w:tcPr>
          <w:p w14:paraId="2CE72EDE" w14:textId="30335537" w:rsidR="005724C5" w:rsidRPr="00FE7622" w:rsidRDefault="005724C5" w:rsidP="00AF19CC">
            <w:pPr>
              <w:pStyle w:val="72TabletextTablesTableFigureBoxstyles"/>
              <w:rPr>
                <w:color w:val="auto"/>
              </w:rPr>
            </w:pPr>
            <w:r w:rsidRPr="00FE7622">
              <w:rPr>
                <w:color w:val="auto"/>
              </w:rPr>
              <w:t>NS</w:t>
            </w:r>
          </w:p>
        </w:tc>
      </w:tr>
    </w:tbl>
    <w:p w14:paraId="5A61B1DF" w14:textId="47545C0E" w:rsidR="00F026E8" w:rsidRPr="00FE7622" w:rsidRDefault="00E038BF" w:rsidP="00F026E8">
      <w:pPr>
        <w:pStyle w:val="70TablelegendTablesTableFigureBoxstyles"/>
        <w:rPr>
          <w:lang w:val="en-GB"/>
        </w:rPr>
      </w:pPr>
      <w:r w:rsidRPr="00FE7622">
        <w:rPr>
          <w:b/>
        </w:rPr>
        <w:t>TABLE 26</w:t>
      </w:r>
      <w:r w:rsidRPr="00FE7622">
        <w:rPr>
          <w:b/>
        </w:rPr>
        <w:t> </w:t>
      </w:r>
      <w:r w:rsidR="00F026E8" w:rsidRPr="00FE7622">
        <w:rPr>
          <w:lang w:val="en-GB"/>
        </w:rPr>
        <w:t xml:space="preserve">Associations of the ACE alleles with muscle mass and physical performance </w:t>
      </w:r>
      <w:r w:rsidR="00F026E8" w:rsidRPr="00FE7622">
        <w:rPr>
          <w:noProof/>
          <w:lang w:val="en-GB"/>
        </w:rPr>
        <w:t>(numbers</w:t>
      </w:r>
      <w:r w:rsidR="004455E0" w:rsidRPr="00FE7622">
        <w:rPr>
          <w:bCs/>
          <w:noProof/>
          <w:lang w:val="en-GB"/>
        </w:rPr>
        <w:t> = </w:t>
      </w:r>
      <w:r w:rsidRPr="00FE7622">
        <w:rPr>
          <w:i/>
          <w:noProof/>
          <w:lang w:val="en-GB"/>
        </w:rPr>
        <w:t>p</w:t>
      </w:r>
      <w:r w:rsidR="003C5778" w:rsidRPr="00FE7622">
        <w:rPr>
          <w:noProof/>
          <w:lang w:val="en-GB"/>
        </w:rPr>
        <w:t>-</w:t>
      </w:r>
      <w:r w:rsidR="00F026E8" w:rsidRPr="00FE7622">
        <w:rPr>
          <w:noProof/>
          <w:lang w:val="en-GB"/>
        </w:rPr>
        <w:t>values)</w:t>
      </w:r>
    </w:p>
    <w:tbl>
      <w:tblPr>
        <w:tblW w:w="0" w:type="auto"/>
        <w:tblCellMar>
          <w:top w:w="40" w:type="dxa"/>
          <w:left w:w="60" w:type="dxa"/>
          <w:bottom w:w="40" w:type="dxa"/>
          <w:right w:w="60" w:type="dxa"/>
        </w:tblCellMar>
        <w:tblLook w:val="0600" w:firstRow="0" w:lastRow="0" w:firstColumn="0" w:lastColumn="0" w:noHBand="1" w:noVBand="1"/>
      </w:tblPr>
      <w:tblGrid>
        <w:gridCol w:w="2924"/>
        <w:gridCol w:w="791"/>
        <w:gridCol w:w="791"/>
        <w:gridCol w:w="965"/>
        <w:gridCol w:w="775"/>
        <w:gridCol w:w="775"/>
        <w:gridCol w:w="946"/>
      </w:tblGrid>
      <w:tr w:rsidR="003C5778" w:rsidRPr="00FE7622" w14:paraId="12773EF7" w14:textId="77777777" w:rsidTr="00AF19CC">
        <w:trPr>
          <w:cantSplit/>
        </w:trPr>
        <w:tc>
          <w:tcPr>
            <w:tcW w:w="0" w:type="auto"/>
            <w:vMerge w:val="restart"/>
            <w:shd w:val="clear" w:color="auto" w:fill="auto"/>
          </w:tcPr>
          <w:p w14:paraId="70F19CA3" w14:textId="77777777" w:rsidR="003C5778" w:rsidRPr="00FE7622" w:rsidRDefault="003C5778" w:rsidP="00AF19CC">
            <w:pPr>
              <w:pStyle w:val="710TableheadTablesTableFigureBoxstyles"/>
            </w:pPr>
          </w:p>
        </w:tc>
        <w:tc>
          <w:tcPr>
            <w:tcW w:w="0" w:type="auto"/>
            <w:gridSpan w:val="3"/>
            <w:shd w:val="clear" w:color="auto" w:fill="auto"/>
          </w:tcPr>
          <w:p w14:paraId="776F9371" w14:textId="0A5C6E70" w:rsidR="003C5778" w:rsidRPr="00FE7622" w:rsidRDefault="00E038BF" w:rsidP="00AF19CC">
            <w:pPr>
              <w:pStyle w:val="705TableheadgroupTablesTableFigureBoxstyles"/>
            </w:pPr>
            <w:r w:rsidRPr="00FE7622">
              <w:t>ACE presence of insertion allele</w:t>
            </w:r>
          </w:p>
        </w:tc>
        <w:tc>
          <w:tcPr>
            <w:tcW w:w="0" w:type="auto"/>
            <w:gridSpan w:val="3"/>
            <w:shd w:val="clear" w:color="auto" w:fill="auto"/>
          </w:tcPr>
          <w:p w14:paraId="36811E61" w14:textId="17058100" w:rsidR="003C5778" w:rsidRPr="00FE7622" w:rsidRDefault="00E038BF" w:rsidP="00AF19CC">
            <w:pPr>
              <w:pStyle w:val="705TableheadgroupTablesTableFigureBoxstyles"/>
            </w:pPr>
            <w:r w:rsidRPr="00FE7622">
              <w:t>ACE presence of deletion allele</w:t>
            </w:r>
          </w:p>
        </w:tc>
      </w:tr>
      <w:tr w:rsidR="003C5778" w:rsidRPr="00FE7622" w14:paraId="2BAF6B4C" w14:textId="77777777" w:rsidTr="00AF19CC">
        <w:trPr>
          <w:cantSplit/>
        </w:trPr>
        <w:tc>
          <w:tcPr>
            <w:tcW w:w="0" w:type="auto"/>
            <w:vMerge/>
            <w:shd w:val="clear" w:color="auto" w:fill="auto"/>
          </w:tcPr>
          <w:p w14:paraId="03B74767" w14:textId="77777777" w:rsidR="003C5778" w:rsidRPr="00FE7622" w:rsidRDefault="003C5778" w:rsidP="00AF19CC">
            <w:pPr>
              <w:pStyle w:val="710TableheadTablesTableFigureBoxstyles"/>
            </w:pPr>
          </w:p>
        </w:tc>
        <w:tc>
          <w:tcPr>
            <w:tcW w:w="0" w:type="auto"/>
            <w:shd w:val="clear" w:color="auto" w:fill="auto"/>
          </w:tcPr>
          <w:p w14:paraId="293ADA57" w14:textId="4932AD53" w:rsidR="003C5778" w:rsidRPr="00FE7622" w:rsidRDefault="00E038BF" w:rsidP="00AF19CC">
            <w:pPr>
              <w:pStyle w:val="710TableheadTablesTableFigureBoxstyles"/>
            </w:pPr>
            <w:r w:rsidRPr="00FE7622">
              <w:t>All</w:t>
            </w:r>
          </w:p>
        </w:tc>
        <w:tc>
          <w:tcPr>
            <w:tcW w:w="0" w:type="auto"/>
            <w:shd w:val="clear" w:color="auto" w:fill="auto"/>
          </w:tcPr>
          <w:p w14:paraId="51D6FD9E" w14:textId="38301834" w:rsidR="003C5778" w:rsidRPr="00FE7622" w:rsidRDefault="00E038BF" w:rsidP="00AF19CC">
            <w:pPr>
              <w:pStyle w:val="710TableheadTablesTableFigureBoxstyles"/>
            </w:pPr>
            <w:r w:rsidRPr="00FE7622">
              <w:t>Male</w:t>
            </w:r>
          </w:p>
        </w:tc>
        <w:tc>
          <w:tcPr>
            <w:tcW w:w="0" w:type="auto"/>
            <w:shd w:val="clear" w:color="auto" w:fill="auto"/>
          </w:tcPr>
          <w:p w14:paraId="3FCC7136" w14:textId="281D4E92" w:rsidR="003C5778" w:rsidRPr="00FE7622" w:rsidRDefault="00E038BF" w:rsidP="00AF19CC">
            <w:pPr>
              <w:pStyle w:val="710TableheadTablesTableFigureBoxstyles"/>
            </w:pPr>
            <w:r w:rsidRPr="00FE7622">
              <w:t>Female</w:t>
            </w:r>
          </w:p>
        </w:tc>
        <w:tc>
          <w:tcPr>
            <w:tcW w:w="0" w:type="auto"/>
            <w:shd w:val="clear" w:color="auto" w:fill="auto"/>
          </w:tcPr>
          <w:p w14:paraId="21200427" w14:textId="075BFC0D" w:rsidR="003C5778" w:rsidRPr="00FE7622" w:rsidRDefault="00E038BF" w:rsidP="00AF19CC">
            <w:pPr>
              <w:pStyle w:val="710TableheadTablesTableFigureBoxstyles"/>
            </w:pPr>
            <w:r w:rsidRPr="00FE7622">
              <w:t>All</w:t>
            </w:r>
          </w:p>
        </w:tc>
        <w:tc>
          <w:tcPr>
            <w:tcW w:w="0" w:type="auto"/>
            <w:shd w:val="clear" w:color="auto" w:fill="auto"/>
          </w:tcPr>
          <w:p w14:paraId="644C1658" w14:textId="6EE13D5C" w:rsidR="003C5778" w:rsidRPr="00FE7622" w:rsidRDefault="00E038BF" w:rsidP="00AF19CC">
            <w:pPr>
              <w:pStyle w:val="710TableheadTablesTableFigureBoxstyles"/>
            </w:pPr>
            <w:r w:rsidRPr="00FE7622">
              <w:t>Male</w:t>
            </w:r>
          </w:p>
        </w:tc>
        <w:tc>
          <w:tcPr>
            <w:tcW w:w="0" w:type="auto"/>
            <w:shd w:val="clear" w:color="auto" w:fill="auto"/>
          </w:tcPr>
          <w:p w14:paraId="5602276D" w14:textId="51FBECEE" w:rsidR="003C5778" w:rsidRPr="00FE7622" w:rsidRDefault="00E038BF" w:rsidP="00AF19CC">
            <w:pPr>
              <w:pStyle w:val="710TableheadTablesTableFigureBoxstyles"/>
            </w:pPr>
            <w:r w:rsidRPr="00FE7622">
              <w:t>Female</w:t>
            </w:r>
          </w:p>
        </w:tc>
      </w:tr>
      <w:tr w:rsidR="005724C5" w:rsidRPr="00FE7622" w14:paraId="46371D60" w14:textId="77777777" w:rsidTr="00AF19CC">
        <w:trPr>
          <w:cantSplit/>
        </w:trPr>
        <w:tc>
          <w:tcPr>
            <w:tcW w:w="0" w:type="auto"/>
            <w:shd w:val="clear" w:color="auto" w:fill="auto"/>
          </w:tcPr>
          <w:p w14:paraId="03B40F44" w14:textId="77777777" w:rsidR="005724C5" w:rsidRPr="00FE7622" w:rsidRDefault="005724C5" w:rsidP="00AF19CC">
            <w:pPr>
              <w:pStyle w:val="72TabletextTablesTableFigureBoxstyles"/>
            </w:pPr>
            <w:r w:rsidRPr="00FE7622">
              <w:rPr>
                <w:color w:val="auto"/>
              </w:rPr>
              <w:t>Baseline muscle mass</w:t>
            </w:r>
          </w:p>
        </w:tc>
        <w:tc>
          <w:tcPr>
            <w:tcW w:w="0" w:type="auto"/>
            <w:shd w:val="clear" w:color="auto" w:fill="auto"/>
          </w:tcPr>
          <w:p w14:paraId="2DBA5036" w14:textId="77777777" w:rsidR="005724C5" w:rsidRPr="00FE7622" w:rsidRDefault="005724C5" w:rsidP="00AF19CC">
            <w:pPr>
              <w:pStyle w:val="72TabletextTablesTableFigureBoxstyles"/>
              <w:rPr>
                <w:color w:val="auto"/>
              </w:rPr>
            </w:pPr>
            <w:r w:rsidRPr="00FE7622">
              <w:rPr>
                <w:color w:val="auto"/>
              </w:rPr>
              <w:t>0.132</w:t>
            </w:r>
          </w:p>
        </w:tc>
        <w:tc>
          <w:tcPr>
            <w:tcW w:w="0" w:type="auto"/>
            <w:shd w:val="clear" w:color="auto" w:fill="auto"/>
          </w:tcPr>
          <w:p w14:paraId="5FA3FD69" w14:textId="06600B7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13D7E29" w14:textId="4BE07498"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F1DBCA5" w14:textId="13951B58"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2DABFEF" w14:textId="64DC9539"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D02244B" w14:textId="5763C156" w:rsidR="005724C5" w:rsidRPr="00FE7622" w:rsidRDefault="005724C5" w:rsidP="00AF19CC">
            <w:pPr>
              <w:pStyle w:val="72TabletextTablesTableFigureBoxstyles"/>
              <w:rPr>
                <w:color w:val="auto"/>
              </w:rPr>
            </w:pPr>
            <w:r w:rsidRPr="00FE7622">
              <w:rPr>
                <w:color w:val="auto"/>
              </w:rPr>
              <w:t>NS</w:t>
            </w:r>
          </w:p>
        </w:tc>
      </w:tr>
      <w:tr w:rsidR="005724C5" w:rsidRPr="00FE7622" w14:paraId="67424FD4" w14:textId="77777777" w:rsidTr="00AF19CC">
        <w:trPr>
          <w:cantSplit/>
        </w:trPr>
        <w:tc>
          <w:tcPr>
            <w:tcW w:w="0" w:type="auto"/>
            <w:shd w:val="clear" w:color="auto" w:fill="auto"/>
          </w:tcPr>
          <w:p w14:paraId="4B6EB455" w14:textId="5E44D079" w:rsidR="005724C5" w:rsidRPr="00FE7622" w:rsidRDefault="005724C5" w:rsidP="00AF19CC">
            <w:pPr>
              <w:pStyle w:val="72TabletextTablesTableFigureBoxstyles"/>
              <w:rPr>
                <w:color w:val="auto"/>
              </w:rPr>
            </w:pPr>
            <w:r w:rsidRPr="00FE7622">
              <w:rPr>
                <w:color w:val="auto"/>
              </w:rPr>
              <w:t>Muscle mass change: 0 vs. 12 months</w:t>
            </w:r>
          </w:p>
        </w:tc>
        <w:tc>
          <w:tcPr>
            <w:tcW w:w="0" w:type="auto"/>
            <w:shd w:val="clear" w:color="auto" w:fill="auto"/>
          </w:tcPr>
          <w:p w14:paraId="7108ED27" w14:textId="16DA9AE5"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E7EEDEC" w14:textId="4D993BB0"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667A6135" w14:textId="55AF8FAC"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FF00C6F" w14:textId="38532713" w:rsidR="005724C5" w:rsidRPr="00FE7622" w:rsidRDefault="005724C5" w:rsidP="00AF19CC">
            <w:pPr>
              <w:pStyle w:val="72TabletextTablesTableFigureBoxstyles"/>
            </w:pPr>
            <w:r w:rsidRPr="00FE7622">
              <w:rPr>
                <w:color w:val="auto"/>
              </w:rPr>
              <w:t>NS</w:t>
            </w:r>
          </w:p>
        </w:tc>
        <w:tc>
          <w:tcPr>
            <w:tcW w:w="0" w:type="auto"/>
            <w:shd w:val="clear" w:color="auto" w:fill="auto"/>
          </w:tcPr>
          <w:p w14:paraId="371A0AE4" w14:textId="77777777" w:rsidR="005724C5" w:rsidRPr="00FE7622" w:rsidRDefault="005724C5" w:rsidP="00AF19CC">
            <w:pPr>
              <w:pStyle w:val="72TabletextTablesTableFigureBoxstyles"/>
              <w:rPr>
                <w:color w:val="auto"/>
              </w:rPr>
            </w:pPr>
            <w:r w:rsidRPr="00FE7622">
              <w:rPr>
                <w:color w:val="auto"/>
              </w:rPr>
              <w:t>0.102</w:t>
            </w:r>
          </w:p>
        </w:tc>
        <w:tc>
          <w:tcPr>
            <w:tcW w:w="0" w:type="auto"/>
            <w:shd w:val="clear" w:color="auto" w:fill="auto"/>
          </w:tcPr>
          <w:p w14:paraId="7D209D5F" w14:textId="04888E1C" w:rsidR="005724C5" w:rsidRPr="00FE7622" w:rsidRDefault="005724C5" w:rsidP="00AF19CC">
            <w:pPr>
              <w:pStyle w:val="72TabletextTablesTableFigureBoxstyles"/>
              <w:rPr>
                <w:color w:val="auto"/>
              </w:rPr>
            </w:pPr>
            <w:r w:rsidRPr="00FE7622">
              <w:rPr>
                <w:color w:val="auto"/>
              </w:rPr>
              <w:t>NS</w:t>
            </w:r>
          </w:p>
        </w:tc>
      </w:tr>
      <w:tr w:rsidR="005724C5" w:rsidRPr="00FE7622" w14:paraId="2F1312E2" w14:textId="77777777" w:rsidTr="00AF19CC">
        <w:trPr>
          <w:cantSplit/>
        </w:trPr>
        <w:tc>
          <w:tcPr>
            <w:tcW w:w="0" w:type="auto"/>
            <w:shd w:val="clear" w:color="auto" w:fill="auto"/>
          </w:tcPr>
          <w:p w14:paraId="75FD5DD7" w14:textId="77777777" w:rsidR="005724C5" w:rsidRPr="00FE7622" w:rsidRDefault="005724C5" w:rsidP="00AF19CC">
            <w:pPr>
              <w:pStyle w:val="72TabletextTablesTableFigureBoxstyles"/>
              <w:rPr>
                <w:color w:val="auto"/>
              </w:rPr>
            </w:pPr>
            <w:r w:rsidRPr="00FE7622">
              <w:rPr>
                <w:color w:val="auto"/>
              </w:rPr>
              <w:t xml:space="preserve">Baseline </w:t>
            </w:r>
            <w:r w:rsidRPr="00842651">
              <w:rPr>
                <w:color w:val="auto"/>
              </w:rPr>
              <w:t>SPPB</w:t>
            </w:r>
          </w:p>
        </w:tc>
        <w:tc>
          <w:tcPr>
            <w:tcW w:w="0" w:type="auto"/>
            <w:shd w:val="clear" w:color="auto" w:fill="auto"/>
          </w:tcPr>
          <w:p w14:paraId="1405FB8B" w14:textId="342FECE0"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448FAF7B" w14:textId="5CDE760D"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74BCD0F" w14:textId="471AF688" w:rsidR="005724C5" w:rsidRPr="00FE7622" w:rsidRDefault="005724C5" w:rsidP="00AF19CC">
            <w:pPr>
              <w:pStyle w:val="72TabletextTablesTableFigureBoxstyles"/>
            </w:pPr>
            <w:r w:rsidRPr="00FE7622">
              <w:rPr>
                <w:color w:val="auto"/>
              </w:rPr>
              <w:t>NS</w:t>
            </w:r>
          </w:p>
        </w:tc>
        <w:tc>
          <w:tcPr>
            <w:tcW w:w="0" w:type="auto"/>
            <w:shd w:val="clear" w:color="auto" w:fill="auto"/>
          </w:tcPr>
          <w:p w14:paraId="1206AE51" w14:textId="77777777" w:rsidR="005724C5" w:rsidRPr="00FE7622" w:rsidRDefault="005724C5" w:rsidP="00AF19CC">
            <w:pPr>
              <w:pStyle w:val="72TabletextTablesTableFigureBoxstyles"/>
              <w:rPr>
                <w:color w:val="auto"/>
              </w:rPr>
            </w:pPr>
            <w:r w:rsidRPr="00FE7622">
              <w:rPr>
                <w:color w:val="auto"/>
              </w:rPr>
              <w:t>0.057</w:t>
            </w:r>
          </w:p>
        </w:tc>
        <w:tc>
          <w:tcPr>
            <w:tcW w:w="0" w:type="auto"/>
            <w:shd w:val="clear" w:color="auto" w:fill="auto"/>
          </w:tcPr>
          <w:p w14:paraId="255A0230" w14:textId="213F823B"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0912BE16" w14:textId="4559F535" w:rsidR="005724C5" w:rsidRPr="00FE7622" w:rsidRDefault="005724C5" w:rsidP="00AF19CC">
            <w:pPr>
              <w:pStyle w:val="72TabletextTablesTableFigureBoxstyles"/>
              <w:rPr>
                <w:color w:val="auto"/>
              </w:rPr>
            </w:pPr>
            <w:r w:rsidRPr="00FE7622">
              <w:rPr>
                <w:color w:val="auto"/>
              </w:rPr>
              <w:t>NS</w:t>
            </w:r>
          </w:p>
        </w:tc>
      </w:tr>
      <w:tr w:rsidR="005724C5" w:rsidRPr="00FE7622" w14:paraId="0D4B22B5" w14:textId="77777777" w:rsidTr="00AF19CC">
        <w:trPr>
          <w:cantSplit/>
        </w:trPr>
        <w:tc>
          <w:tcPr>
            <w:tcW w:w="0" w:type="auto"/>
            <w:shd w:val="clear" w:color="auto" w:fill="auto"/>
          </w:tcPr>
          <w:p w14:paraId="09C8271F" w14:textId="6ADDB80A" w:rsidR="005724C5" w:rsidRPr="00FE7622" w:rsidRDefault="005724C5" w:rsidP="00AF19CC">
            <w:pPr>
              <w:pStyle w:val="72TabletextTablesTableFigureBoxstyles"/>
              <w:rPr>
                <w:color w:val="auto"/>
              </w:rPr>
            </w:pPr>
            <w:r w:rsidRPr="00842651">
              <w:rPr>
                <w:color w:val="auto"/>
              </w:rPr>
              <w:t>SPPB</w:t>
            </w:r>
            <w:r w:rsidRPr="00FE7622">
              <w:rPr>
                <w:color w:val="auto"/>
              </w:rPr>
              <w:t xml:space="preserve"> change: 0 vs. 6 months</w:t>
            </w:r>
          </w:p>
        </w:tc>
        <w:tc>
          <w:tcPr>
            <w:tcW w:w="0" w:type="auto"/>
            <w:shd w:val="clear" w:color="auto" w:fill="auto"/>
          </w:tcPr>
          <w:p w14:paraId="5E917A85" w14:textId="6D7B4B95" w:rsidR="005724C5" w:rsidRPr="00FE7622" w:rsidRDefault="005724C5" w:rsidP="00AF19CC">
            <w:pPr>
              <w:pStyle w:val="72TabletextTablesTableFigureBoxstyles"/>
            </w:pPr>
            <w:r w:rsidRPr="00FE7622">
              <w:rPr>
                <w:color w:val="auto"/>
              </w:rPr>
              <w:t>NS</w:t>
            </w:r>
          </w:p>
        </w:tc>
        <w:tc>
          <w:tcPr>
            <w:tcW w:w="0" w:type="auto"/>
            <w:shd w:val="clear" w:color="auto" w:fill="auto"/>
          </w:tcPr>
          <w:p w14:paraId="0E162B3E" w14:textId="77777777" w:rsidR="005724C5" w:rsidRPr="00FE7622" w:rsidRDefault="005724C5" w:rsidP="00AF19CC">
            <w:pPr>
              <w:pStyle w:val="72TabletextTablesTableFigureBoxstyles"/>
              <w:rPr>
                <w:color w:val="auto"/>
              </w:rPr>
            </w:pPr>
            <w:r w:rsidRPr="00FE7622">
              <w:rPr>
                <w:color w:val="auto"/>
              </w:rPr>
              <w:t>0.185</w:t>
            </w:r>
          </w:p>
        </w:tc>
        <w:tc>
          <w:tcPr>
            <w:tcW w:w="0" w:type="auto"/>
            <w:shd w:val="clear" w:color="auto" w:fill="auto"/>
          </w:tcPr>
          <w:p w14:paraId="0385A4B9" w14:textId="78A8A75A"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90CED5A" w14:textId="3321DD9A"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FFA6C9D" w14:textId="2574B559"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0525917D" w14:textId="317BD84C" w:rsidR="005724C5" w:rsidRPr="00FE7622" w:rsidRDefault="005724C5" w:rsidP="00AF19CC">
            <w:pPr>
              <w:pStyle w:val="72TabletextTablesTableFigureBoxstyles"/>
              <w:rPr>
                <w:color w:val="auto"/>
              </w:rPr>
            </w:pPr>
            <w:r w:rsidRPr="00FE7622">
              <w:rPr>
                <w:color w:val="auto"/>
              </w:rPr>
              <w:t>NS</w:t>
            </w:r>
          </w:p>
        </w:tc>
      </w:tr>
      <w:tr w:rsidR="005724C5" w:rsidRPr="00FE7622" w14:paraId="01BF85CB" w14:textId="77777777" w:rsidTr="00AF19CC">
        <w:trPr>
          <w:cantSplit/>
        </w:trPr>
        <w:tc>
          <w:tcPr>
            <w:tcW w:w="0" w:type="auto"/>
            <w:shd w:val="clear" w:color="auto" w:fill="auto"/>
          </w:tcPr>
          <w:p w14:paraId="167F395F" w14:textId="56EA5656" w:rsidR="005724C5" w:rsidRPr="00FE7622" w:rsidRDefault="005724C5" w:rsidP="00AF19CC">
            <w:pPr>
              <w:pStyle w:val="72TabletextTablesTableFigureBoxstyles"/>
              <w:rPr>
                <w:color w:val="auto"/>
              </w:rPr>
            </w:pPr>
            <w:r w:rsidRPr="00842651">
              <w:rPr>
                <w:color w:val="auto"/>
              </w:rPr>
              <w:t>SPPB</w:t>
            </w:r>
            <w:r w:rsidRPr="00FE7622">
              <w:rPr>
                <w:color w:val="auto"/>
              </w:rPr>
              <w:t xml:space="preserve"> change: 0 vs. 12 months</w:t>
            </w:r>
          </w:p>
        </w:tc>
        <w:tc>
          <w:tcPr>
            <w:tcW w:w="0" w:type="auto"/>
            <w:shd w:val="clear" w:color="auto" w:fill="auto"/>
          </w:tcPr>
          <w:p w14:paraId="29C8AD28" w14:textId="241B9214" w:rsidR="005724C5" w:rsidRPr="00FE7622" w:rsidRDefault="005724C5" w:rsidP="00AF19CC">
            <w:pPr>
              <w:pStyle w:val="72TabletextTablesTableFigureBoxstyles"/>
            </w:pPr>
            <w:r w:rsidRPr="00FE7622">
              <w:rPr>
                <w:color w:val="auto"/>
              </w:rPr>
              <w:t>NS</w:t>
            </w:r>
          </w:p>
        </w:tc>
        <w:tc>
          <w:tcPr>
            <w:tcW w:w="0" w:type="auto"/>
            <w:shd w:val="clear" w:color="auto" w:fill="auto"/>
          </w:tcPr>
          <w:p w14:paraId="12A7A17D" w14:textId="77777777" w:rsidR="005724C5" w:rsidRPr="00FE7622" w:rsidRDefault="005724C5" w:rsidP="00AF19CC">
            <w:pPr>
              <w:pStyle w:val="72TabletextTablesTableFigureBoxstyles"/>
            </w:pPr>
            <w:r w:rsidRPr="00FE7622">
              <w:rPr>
                <w:color w:val="auto"/>
              </w:rPr>
              <w:t>0.042</w:t>
            </w:r>
          </w:p>
        </w:tc>
        <w:tc>
          <w:tcPr>
            <w:tcW w:w="0" w:type="auto"/>
            <w:shd w:val="clear" w:color="auto" w:fill="auto"/>
          </w:tcPr>
          <w:p w14:paraId="43EAF69A" w14:textId="77777777" w:rsidR="005724C5" w:rsidRPr="00FE7622" w:rsidRDefault="005724C5" w:rsidP="00AF19CC">
            <w:pPr>
              <w:pStyle w:val="72TabletextTablesTableFigureBoxstyles"/>
              <w:rPr>
                <w:color w:val="auto"/>
              </w:rPr>
            </w:pPr>
            <w:r w:rsidRPr="00FE7622">
              <w:rPr>
                <w:color w:val="auto"/>
              </w:rPr>
              <w:t>0.030</w:t>
            </w:r>
          </w:p>
        </w:tc>
        <w:tc>
          <w:tcPr>
            <w:tcW w:w="0" w:type="auto"/>
            <w:shd w:val="clear" w:color="auto" w:fill="auto"/>
          </w:tcPr>
          <w:p w14:paraId="280342A5" w14:textId="50BBE184"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0207F79" w14:textId="6E3FF89C"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9C6FC08" w14:textId="788A1E2B" w:rsidR="005724C5" w:rsidRPr="00FE7622" w:rsidRDefault="005724C5" w:rsidP="00AF19CC">
            <w:pPr>
              <w:pStyle w:val="72TabletextTablesTableFigureBoxstyles"/>
              <w:rPr>
                <w:color w:val="auto"/>
              </w:rPr>
            </w:pPr>
            <w:r w:rsidRPr="00FE7622">
              <w:rPr>
                <w:color w:val="auto"/>
              </w:rPr>
              <w:t>NS</w:t>
            </w:r>
          </w:p>
        </w:tc>
      </w:tr>
    </w:tbl>
    <w:p w14:paraId="5EF2D780" w14:textId="1F419CAE" w:rsidR="00F026E8" w:rsidRPr="00FE7622" w:rsidRDefault="00E038BF" w:rsidP="00F026E8">
      <w:pPr>
        <w:pStyle w:val="70TablelegendTablesTableFigureBoxstyles"/>
        <w:rPr>
          <w:lang w:val="en-GB"/>
        </w:rPr>
      </w:pPr>
      <w:r w:rsidRPr="00FE7622">
        <w:rPr>
          <w:b/>
        </w:rPr>
        <w:t>TABLE 27</w:t>
      </w:r>
      <w:r w:rsidRPr="00FE7622">
        <w:rPr>
          <w:b/>
        </w:rPr>
        <w:t> </w:t>
      </w:r>
      <w:r w:rsidR="00F026E8" w:rsidRPr="00FE7622">
        <w:rPr>
          <w:lang w:val="en-GB"/>
        </w:rPr>
        <w:t xml:space="preserve">Associations of the ACVR1B alleles with muscle mass and physical performance </w:t>
      </w:r>
      <w:r w:rsidR="00F026E8" w:rsidRPr="00FE7622">
        <w:rPr>
          <w:noProof/>
          <w:lang w:val="en-GB"/>
        </w:rPr>
        <w:t>(numbers</w:t>
      </w:r>
      <w:r w:rsidR="003C5778" w:rsidRPr="00FE7622">
        <w:rPr>
          <w:noProof/>
          <w:lang w:val="en-GB"/>
        </w:rPr>
        <w:t> </w:t>
      </w:r>
      <w:r w:rsidR="00F026E8" w:rsidRPr="00FE7622">
        <w:rPr>
          <w:noProof/>
          <w:lang w:val="en-GB"/>
        </w:rPr>
        <w:t>=</w:t>
      </w:r>
      <w:r w:rsidR="003C5778" w:rsidRPr="00FE7622">
        <w:rPr>
          <w:noProof/>
          <w:lang w:val="en-GB"/>
        </w:rPr>
        <w:t> </w:t>
      </w:r>
      <w:r w:rsidRPr="00FE7622">
        <w:rPr>
          <w:i/>
          <w:noProof/>
          <w:lang w:val="en-GB"/>
        </w:rPr>
        <w:t>p</w:t>
      </w:r>
      <w:r w:rsidR="00991C2F" w:rsidRPr="00FE7622">
        <w:rPr>
          <w:noProof/>
          <w:lang w:val="en-GB"/>
        </w:rPr>
        <w:t>-</w:t>
      </w:r>
      <w:r w:rsidR="00F026E8" w:rsidRPr="00FE7622">
        <w:rPr>
          <w:noProof/>
          <w:lang w:val="en-GB"/>
        </w:rPr>
        <w:t>values)</w:t>
      </w:r>
    </w:p>
    <w:tbl>
      <w:tblPr>
        <w:tblW w:w="0" w:type="auto"/>
        <w:tblCellMar>
          <w:top w:w="40" w:type="dxa"/>
          <w:left w:w="60" w:type="dxa"/>
          <w:bottom w:w="40" w:type="dxa"/>
          <w:right w:w="60" w:type="dxa"/>
        </w:tblCellMar>
        <w:tblLook w:val="0600" w:firstRow="0" w:lastRow="0" w:firstColumn="0" w:lastColumn="0" w:noHBand="1" w:noVBand="1"/>
      </w:tblPr>
      <w:tblGrid>
        <w:gridCol w:w="2383"/>
        <w:gridCol w:w="745"/>
        <w:gridCol w:w="1101"/>
        <w:gridCol w:w="1470"/>
        <w:gridCol w:w="724"/>
        <w:gridCol w:w="1172"/>
        <w:gridCol w:w="1431"/>
      </w:tblGrid>
      <w:tr w:rsidR="00FE3851" w:rsidRPr="00FE7622" w14:paraId="2AA51DF9" w14:textId="77777777" w:rsidTr="00AF19CC">
        <w:trPr>
          <w:cantSplit/>
        </w:trPr>
        <w:tc>
          <w:tcPr>
            <w:tcW w:w="0" w:type="auto"/>
            <w:vMerge w:val="restart"/>
            <w:shd w:val="clear" w:color="auto" w:fill="auto"/>
          </w:tcPr>
          <w:p w14:paraId="25424309" w14:textId="77777777" w:rsidR="00FE3851" w:rsidRPr="00FE7622" w:rsidRDefault="00FE3851" w:rsidP="00AF19CC">
            <w:pPr>
              <w:pStyle w:val="710TableheadTablesTableFigureBoxstyles"/>
            </w:pPr>
          </w:p>
        </w:tc>
        <w:tc>
          <w:tcPr>
            <w:tcW w:w="0" w:type="auto"/>
            <w:gridSpan w:val="3"/>
            <w:shd w:val="clear" w:color="auto" w:fill="auto"/>
          </w:tcPr>
          <w:p w14:paraId="321B7EEF" w14:textId="33249335" w:rsidR="00FE3851" w:rsidRPr="00FE7622" w:rsidRDefault="00E038BF" w:rsidP="00AF19CC">
            <w:pPr>
              <w:pStyle w:val="705TableheadgroupTablesTableFigureBoxstyles"/>
            </w:pPr>
            <w:r w:rsidRPr="00FE7622">
              <w:t>rs2854464 ACVR1B (3′-UTR) presence of G allele</w:t>
            </w:r>
          </w:p>
        </w:tc>
        <w:tc>
          <w:tcPr>
            <w:tcW w:w="0" w:type="auto"/>
            <w:gridSpan w:val="3"/>
            <w:shd w:val="clear" w:color="auto" w:fill="auto"/>
          </w:tcPr>
          <w:p w14:paraId="59AF06CF" w14:textId="1D30237C" w:rsidR="00FE3851" w:rsidRPr="00FE7622" w:rsidRDefault="00E038BF" w:rsidP="00AF19CC">
            <w:pPr>
              <w:pStyle w:val="705TableheadgroupTablesTableFigureBoxstyles"/>
            </w:pPr>
            <w:r w:rsidRPr="00FE7622">
              <w:t>rs10783486 ACVR1B (intron) presence of A allele</w:t>
            </w:r>
          </w:p>
        </w:tc>
      </w:tr>
      <w:tr w:rsidR="00FE3851" w:rsidRPr="00FE7622" w14:paraId="5096F4C3" w14:textId="77777777" w:rsidTr="00AF19CC">
        <w:trPr>
          <w:cantSplit/>
        </w:trPr>
        <w:tc>
          <w:tcPr>
            <w:tcW w:w="0" w:type="auto"/>
            <w:vMerge/>
            <w:shd w:val="clear" w:color="auto" w:fill="auto"/>
          </w:tcPr>
          <w:p w14:paraId="1B7BAD14" w14:textId="77777777" w:rsidR="00FE3851" w:rsidRPr="00FE7622" w:rsidRDefault="00FE3851" w:rsidP="00AF19CC">
            <w:pPr>
              <w:pStyle w:val="710TableheadTablesTableFigureBoxstyles"/>
            </w:pPr>
          </w:p>
        </w:tc>
        <w:tc>
          <w:tcPr>
            <w:tcW w:w="0" w:type="auto"/>
            <w:shd w:val="clear" w:color="auto" w:fill="auto"/>
          </w:tcPr>
          <w:p w14:paraId="72ABA703" w14:textId="5ACE0D9C" w:rsidR="00FE3851" w:rsidRPr="00FE7622" w:rsidRDefault="00E038BF" w:rsidP="00AF19CC">
            <w:pPr>
              <w:pStyle w:val="710TableheadTablesTableFigureBoxstyles"/>
            </w:pPr>
            <w:r w:rsidRPr="00FE7622">
              <w:t>All</w:t>
            </w:r>
          </w:p>
        </w:tc>
        <w:tc>
          <w:tcPr>
            <w:tcW w:w="0" w:type="auto"/>
            <w:shd w:val="clear" w:color="auto" w:fill="auto"/>
          </w:tcPr>
          <w:p w14:paraId="3E331A9F" w14:textId="2DECF10A" w:rsidR="00FE3851" w:rsidRPr="00FE7622" w:rsidRDefault="00E038BF" w:rsidP="00AF19CC">
            <w:pPr>
              <w:pStyle w:val="710TableheadTablesTableFigureBoxstyles"/>
            </w:pPr>
            <w:r w:rsidRPr="00FE7622">
              <w:t>Male</w:t>
            </w:r>
          </w:p>
        </w:tc>
        <w:tc>
          <w:tcPr>
            <w:tcW w:w="0" w:type="auto"/>
            <w:shd w:val="clear" w:color="auto" w:fill="auto"/>
          </w:tcPr>
          <w:p w14:paraId="49911B68" w14:textId="75E7DE87" w:rsidR="00FE3851" w:rsidRPr="00FE7622" w:rsidRDefault="00E038BF" w:rsidP="00AF19CC">
            <w:pPr>
              <w:pStyle w:val="710TableheadTablesTableFigureBoxstyles"/>
            </w:pPr>
            <w:r w:rsidRPr="00FE7622">
              <w:t>Female</w:t>
            </w:r>
          </w:p>
        </w:tc>
        <w:tc>
          <w:tcPr>
            <w:tcW w:w="0" w:type="auto"/>
            <w:shd w:val="clear" w:color="auto" w:fill="auto"/>
          </w:tcPr>
          <w:p w14:paraId="5ED52FDC" w14:textId="5B50CF56" w:rsidR="00FE3851" w:rsidRPr="00FE7622" w:rsidRDefault="00E038BF" w:rsidP="00AF19CC">
            <w:pPr>
              <w:pStyle w:val="710TableheadTablesTableFigureBoxstyles"/>
            </w:pPr>
            <w:r w:rsidRPr="00FE7622">
              <w:t>All</w:t>
            </w:r>
          </w:p>
        </w:tc>
        <w:tc>
          <w:tcPr>
            <w:tcW w:w="0" w:type="auto"/>
            <w:shd w:val="clear" w:color="auto" w:fill="auto"/>
          </w:tcPr>
          <w:p w14:paraId="3399E4E9" w14:textId="462EFE78" w:rsidR="00FE3851" w:rsidRPr="00FE7622" w:rsidRDefault="00E038BF" w:rsidP="00AF19CC">
            <w:pPr>
              <w:pStyle w:val="710TableheadTablesTableFigureBoxstyles"/>
            </w:pPr>
            <w:r w:rsidRPr="00FE7622">
              <w:t>Male</w:t>
            </w:r>
          </w:p>
        </w:tc>
        <w:tc>
          <w:tcPr>
            <w:tcW w:w="0" w:type="auto"/>
            <w:shd w:val="clear" w:color="auto" w:fill="auto"/>
          </w:tcPr>
          <w:p w14:paraId="31EF9E41" w14:textId="13E50E79" w:rsidR="00FE3851" w:rsidRPr="00FE7622" w:rsidRDefault="00E038BF" w:rsidP="00AF19CC">
            <w:pPr>
              <w:pStyle w:val="710TableheadTablesTableFigureBoxstyles"/>
            </w:pPr>
            <w:r w:rsidRPr="00FE7622">
              <w:t>Female</w:t>
            </w:r>
          </w:p>
        </w:tc>
      </w:tr>
      <w:tr w:rsidR="005724C5" w:rsidRPr="00FE7622" w14:paraId="7EA2BD9B" w14:textId="77777777" w:rsidTr="00AF19CC">
        <w:trPr>
          <w:cantSplit/>
        </w:trPr>
        <w:tc>
          <w:tcPr>
            <w:tcW w:w="0" w:type="auto"/>
            <w:shd w:val="clear" w:color="auto" w:fill="auto"/>
          </w:tcPr>
          <w:p w14:paraId="4A38ABD0" w14:textId="77777777" w:rsidR="005724C5" w:rsidRPr="00FE7622" w:rsidRDefault="005724C5" w:rsidP="00AF19CC">
            <w:pPr>
              <w:pStyle w:val="72TabletextTablesTableFigureBoxstyles"/>
              <w:rPr>
                <w:color w:val="auto"/>
              </w:rPr>
            </w:pPr>
            <w:r w:rsidRPr="00FE7622">
              <w:rPr>
                <w:color w:val="auto"/>
              </w:rPr>
              <w:t>Baseline muscle mass</w:t>
            </w:r>
          </w:p>
        </w:tc>
        <w:tc>
          <w:tcPr>
            <w:tcW w:w="0" w:type="auto"/>
            <w:shd w:val="clear" w:color="auto" w:fill="auto"/>
          </w:tcPr>
          <w:p w14:paraId="7B2435A2" w14:textId="42B276C6"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372A7759" w14:textId="786C2D3C"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3314F98" w14:textId="321D35CD"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45C77840" w14:textId="63DF6A4C"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05CF6CF" w14:textId="7E0B0BEB"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9752895" w14:textId="77EBC7F1" w:rsidR="005724C5" w:rsidRPr="00FE7622" w:rsidRDefault="005724C5" w:rsidP="00AF19CC">
            <w:pPr>
              <w:pStyle w:val="72TabletextTablesTableFigureBoxstyles"/>
              <w:rPr>
                <w:color w:val="auto"/>
              </w:rPr>
            </w:pPr>
            <w:r w:rsidRPr="00FE7622">
              <w:rPr>
                <w:color w:val="auto"/>
              </w:rPr>
              <w:t>NS</w:t>
            </w:r>
          </w:p>
        </w:tc>
      </w:tr>
      <w:tr w:rsidR="005724C5" w:rsidRPr="00FE7622" w14:paraId="6965B382" w14:textId="77777777" w:rsidTr="00AF19CC">
        <w:trPr>
          <w:cantSplit/>
        </w:trPr>
        <w:tc>
          <w:tcPr>
            <w:tcW w:w="0" w:type="auto"/>
            <w:shd w:val="clear" w:color="auto" w:fill="auto"/>
          </w:tcPr>
          <w:p w14:paraId="4450EF93" w14:textId="20D1D1C5" w:rsidR="005724C5" w:rsidRPr="00FE7622" w:rsidRDefault="005724C5" w:rsidP="00AF19CC">
            <w:pPr>
              <w:pStyle w:val="72TabletextTablesTableFigureBoxstyles"/>
              <w:rPr>
                <w:color w:val="auto"/>
              </w:rPr>
            </w:pPr>
            <w:r w:rsidRPr="00FE7622">
              <w:rPr>
                <w:color w:val="auto"/>
              </w:rPr>
              <w:t>Muscle mass change: 0 vs. 12 months</w:t>
            </w:r>
          </w:p>
        </w:tc>
        <w:tc>
          <w:tcPr>
            <w:tcW w:w="0" w:type="auto"/>
            <w:shd w:val="clear" w:color="auto" w:fill="auto"/>
          </w:tcPr>
          <w:p w14:paraId="7003B570" w14:textId="48908D8A"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9547E20" w14:textId="2CD76DF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97775F5" w14:textId="3D4DA8A9"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6F4F3CD" w14:textId="6FCD7BB5"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4E39B100" w14:textId="4BBBF453" w:rsidR="005724C5" w:rsidRPr="00FE7622" w:rsidRDefault="005724C5" w:rsidP="00AF19CC">
            <w:pPr>
              <w:pStyle w:val="72TabletextTablesTableFigureBoxstyles"/>
            </w:pPr>
            <w:r w:rsidRPr="00FE7622">
              <w:rPr>
                <w:color w:val="auto"/>
              </w:rPr>
              <w:t>NS</w:t>
            </w:r>
          </w:p>
        </w:tc>
        <w:tc>
          <w:tcPr>
            <w:tcW w:w="0" w:type="auto"/>
            <w:shd w:val="clear" w:color="auto" w:fill="auto"/>
          </w:tcPr>
          <w:p w14:paraId="16482951" w14:textId="77777777" w:rsidR="005724C5" w:rsidRPr="00FE7622" w:rsidRDefault="005724C5" w:rsidP="00AF19CC">
            <w:pPr>
              <w:pStyle w:val="72TabletextTablesTableFigureBoxstyles"/>
              <w:rPr>
                <w:color w:val="auto"/>
              </w:rPr>
            </w:pPr>
            <w:r w:rsidRPr="00FE7622">
              <w:rPr>
                <w:color w:val="auto"/>
              </w:rPr>
              <w:t>0.052</w:t>
            </w:r>
          </w:p>
        </w:tc>
      </w:tr>
      <w:tr w:rsidR="005724C5" w:rsidRPr="00FE7622" w14:paraId="79A19253" w14:textId="77777777" w:rsidTr="00AF19CC">
        <w:trPr>
          <w:cantSplit/>
        </w:trPr>
        <w:tc>
          <w:tcPr>
            <w:tcW w:w="0" w:type="auto"/>
            <w:shd w:val="clear" w:color="auto" w:fill="auto"/>
          </w:tcPr>
          <w:p w14:paraId="7DA46D12" w14:textId="77777777" w:rsidR="005724C5" w:rsidRPr="00FE7622" w:rsidRDefault="005724C5" w:rsidP="00AF19CC">
            <w:pPr>
              <w:pStyle w:val="72TabletextTablesTableFigureBoxstyles"/>
              <w:rPr>
                <w:color w:val="auto"/>
              </w:rPr>
            </w:pPr>
            <w:r w:rsidRPr="00FE7622">
              <w:rPr>
                <w:color w:val="auto"/>
              </w:rPr>
              <w:t xml:space="preserve">Baseline </w:t>
            </w:r>
            <w:r w:rsidRPr="00842651">
              <w:rPr>
                <w:color w:val="auto"/>
              </w:rPr>
              <w:t>SPPB</w:t>
            </w:r>
          </w:p>
        </w:tc>
        <w:tc>
          <w:tcPr>
            <w:tcW w:w="0" w:type="auto"/>
            <w:shd w:val="clear" w:color="auto" w:fill="auto"/>
          </w:tcPr>
          <w:p w14:paraId="27F94C7E" w14:textId="546F48B9"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1F8487B" w14:textId="201A7380"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4D014DD5" w14:textId="711356E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4613B23B" w14:textId="2B16A646"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7CA950B4" w14:textId="77EC7217"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068A1057" w14:textId="41B65BA7" w:rsidR="005724C5" w:rsidRPr="00FE7622" w:rsidRDefault="005724C5" w:rsidP="00AF19CC">
            <w:pPr>
              <w:pStyle w:val="72TabletextTablesTableFigureBoxstyles"/>
              <w:rPr>
                <w:color w:val="auto"/>
              </w:rPr>
            </w:pPr>
            <w:r w:rsidRPr="00FE7622">
              <w:rPr>
                <w:color w:val="auto"/>
              </w:rPr>
              <w:t>NS</w:t>
            </w:r>
          </w:p>
        </w:tc>
      </w:tr>
      <w:tr w:rsidR="005724C5" w:rsidRPr="00FE7622" w14:paraId="09A3BB39" w14:textId="77777777" w:rsidTr="00AF19CC">
        <w:trPr>
          <w:cantSplit/>
        </w:trPr>
        <w:tc>
          <w:tcPr>
            <w:tcW w:w="0" w:type="auto"/>
            <w:shd w:val="clear" w:color="auto" w:fill="auto"/>
          </w:tcPr>
          <w:p w14:paraId="4677673F" w14:textId="2C6944D7" w:rsidR="005724C5" w:rsidRPr="00FE7622" w:rsidRDefault="005724C5" w:rsidP="00AF19CC">
            <w:pPr>
              <w:pStyle w:val="72TabletextTablesTableFigureBoxstyles"/>
              <w:rPr>
                <w:color w:val="auto"/>
              </w:rPr>
            </w:pPr>
            <w:r w:rsidRPr="00842651">
              <w:rPr>
                <w:color w:val="auto"/>
              </w:rPr>
              <w:t>SPPB</w:t>
            </w:r>
            <w:r w:rsidRPr="00FE7622">
              <w:rPr>
                <w:color w:val="auto"/>
              </w:rPr>
              <w:t xml:space="preserve"> change: 0 vs. 6 months</w:t>
            </w:r>
          </w:p>
        </w:tc>
        <w:tc>
          <w:tcPr>
            <w:tcW w:w="0" w:type="auto"/>
            <w:shd w:val="clear" w:color="auto" w:fill="auto"/>
          </w:tcPr>
          <w:p w14:paraId="6DC0C7B5" w14:textId="65941898"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7BA5335" w14:textId="42A2C0AC"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6216D3D2" w14:textId="27CFE03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0C908A4" w14:textId="4A61E24D"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5B5D3DE3" w14:textId="7E36DFF4"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231C2427" w14:textId="35094534" w:rsidR="005724C5" w:rsidRPr="00FE7622" w:rsidRDefault="005724C5" w:rsidP="00AF19CC">
            <w:pPr>
              <w:pStyle w:val="72TabletextTablesTableFigureBoxstyles"/>
              <w:rPr>
                <w:color w:val="auto"/>
              </w:rPr>
            </w:pPr>
            <w:r w:rsidRPr="00FE7622">
              <w:rPr>
                <w:color w:val="auto"/>
              </w:rPr>
              <w:t>NS</w:t>
            </w:r>
          </w:p>
        </w:tc>
      </w:tr>
      <w:tr w:rsidR="005724C5" w:rsidRPr="00FE7622" w14:paraId="0D8F98AB" w14:textId="77777777" w:rsidTr="00AF19CC">
        <w:trPr>
          <w:cantSplit/>
        </w:trPr>
        <w:tc>
          <w:tcPr>
            <w:tcW w:w="0" w:type="auto"/>
            <w:shd w:val="clear" w:color="auto" w:fill="auto"/>
          </w:tcPr>
          <w:p w14:paraId="69521F05" w14:textId="154E8B9C" w:rsidR="005724C5" w:rsidRPr="00FE7622" w:rsidRDefault="005724C5" w:rsidP="00AF19CC">
            <w:pPr>
              <w:pStyle w:val="72TabletextTablesTableFigureBoxstyles"/>
              <w:rPr>
                <w:color w:val="auto"/>
              </w:rPr>
            </w:pPr>
            <w:r w:rsidRPr="00842651">
              <w:rPr>
                <w:color w:val="auto"/>
              </w:rPr>
              <w:t>SPPB</w:t>
            </w:r>
            <w:r w:rsidRPr="00FE7622">
              <w:rPr>
                <w:color w:val="auto"/>
              </w:rPr>
              <w:t xml:space="preserve"> change: 0 vs. 12 months</w:t>
            </w:r>
          </w:p>
        </w:tc>
        <w:tc>
          <w:tcPr>
            <w:tcW w:w="0" w:type="auto"/>
            <w:shd w:val="clear" w:color="auto" w:fill="auto"/>
          </w:tcPr>
          <w:p w14:paraId="0E7CEE31" w14:textId="453508F3"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69CA8C70" w14:textId="6E055AD7"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1A7A9F33" w14:textId="1B029CAF" w:rsidR="005724C5" w:rsidRPr="00FE7622" w:rsidRDefault="005724C5" w:rsidP="00AF19CC">
            <w:pPr>
              <w:pStyle w:val="72TabletextTablesTableFigureBoxstyles"/>
              <w:rPr>
                <w:color w:val="auto"/>
              </w:rPr>
            </w:pPr>
            <w:r w:rsidRPr="00FE7622">
              <w:rPr>
                <w:color w:val="auto"/>
              </w:rPr>
              <w:t>NS</w:t>
            </w:r>
          </w:p>
        </w:tc>
        <w:tc>
          <w:tcPr>
            <w:tcW w:w="0" w:type="auto"/>
            <w:shd w:val="clear" w:color="auto" w:fill="auto"/>
          </w:tcPr>
          <w:p w14:paraId="6D3A1A54" w14:textId="5BBBD73B" w:rsidR="005724C5" w:rsidRPr="00FE7622" w:rsidRDefault="005724C5" w:rsidP="00AF19CC">
            <w:pPr>
              <w:pStyle w:val="72TabletextTablesTableFigureBoxstyles"/>
            </w:pPr>
            <w:r w:rsidRPr="00FE7622">
              <w:rPr>
                <w:color w:val="auto"/>
              </w:rPr>
              <w:t>NS</w:t>
            </w:r>
          </w:p>
        </w:tc>
        <w:tc>
          <w:tcPr>
            <w:tcW w:w="0" w:type="auto"/>
            <w:shd w:val="clear" w:color="auto" w:fill="auto"/>
          </w:tcPr>
          <w:p w14:paraId="6910E832" w14:textId="77777777" w:rsidR="005724C5" w:rsidRPr="00FE7622" w:rsidRDefault="005724C5" w:rsidP="00AF19CC">
            <w:pPr>
              <w:pStyle w:val="72TabletextTablesTableFigureBoxstyles"/>
              <w:rPr>
                <w:color w:val="auto"/>
              </w:rPr>
            </w:pPr>
            <w:r w:rsidRPr="00FE7622">
              <w:rPr>
                <w:color w:val="auto"/>
              </w:rPr>
              <w:t>0.070</w:t>
            </w:r>
          </w:p>
        </w:tc>
        <w:tc>
          <w:tcPr>
            <w:tcW w:w="0" w:type="auto"/>
            <w:shd w:val="clear" w:color="auto" w:fill="auto"/>
          </w:tcPr>
          <w:p w14:paraId="48A8C4B8" w14:textId="75BAA0D3" w:rsidR="005724C5" w:rsidRPr="00FE7622" w:rsidRDefault="005724C5" w:rsidP="00AF19CC">
            <w:pPr>
              <w:pStyle w:val="72TabletextTablesTableFigureBoxstyles"/>
              <w:rPr>
                <w:color w:val="auto"/>
              </w:rPr>
            </w:pPr>
            <w:r w:rsidRPr="00FE7622">
              <w:rPr>
                <w:color w:val="auto"/>
              </w:rPr>
              <w:t>NS</w:t>
            </w:r>
          </w:p>
        </w:tc>
      </w:tr>
      <w:tr w:rsidR="00F026E8" w:rsidRPr="00FE7622" w14:paraId="12DB9153" w14:textId="77777777" w:rsidTr="00AF19CC">
        <w:trPr>
          <w:cantSplit/>
        </w:trPr>
        <w:tc>
          <w:tcPr>
            <w:tcW w:w="0" w:type="auto"/>
            <w:gridSpan w:val="7"/>
            <w:shd w:val="clear" w:color="auto" w:fill="auto"/>
          </w:tcPr>
          <w:p w14:paraId="6B67C168" w14:textId="23FABBBE" w:rsidR="00FE3851" w:rsidRPr="00FE7622" w:rsidRDefault="005724C5" w:rsidP="00AF19CC">
            <w:pPr>
              <w:pStyle w:val="75TablenotesTablesTableFigureBoxstyles"/>
              <w:rPr>
                <w:lang w:val="en-GB"/>
              </w:rPr>
            </w:pPr>
            <w:r w:rsidRPr="00FE7622">
              <w:rPr>
                <w:lang w:val="en-GB"/>
              </w:rPr>
              <w:t>NS</w:t>
            </w:r>
            <w:r w:rsidR="00FE3851" w:rsidRPr="00FE7622">
              <w:rPr>
                <w:lang w:val="en-GB"/>
              </w:rPr>
              <w:t>, not significant (</w:t>
            </w:r>
            <w:r w:rsidR="00E038BF" w:rsidRPr="00FE7622">
              <w:rPr>
                <w:i/>
                <w:lang w:val="en-GB"/>
              </w:rPr>
              <w:t>p </w:t>
            </w:r>
            <w:r w:rsidR="00FE3851" w:rsidRPr="00FE7622">
              <w:rPr>
                <w:lang w:val="en-GB"/>
              </w:rPr>
              <w:t>&gt; 0.05).</w:t>
            </w:r>
          </w:p>
          <w:p w14:paraId="3B5DA6FA" w14:textId="0AEF90EB" w:rsidR="00F026E8" w:rsidRPr="00FE7622" w:rsidRDefault="00F026E8" w:rsidP="00AF19CC">
            <w:pPr>
              <w:pStyle w:val="75TablenotesTablesTableFigureBoxstyles"/>
              <w:rPr>
                <w:lang w:val="en-GB"/>
              </w:rPr>
            </w:pPr>
            <w:r w:rsidRPr="00FE7622">
              <w:rPr>
                <w:lang w:val="en-GB"/>
              </w:rPr>
              <w:t xml:space="preserve">Note </w:t>
            </w:r>
            <w:r w:rsidR="003C5778" w:rsidRPr="00FE7622">
              <w:rPr>
                <w:lang w:val="en-GB"/>
              </w:rPr>
              <w:t xml:space="preserve">that </w:t>
            </w:r>
            <w:r w:rsidRPr="00FE7622">
              <w:rPr>
                <w:lang w:val="en-GB"/>
              </w:rPr>
              <w:t>in each case for ACVR1B the data analysis is association with presence of the minor allele</w:t>
            </w:r>
            <w:r w:rsidR="003C5778" w:rsidRPr="00FE7622">
              <w:rPr>
                <w:lang w:val="en-GB"/>
              </w:rPr>
              <w:t>.</w:t>
            </w:r>
          </w:p>
        </w:tc>
      </w:tr>
    </w:tbl>
    <w:p w14:paraId="71D6685F" w14:textId="77777777" w:rsidR="003857CF" w:rsidRPr="00FE7622" w:rsidRDefault="003857CF" w:rsidP="004455E0">
      <w:pPr>
        <w:spacing w:line="360" w:lineRule="auto"/>
        <w:jc w:val="both"/>
      </w:pPr>
    </w:p>
    <w:sectPr w:rsidR="003857CF" w:rsidRPr="00FE7622" w:rsidSect="003C727B">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atrina Strachan" w:date="2022-04-14T12:28:00Z" w:initials="KS">
    <w:p w14:paraId="02B42A21" w14:textId="77777777" w:rsidR="00AF19CC" w:rsidRDefault="00291B83" w:rsidP="00F65892">
      <w:pPr>
        <w:rPr>
          <w:color w:val="00000C"/>
          <w:sz w:val="20"/>
          <w:szCs w:val="20"/>
          <w:lang w:val="en-US" w:eastAsia="en-US"/>
        </w:rPr>
      </w:pPr>
      <w:r>
        <w:rPr>
          <w:rStyle w:val="CommentReference"/>
        </w:rPr>
        <w:annotationRef/>
      </w:r>
      <w:r w:rsidR="00AF19CC">
        <w:rPr>
          <w:color w:val="00000C"/>
          <w:sz w:val="20"/>
          <w:szCs w:val="20"/>
          <w:lang w:val="en-US" w:eastAsia="en-US"/>
        </w:rPr>
        <w:t> Main title </w:t>
      </w:r>
    </w:p>
    <w:p w14:paraId="6192C7FC" w14:textId="3C9A3370" w:rsidR="00291B83" w:rsidRDefault="00291B83" w:rsidP="00F65892">
      <w:r>
        <w:rPr>
          <w:sz w:val="20"/>
          <w:szCs w:val="20"/>
          <w:lang w:val="en-US" w:eastAsia="en-US"/>
        </w:rPr>
        <w:t xml:space="preserve">Please provide any update on your paper submitted to </w:t>
      </w:r>
      <w:r>
        <w:rPr>
          <w:i/>
          <w:iCs/>
          <w:sz w:val="20"/>
          <w:szCs w:val="20"/>
          <w:lang w:val="en-US" w:eastAsia="en-US"/>
        </w:rPr>
        <w:t>J Cachexia Sarcopenia and Muscle.</w:t>
      </w:r>
    </w:p>
  </w:comment>
  <w:comment w:id="11" w:author="Katrina Strachan" w:date="2022-04-14T12:30:00Z" w:initials="KS">
    <w:p w14:paraId="08DE2200" w14:textId="77777777" w:rsidR="00AF19CC" w:rsidRDefault="004D1B7D" w:rsidP="009B3600">
      <w:pPr>
        <w:rPr>
          <w:color w:val="00000C"/>
          <w:sz w:val="20"/>
          <w:szCs w:val="20"/>
          <w:lang w:val="en-US" w:eastAsia="en-US"/>
        </w:rPr>
      </w:pPr>
      <w:r>
        <w:rPr>
          <w:rStyle w:val="CommentReference"/>
        </w:rPr>
        <w:annotationRef/>
      </w:r>
      <w:r w:rsidR="00AF19CC">
        <w:rPr>
          <w:color w:val="00000C"/>
          <w:sz w:val="20"/>
          <w:szCs w:val="20"/>
          <w:lang w:val="en-US" w:eastAsia="en-US"/>
        </w:rPr>
        <w:t> Scientific summary, Methods </w:t>
      </w:r>
    </w:p>
    <w:p w14:paraId="590CDAEC" w14:textId="54C0F0AE" w:rsidR="004D1B7D" w:rsidRDefault="004D1B7D" w:rsidP="009B3600">
      <w:r>
        <w:rPr>
          <w:sz w:val="20"/>
          <w:szCs w:val="20"/>
          <w:lang w:val="en-US" w:eastAsia="en-US"/>
        </w:rPr>
        <w:t>‘Falls’ amended to ‘number of falls’; OK?</w:t>
      </w:r>
    </w:p>
  </w:comment>
  <w:comment w:id="13" w:author="Katrina Strachan" w:date="2022-04-14T13:37:00Z" w:initials="KS">
    <w:p w14:paraId="26F8BA2A" w14:textId="77777777" w:rsidR="00AF19CC" w:rsidRDefault="00262E8F" w:rsidP="002F2F63">
      <w:pPr>
        <w:rPr>
          <w:color w:val="00000C"/>
          <w:sz w:val="20"/>
          <w:szCs w:val="20"/>
          <w:lang w:val="en-US" w:eastAsia="en-US"/>
        </w:rPr>
      </w:pPr>
      <w:r>
        <w:rPr>
          <w:rStyle w:val="CommentReference"/>
        </w:rPr>
        <w:annotationRef/>
      </w:r>
      <w:r w:rsidR="00AF19CC">
        <w:rPr>
          <w:color w:val="00000C"/>
          <w:sz w:val="20"/>
          <w:szCs w:val="20"/>
          <w:lang w:val="en-US" w:eastAsia="en-US"/>
        </w:rPr>
        <w:t> Scientific summary, Results </w:t>
      </w:r>
    </w:p>
    <w:p w14:paraId="284566C6" w14:textId="4CCB1BDD" w:rsidR="00262E8F" w:rsidRDefault="00262E8F" w:rsidP="002F2F63">
      <w:r>
        <w:rPr>
          <w:sz w:val="20"/>
          <w:szCs w:val="20"/>
          <w:lang w:val="en-US" w:eastAsia="en-US"/>
        </w:rPr>
        <w:t>‘sites’ changed to ‘centres’ to match Abstract; OK?</w:t>
      </w:r>
    </w:p>
  </w:comment>
  <w:comment w:id="15" w:author="Katrina Strachan" w:date="2022-01-20T19:43:00Z" w:initials="KS">
    <w:p w14:paraId="4575F5EA" w14:textId="77777777" w:rsidR="00AF19CC" w:rsidRDefault="007B4D2A">
      <w:pPr>
        <w:pStyle w:val="CommentText"/>
        <w:rPr>
          <w:color w:val="00000C"/>
        </w:rPr>
      </w:pPr>
      <w:r>
        <w:rPr>
          <w:rStyle w:val="CommentReference"/>
        </w:rPr>
        <w:annotationRef/>
      </w:r>
      <w:r w:rsidR="00AF19CC">
        <w:rPr>
          <w:color w:val="00000C"/>
        </w:rPr>
        <w:t> Scientific summary, Results </w:t>
      </w:r>
    </w:p>
    <w:p w14:paraId="255BD555" w14:textId="2F0A9EAC" w:rsidR="007B4D2A" w:rsidRDefault="007B4D2A">
      <w:pPr>
        <w:pStyle w:val="CommentText"/>
      </w:pPr>
      <w:r>
        <w:t>Amended to EQ-5D-3L; OK?</w:t>
      </w:r>
    </w:p>
  </w:comment>
  <w:comment w:id="16" w:author="Katrina Strachan" w:date="2022-04-14T12:59:00Z" w:initials="KS">
    <w:p w14:paraId="02DB34FE" w14:textId="77777777" w:rsidR="00AF19CC" w:rsidRDefault="00FE2D10" w:rsidP="009C6728">
      <w:pPr>
        <w:rPr>
          <w:color w:val="00000C"/>
          <w:sz w:val="20"/>
          <w:szCs w:val="20"/>
          <w:lang w:val="en-US" w:eastAsia="en-US"/>
        </w:rPr>
      </w:pPr>
      <w:r>
        <w:rPr>
          <w:rStyle w:val="CommentReference"/>
        </w:rPr>
        <w:annotationRef/>
      </w:r>
      <w:r w:rsidR="00AF19CC">
        <w:rPr>
          <w:color w:val="00000C"/>
          <w:sz w:val="20"/>
          <w:szCs w:val="20"/>
          <w:lang w:val="en-US" w:eastAsia="en-US"/>
        </w:rPr>
        <w:t> Scientific summary, Results </w:t>
      </w:r>
    </w:p>
    <w:p w14:paraId="7B1E8543" w14:textId="5967EC25" w:rsidR="001935C4" w:rsidRDefault="001935C4" w:rsidP="009C6728">
      <w:r>
        <w:rPr>
          <w:sz w:val="20"/>
          <w:szCs w:val="20"/>
          <w:lang w:val="en-US" w:eastAsia="en-US"/>
        </w:rPr>
        <w:t>‘Higher’ added; OK?</w:t>
      </w:r>
    </w:p>
    <w:p w14:paraId="5CEB58EB" w14:textId="77777777" w:rsidR="001935C4" w:rsidRDefault="001935C4" w:rsidP="009C6728"/>
    <w:p w14:paraId="4BBF19B2" w14:textId="77777777" w:rsidR="001935C4" w:rsidRDefault="001935C4" w:rsidP="009C6728">
      <w:r>
        <w:rPr>
          <w:sz w:val="20"/>
          <w:szCs w:val="20"/>
          <w:lang w:val="en-US" w:eastAsia="en-US"/>
        </w:rPr>
        <w:t>Can ‘volumes’ be amended to ‘numbers’ given that this refers to people?</w:t>
      </w:r>
    </w:p>
  </w:comment>
  <w:comment w:id="31" w:author="Katrina Strachan" w:date="2022-01-31T17:21:00Z" w:initials="KS">
    <w:p w14:paraId="62829FA6" w14:textId="77777777" w:rsidR="00AF19CC" w:rsidRDefault="00F53442" w:rsidP="00AC5FE9">
      <w:pPr>
        <w:rPr>
          <w:color w:val="00000C"/>
          <w:sz w:val="20"/>
          <w:szCs w:val="20"/>
          <w:lang w:val="en-US" w:eastAsia="en-US"/>
        </w:rPr>
      </w:pPr>
      <w:r>
        <w:rPr>
          <w:rStyle w:val="CommentReference"/>
        </w:rPr>
        <w:annotationRef/>
      </w:r>
      <w:r w:rsidR="00AF19CC">
        <w:rPr>
          <w:color w:val="00000C"/>
          <w:sz w:val="20"/>
          <w:szCs w:val="20"/>
          <w:lang w:val="en-US" w:eastAsia="en-US"/>
        </w:rPr>
        <w:t> Chapter 2 Trial design, Participants, Exclusion criteria </w:t>
      </w:r>
    </w:p>
    <w:p w14:paraId="40DD5FFC" w14:textId="2E8C96D1" w:rsidR="00F53442" w:rsidRDefault="00F53442" w:rsidP="00AC5FE9">
      <w:r>
        <w:rPr>
          <w:sz w:val="20"/>
          <w:szCs w:val="20"/>
          <w:lang w:val="en-US" w:eastAsia="en-US"/>
        </w:rPr>
        <w:t>Text amended slightly; OK?</w:t>
      </w:r>
    </w:p>
  </w:comment>
  <w:comment w:id="39" w:author="Katrina Strachan" w:date="2022-01-31T17:22:00Z" w:initials="KS">
    <w:p w14:paraId="7F4E2CD1" w14:textId="77777777" w:rsidR="00AF19CC" w:rsidRDefault="00E13409" w:rsidP="00846B1C">
      <w:pPr>
        <w:rPr>
          <w:color w:val="00000C"/>
          <w:sz w:val="20"/>
          <w:szCs w:val="20"/>
          <w:lang w:val="en-US" w:eastAsia="en-US"/>
        </w:rPr>
      </w:pPr>
      <w:r>
        <w:rPr>
          <w:rStyle w:val="CommentReference"/>
        </w:rPr>
        <w:annotationRef/>
      </w:r>
      <w:r w:rsidR="00AF19CC">
        <w:rPr>
          <w:color w:val="00000C"/>
          <w:sz w:val="20"/>
          <w:szCs w:val="20"/>
          <w:lang w:val="en-US" w:eastAsia="en-US"/>
        </w:rPr>
        <w:t> Chapter 2 Trial design, Outcome measures, Selection of biomarkers for analysis, Inflammation </w:t>
      </w:r>
    </w:p>
    <w:p w14:paraId="412BEE76" w14:textId="48339E56" w:rsidR="00E13409" w:rsidRDefault="00E13409" w:rsidP="00846B1C">
      <w:r>
        <w:rPr>
          <w:sz w:val="20"/>
          <w:szCs w:val="20"/>
          <w:lang w:val="en-US" w:eastAsia="en-US"/>
        </w:rPr>
        <w:t>Text amended slightly; OK?</w:t>
      </w:r>
    </w:p>
  </w:comment>
  <w:comment w:id="40" w:author="Katrina Strachan" w:date="2022-04-14T13:39:00Z" w:initials="KS">
    <w:p w14:paraId="0F815F27" w14:textId="77777777" w:rsidR="00AF19CC" w:rsidRDefault="002715C8" w:rsidP="00FE689B">
      <w:pPr>
        <w:rPr>
          <w:color w:val="00000C"/>
          <w:sz w:val="20"/>
          <w:szCs w:val="20"/>
          <w:lang w:val="en-US" w:eastAsia="en-US"/>
        </w:rPr>
      </w:pPr>
      <w:r>
        <w:rPr>
          <w:rStyle w:val="CommentReference"/>
        </w:rPr>
        <w:annotationRef/>
      </w:r>
      <w:r w:rsidR="00AF19CC">
        <w:rPr>
          <w:color w:val="00000C"/>
          <w:sz w:val="20"/>
          <w:szCs w:val="20"/>
          <w:lang w:val="en-US" w:eastAsia="en-US"/>
        </w:rPr>
        <w:t> Chapter 2 Trial design, Outcome measures, Selection of biomarkers for analysis, Inflammation </w:t>
      </w:r>
    </w:p>
    <w:p w14:paraId="10AADE20" w14:textId="751A5D7C" w:rsidR="002715C8" w:rsidRDefault="002715C8" w:rsidP="00FE689B">
      <w:r>
        <w:rPr>
          <w:sz w:val="20"/>
          <w:szCs w:val="20"/>
          <w:lang w:val="en-US" w:eastAsia="en-US"/>
        </w:rPr>
        <w:t>Please check that you are happy with the punctuation of this sentence, i.e. that the meaning is as intended.</w:t>
      </w:r>
    </w:p>
  </w:comment>
  <w:comment w:id="59" w:author="Katrina Strachan" w:date="2022-01-17T17:34:00Z" w:initials="KS">
    <w:p w14:paraId="420CA3AF" w14:textId="77777777" w:rsidR="00AF19CC" w:rsidRDefault="00DC6663">
      <w:pPr>
        <w:pStyle w:val="CommentText"/>
        <w:rPr>
          <w:color w:val="00000C"/>
        </w:rPr>
      </w:pPr>
      <w:r>
        <w:rPr>
          <w:rStyle w:val="CommentReference"/>
        </w:rPr>
        <w:annotationRef/>
      </w:r>
      <w:r w:rsidR="00AF19CC">
        <w:rPr>
          <w:color w:val="00000C"/>
        </w:rPr>
        <w:t> Chapter 3 Trial methods, Statistical analysis </w:t>
      </w:r>
    </w:p>
    <w:p w14:paraId="7D299B23" w14:textId="712C0D71" w:rsidR="00DC6663" w:rsidRDefault="00DC6663">
      <w:pPr>
        <w:pStyle w:val="CommentText"/>
      </w:pPr>
      <w:r>
        <w:t>URL and accessed date added; OK?</w:t>
      </w:r>
    </w:p>
  </w:comment>
  <w:comment w:id="60" w:author="Katrina Strachan" w:date="2022-01-31T17:39:00Z" w:initials="KS">
    <w:p w14:paraId="10BA2953" w14:textId="77777777" w:rsidR="00AF19CC" w:rsidRDefault="00A96DD9" w:rsidP="00AC330D">
      <w:pPr>
        <w:rPr>
          <w:color w:val="00000C"/>
          <w:sz w:val="20"/>
          <w:szCs w:val="20"/>
          <w:lang w:val="en-US" w:eastAsia="en-US"/>
        </w:rPr>
      </w:pPr>
      <w:r>
        <w:rPr>
          <w:rStyle w:val="CommentReference"/>
        </w:rPr>
        <w:annotationRef/>
      </w:r>
      <w:r w:rsidR="00AF19CC">
        <w:rPr>
          <w:color w:val="00000C"/>
          <w:sz w:val="20"/>
          <w:szCs w:val="20"/>
          <w:lang w:val="en-US" w:eastAsia="en-US"/>
        </w:rPr>
        <w:t> Chapter 3 Trial methods, Statistical analysis </w:t>
      </w:r>
    </w:p>
    <w:p w14:paraId="1C04D783" w14:textId="79F03F52" w:rsidR="00A96DD9" w:rsidRDefault="00A96DD9" w:rsidP="00AC330D">
      <w:r>
        <w:rPr>
          <w:sz w:val="20"/>
          <w:szCs w:val="20"/>
          <w:lang w:val="en-US" w:eastAsia="en-US"/>
        </w:rPr>
        <w:t>Text amended slightly; OK?</w:t>
      </w:r>
    </w:p>
  </w:comment>
  <w:comment w:id="63" w:author="Katrina Strachan" w:date="2022-01-12T17:19:00Z" w:initials="KS">
    <w:p w14:paraId="5746E167" w14:textId="77777777" w:rsidR="00AF19CC" w:rsidRDefault="00BB2DC6">
      <w:pPr>
        <w:pStyle w:val="CommentText"/>
        <w:rPr>
          <w:color w:val="00000C"/>
        </w:rPr>
      </w:pPr>
      <w:r>
        <w:rPr>
          <w:rStyle w:val="CommentReference"/>
        </w:rPr>
        <w:annotationRef/>
      </w:r>
      <w:r w:rsidR="00AF19CC">
        <w:rPr>
          <w:color w:val="00000C"/>
        </w:rPr>
        <w:t> Chapter 3 Trial methods, Review of existing trial evidence: systematic review methods, Angiotensin-converting enzyme inhibitor/angiotensin receptor blocker systematic review methods </w:t>
      </w:r>
    </w:p>
    <w:p w14:paraId="2DDD8335" w14:textId="50D0046E" w:rsidR="00BB2DC6" w:rsidRDefault="00BB2DC6">
      <w:pPr>
        <w:pStyle w:val="CommentText"/>
      </w:pPr>
      <w:r>
        <w:t>Can the date when this searched was performed be given?</w:t>
      </w:r>
    </w:p>
  </w:comment>
  <w:comment w:id="73" w:author="Katrina Strachan" w:date="2022-01-12T17:14:00Z" w:initials="KS">
    <w:p w14:paraId="60FCA363" w14:textId="77777777" w:rsidR="00AF19CC" w:rsidRDefault="00006B19">
      <w:pPr>
        <w:pStyle w:val="CommentText"/>
        <w:rPr>
          <w:color w:val="00000C"/>
        </w:rPr>
      </w:pPr>
      <w:r>
        <w:rPr>
          <w:rStyle w:val="CommentReference"/>
        </w:rPr>
        <w:annotationRef/>
      </w:r>
      <w:r w:rsidR="00AF19CC">
        <w:rPr>
          <w:color w:val="00000C"/>
        </w:rPr>
        <w:t> Chapter 4 Screening and recruitment methods results, Results, Central compared with local pre-screening </w:t>
      </w:r>
    </w:p>
    <w:p w14:paraId="08ECEBFC" w14:textId="55420668" w:rsidR="00006B19" w:rsidRDefault="00006B19">
      <w:pPr>
        <w:pStyle w:val="CommentText"/>
      </w:pPr>
      <w:r>
        <w:t>Please check ‘prescreeing was conducted … by central prescreening’. Should this, for example, by a central system or team?</w:t>
      </w:r>
    </w:p>
  </w:comment>
  <w:comment w:id="77" w:author="Katrina Strachan" w:date="2022-04-14T14:08:00Z" w:initials="KS">
    <w:p w14:paraId="2D57D838" w14:textId="77777777" w:rsidR="00CE1907" w:rsidRDefault="00CE1907" w:rsidP="00801245">
      <w:r>
        <w:rPr>
          <w:rStyle w:val="CommentReference"/>
        </w:rPr>
        <w:annotationRef/>
      </w:r>
      <w:r>
        <w:rPr>
          <w:sz w:val="20"/>
          <w:szCs w:val="20"/>
          <w:lang w:val="en-US" w:eastAsia="en-US"/>
        </w:rPr>
        <w:t>Equation 1</w:t>
      </w:r>
    </w:p>
    <w:p w14:paraId="1E0EA600" w14:textId="77777777" w:rsidR="00CE1907" w:rsidRDefault="00CE1907" w:rsidP="00801245">
      <w:r>
        <w:rPr>
          <w:sz w:val="20"/>
          <w:szCs w:val="20"/>
          <w:lang w:val="en-US" w:eastAsia="en-US"/>
        </w:rPr>
        <w:t>Please check brackets here as there is no closing round bracket.</w:t>
      </w:r>
    </w:p>
  </w:comment>
  <w:comment w:id="83" w:author="Katrina Strachan" w:date="2022-04-14T13:04:00Z" w:initials="KS">
    <w:p w14:paraId="5C598B4B" w14:textId="330316AE" w:rsidR="00AF19CC" w:rsidRDefault="00C829F7" w:rsidP="00E063DA">
      <w:pPr>
        <w:rPr>
          <w:color w:val="00000C"/>
          <w:sz w:val="20"/>
          <w:szCs w:val="20"/>
          <w:lang w:val="en-US" w:eastAsia="en-US"/>
        </w:rPr>
      </w:pPr>
      <w:r>
        <w:rPr>
          <w:rStyle w:val="CommentReference"/>
        </w:rPr>
        <w:annotationRef/>
      </w:r>
      <w:r w:rsidR="00AF19CC">
        <w:rPr>
          <w:color w:val="00000C"/>
          <w:sz w:val="20"/>
          <w:szCs w:val="20"/>
          <w:lang w:val="en-US" w:eastAsia="en-US"/>
        </w:rPr>
        <w:t> TABLE 5 </w:t>
      </w:r>
    </w:p>
    <w:p w14:paraId="058123C7" w14:textId="57150479" w:rsidR="00C829F7" w:rsidRDefault="00C829F7" w:rsidP="00E063DA">
      <w:r>
        <w:rPr>
          <w:sz w:val="20"/>
          <w:szCs w:val="20"/>
          <w:lang w:val="en-US" w:eastAsia="en-US"/>
        </w:rPr>
        <w:t>‘Detail’ added as column 1  heading; OK?</w:t>
      </w:r>
    </w:p>
  </w:comment>
  <w:comment w:id="88" w:author="Katrina Strachan" w:date="2022-01-17T17:16:00Z" w:initials="KS">
    <w:p w14:paraId="5BBCBDEB" w14:textId="77777777" w:rsidR="00AF19CC" w:rsidRDefault="007C4652">
      <w:pPr>
        <w:pStyle w:val="CommentText"/>
        <w:rPr>
          <w:color w:val="00000C"/>
        </w:rPr>
      </w:pPr>
      <w:r>
        <w:rPr>
          <w:rStyle w:val="CommentReference"/>
        </w:rPr>
        <w:annotationRef/>
      </w:r>
      <w:r w:rsidR="00AF19CC">
        <w:rPr>
          <w:color w:val="00000C"/>
        </w:rPr>
        <w:t> Chapter 5 Main trial results: perindopril versus placebo, Adherence </w:t>
      </w:r>
    </w:p>
    <w:p w14:paraId="662CBAC4" w14:textId="7241A751" w:rsidR="007C4652" w:rsidRDefault="007C4652">
      <w:pPr>
        <w:pStyle w:val="CommentText"/>
      </w:pPr>
      <w:r>
        <w:t>‘median’ added for the first value here ; OK?</w:t>
      </w:r>
    </w:p>
  </w:comment>
  <w:comment w:id="90" w:author="Katrina Strachan" w:date="2022-04-14T13:04:00Z" w:initials="KS">
    <w:p w14:paraId="016868AC" w14:textId="77777777" w:rsidR="00AF19CC" w:rsidRDefault="00161172" w:rsidP="00A93F42">
      <w:pPr>
        <w:rPr>
          <w:color w:val="00000C"/>
          <w:sz w:val="20"/>
          <w:szCs w:val="20"/>
          <w:lang w:val="en-US" w:eastAsia="en-US"/>
        </w:rPr>
      </w:pPr>
      <w:r>
        <w:rPr>
          <w:rStyle w:val="CommentReference"/>
        </w:rPr>
        <w:annotationRef/>
      </w:r>
      <w:r w:rsidR="00AF19CC">
        <w:rPr>
          <w:color w:val="00000C"/>
          <w:sz w:val="20"/>
          <w:szCs w:val="20"/>
          <w:lang w:val="en-US" w:eastAsia="en-US"/>
        </w:rPr>
        <w:t> TABLE 6 </w:t>
      </w:r>
    </w:p>
    <w:p w14:paraId="1A44C16C" w14:textId="72CEC4FF" w:rsidR="00161172" w:rsidRDefault="00161172" w:rsidP="00A93F42">
      <w:r>
        <w:rPr>
          <w:sz w:val="20"/>
          <w:szCs w:val="20"/>
          <w:lang w:val="en-US" w:eastAsia="en-US"/>
        </w:rPr>
        <w:t>‘Outcome’ added as column 1 heading; OK?</w:t>
      </w:r>
    </w:p>
  </w:comment>
  <w:comment w:id="91" w:author="Katrina Strachan" w:date="2022-04-14T13:05:00Z" w:initials="KS">
    <w:p w14:paraId="7325EB98" w14:textId="77777777" w:rsidR="00AF19CC" w:rsidRDefault="00B93A6A" w:rsidP="002147AD">
      <w:pPr>
        <w:rPr>
          <w:color w:val="00000C"/>
          <w:sz w:val="20"/>
          <w:szCs w:val="20"/>
          <w:lang w:val="en-US" w:eastAsia="en-US"/>
        </w:rPr>
      </w:pPr>
      <w:r>
        <w:rPr>
          <w:rStyle w:val="CommentReference"/>
        </w:rPr>
        <w:annotationRef/>
      </w:r>
      <w:r w:rsidR="00AF19CC">
        <w:rPr>
          <w:color w:val="00000C"/>
          <w:sz w:val="20"/>
          <w:szCs w:val="20"/>
          <w:lang w:val="en-US" w:eastAsia="en-US"/>
        </w:rPr>
        <w:t> TABLE 7 </w:t>
      </w:r>
    </w:p>
    <w:p w14:paraId="1F90280D" w14:textId="1D842FAE" w:rsidR="00B93A6A" w:rsidRDefault="00B93A6A" w:rsidP="002147AD">
      <w:r>
        <w:rPr>
          <w:sz w:val="20"/>
          <w:szCs w:val="20"/>
          <w:lang w:val="en-US" w:eastAsia="en-US"/>
        </w:rPr>
        <w:t>‘Subgroup analysis’ added as column 1 heading; OK?</w:t>
      </w:r>
    </w:p>
  </w:comment>
  <w:comment w:id="98" w:author="Katrina Strachan" w:date="2022-04-14T13:05:00Z" w:initials="KS">
    <w:p w14:paraId="00098032" w14:textId="77777777" w:rsidR="00AF19CC" w:rsidRDefault="00B93A6A" w:rsidP="00432BD8">
      <w:pPr>
        <w:rPr>
          <w:color w:val="00000C"/>
          <w:sz w:val="20"/>
          <w:szCs w:val="20"/>
          <w:lang w:val="en-US" w:eastAsia="en-US"/>
        </w:rPr>
      </w:pPr>
      <w:r>
        <w:rPr>
          <w:rStyle w:val="CommentReference"/>
        </w:rPr>
        <w:annotationRef/>
      </w:r>
      <w:r w:rsidR="00AF19CC">
        <w:rPr>
          <w:color w:val="00000C"/>
          <w:sz w:val="20"/>
          <w:szCs w:val="20"/>
          <w:lang w:val="en-US" w:eastAsia="en-US"/>
        </w:rPr>
        <w:t> TABLE 9 </w:t>
      </w:r>
    </w:p>
    <w:p w14:paraId="1D21C628" w14:textId="10CC1335" w:rsidR="00B93A6A" w:rsidRDefault="00B93A6A" w:rsidP="00432BD8">
      <w:r>
        <w:rPr>
          <w:sz w:val="20"/>
          <w:szCs w:val="20"/>
          <w:lang w:val="en-US" w:eastAsia="en-US"/>
        </w:rPr>
        <w:t>‘Outcome’ added as column 1 heading; OK?</w:t>
      </w:r>
    </w:p>
  </w:comment>
  <w:comment w:id="101" w:author="Katrina Strachan" w:date="2022-04-14T13:06:00Z" w:initials="KS">
    <w:p w14:paraId="7AA59E89" w14:textId="77777777" w:rsidR="00AF19CC" w:rsidRDefault="00001E0A" w:rsidP="003B2315">
      <w:pPr>
        <w:rPr>
          <w:color w:val="00000C"/>
          <w:sz w:val="20"/>
          <w:szCs w:val="20"/>
          <w:lang w:val="en-US" w:eastAsia="en-US"/>
        </w:rPr>
      </w:pPr>
      <w:r>
        <w:rPr>
          <w:rStyle w:val="CommentReference"/>
        </w:rPr>
        <w:annotationRef/>
      </w:r>
      <w:r w:rsidR="00AF19CC">
        <w:rPr>
          <w:color w:val="00000C"/>
          <w:sz w:val="20"/>
          <w:szCs w:val="20"/>
          <w:lang w:val="en-US" w:eastAsia="en-US"/>
        </w:rPr>
        <w:t> TABLE 10 </w:t>
      </w:r>
    </w:p>
    <w:p w14:paraId="185F6F51" w14:textId="0787AA86" w:rsidR="00001E0A" w:rsidRDefault="00001E0A" w:rsidP="003B2315">
      <w:r>
        <w:rPr>
          <w:sz w:val="20"/>
          <w:szCs w:val="20"/>
          <w:lang w:val="en-US" w:eastAsia="en-US"/>
        </w:rPr>
        <w:t>‘Adverse event data’  added as column 1 heading; OK?</w:t>
      </w:r>
    </w:p>
  </w:comment>
  <w:comment w:id="123" w:author="Katrina Strachan" w:date="2022-01-12T16:31:00Z" w:initials="KS">
    <w:p w14:paraId="6181F106" w14:textId="77777777" w:rsidR="00AF19CC" w:rsidRDefault="00A12972">
      <w:pPr>
        <w:pStyle w:val="CommentText"/>
        <w:rPr>
          <w:color w:val="00000C"/>
        </w:rPr>
      </w:pPr>
      <w:r>
        <w:rPr>
          <w:rStyle w:val="CommentReference"/>
        </w:rPr>
        <w:annotationRef/>
      </w:r>
      <w:r w:rsidR="00AF19CC">
        <w:rPr>
          <w:color w:val="00000C"/>
        </w:rPr>
        <w:t> FIGURE 19 </w:t>
      </w:r>
    </w:p>
    <w:p w14:paraId="45056310" w14:textId="3EBFDCAF" w:rsidR="00A12972" w:rsidRDefault="00A12972">
      <w:pPr>
        <w:pStyle w:val="CommentText"/>
      </w:pPr>
      <w:r>
        <w:t>Should this be ‘skeletal body mass’ as in the text above?</w:t>
      </w:r>
    </w:p>
  </w:comment>
  <w:comment w:id="128" w:author="Katrina Strachan" w:date="2022-03-14T20:17:00Z" w:initials="KS">
    <w:p w14:paraId="4BBDEE18" w14:textId="77777777" w:rsidR="00AF19CC" w:rsidRDefault="002D6908" w:rsidP="00652E32">
      <w:pPr>
        <w:rPr>
          <w:color w:val="00000C"/>
          <w:sz w:val="20"/>
          <w:szCs w:val="20"/>
          <w:lang w:val="en-US" w:eastAsia="en-US"/>
        </w:rPr>
      </w:pPr>
      <w:r>
        <w:rPr>
          <w:rStyle w:val="CommentReference"/>
        </w:rPr>
        <w:annotationRef/>
      </w:r>
      <w:r w:rsidR="00AF19CC">
        <w:rPr>
          <w:color w:val="00000C"/>
          <w:sz w:val="20"/>
          <w:szCs w:val="20"/>
          <w:lang w:val="en-US" w:eastAsia="en-US"/>
        </w:rPr>
        <w:t> TABLE 17 </w:t>
      </w:r>
    </w:p>
    <w:p w14:paraId="1E28F060" w14:textId="51087002" w:rsidR="002D6908" w:rsidRDefault="002D6908" w:rsidP="00652E32">
      <w:r>
        <w:rPr>
          <w:sz w:val="20"/>
          <w:szCs w:val="20"/>
          <w:lang w:val="en-US" w:eastAsia="en-US"/>
        </w:rPr>
        <w:t>Column 1 heading amended to ‘Baseline biomarker’ in line with Table 18. OK?</w:t>
      </w:r>
    </w:p>
  </w:comment>
  <w:comment w:id="129" w:author="Katrina Strachan" w:date="2022-04-14T12:41:00Z" w:initials="KS">
    <w:p w14:paraId="22D7F364" w14:textId="77777777" w:rsidR="00AF19CC" w:rsidRDefault="00341640" w:rsidP="00D06034">
      <w:pPr>
        <w:rPr>
          <w:color w:val="00000C"/>
          <w:sz w:val="20"/>
          <w:szCs w:val="20"/>
          <w:lang w:val="en-US" w:eastAsia="en-US"/>
        </w:rPr>
      </w:pPr>
      <w:r>
        <w:rPr>
          <w:rStyle w:val="CommentReference"/>
        </w:rPr>
        <w:annotationRef/>
      </w:r>
      <w:r w:rsidR="00AF19CC">
        <w:rPr>
          <w:color w:val="00000C"/>
          <w:sz w:val="20"/>
          <w:szCs w:val="20"/>
          <w:lang w:val="en-US" w:eastAsia="en-US"/>
        </w:rPr>
        <w:t> TABLE 17 </w:t>
      </w:r>
    </w:p>
    <w:p w14:paraId="7056BC2A" w14:textId="5063E1BD" w:rsidR="00341640" w:rsidRDefault="00341640" w:rsidP="00D06034">
      <w:r>
        <w:rPr>
          <w:sz w:val="20"/>
          <w:szCs w:val="20"/>
          <w:lang w:val="en-US" w:eastAsia="en-US"/>
        </w:rPr>
        <w:t>Journal style colours have been used for Table 17 shading; OK?</w:t>
      </w:r>
    </w:p>
    <w:p w14:paraId="4A7D8960" w14:textId="77777777" w:rsidR="00341640" w:rsidRDefault="00341640" w:rsidP="00D06034">
      <w:r>
        <w:rPr>
          <w:sz w:val="20"/>
          <w:szCs w:val="20"/>
          <w:lang w:val="en-US" w:eastAsia="en-US"/>
        </w:rPr>
        <w:t>Colours in the table footnote will be updated during proof stage.</w:t>
      </w:r>
    </w:p>
    <w:p w14:paraId="4D0BF3ED" w14:textId="77777777" w:rsidR="00341640" w:rsidRDefault="00341640" w:rsidP="00D06034"/>
    <w:p w14:paraId="5E99B2F2" w14:textId="77777777" w:rsidR="00341640" w:rsidRDefault="00341640" w:rsidP="00D06034">
      <w:r>
        <w:rPr>
          <w:sz w:val="20"/>
          <w:szCs w:val="20"/>
          <w:lang w:val="en-US" w:eastAsia="en-US"/>
        </w:rPr>
        <w:t>Also applies to Tables 18 and 19.</w:t>
      </w:r>
    </w:p>
  </w:comment>
  <w:comment w:id="130" w:author="Katrina Strachan" w:date="2022-04-14T12:45:00Z" w:initials="KS">
    <w:p w14:paraId="2B8CFBF1" w14:textId="77777777" w:rsidR="00AF19CC" w:rsidRDefault="00E932D9" w:rsidP="000240B9">
      <w:pPr>
        <w:rPr>
          <w:color w:val="00000C"/>
          <w:sz w:val="20"/>
          <w:szCs w:val="20"/>
          <w:lang w:val="en-US" w:eastAsia="en-US"/>
        </w:rPr>
      </w:pPr>
      <w:r>
        <w:rPr>
          <w:rStyle w:val="CommentReference"/>
        </w:rPr>
        <w:annotationRef/>
      </w:r>
      <w:r w:rsidR="00AF19CC">
        <w:rPr>
          <w:color w:val="00000C"/>
          <w:sz w:val="20"/>
          <w:szCs w:val="20"/>
          <w:lang w:val="en-US" w:eastAsia="en-US"/>
        </w:rPr>
        <w:t> TABLE 17 </w:t>
      </w:r>
    </w:p>
    <w:p w14:paraId="051C6312" w14:textId="51A1141A" w:rsidR="00E932D9" w:rsidRDefault="00E932D9" w:rsidP="000240B9">
      <w:r>
        <w:rPr>
          <w:sz w:val="20"/>
          <w:szCs w:val="20"/>
          <w:lang w:val="en-US" w:eastAsia="en-US"/>
        </w:rPr>
        <w:t>Should ‘6-minute walk’ be specified, i.e. time or distance?</w:t>
      </w:r>
    </w:p>
  </w:comment>
  <w:comment w:id="133" w:author="Katrina Strachan" w:date="2022-01-12T16:39:00Z" w:initials="KS">
    <w:p w14:paraId="4C7B7CE8" w14:textId="77777777" w:rsidR="00AF19CC" w:rsidRDefault="00F60E45">
      <w:pPr>
        <w:pStyle w:val="CommentText"/>
        <w:rPr>
          <w:color w:val="00000C"/>
        </w:rPr>
      </w:pPr>
      <w:r>
        <w:rPr>
          <w:rStyle w:val="CommentReference"/>
        </w:rPr>
        <w:annotationRef/>
      </w:r>
      <w:r w:rsidR="00AF19CC">
        <w:rPr>
          <w:color w:val="00000C"/>
        </w:rPr>
        <w:t> FIGURE 20 </w:t>
      </w:r>
    </w:p>
    <w:p w14:paraId="1FCEDB68" w14:textId="5AAA25DD" w:rsidR="00F60E45" w:rsidRDefault="00F60E45">
      <w:pPr>
        <w:pStyle w:val="CommentText"/>
      </w:pPr>
      <w:r>
        <w:t>Should this refer to SPPB and baseline muscle mass to match the text above?</w:t>
      </w:r>
    </w:p>
  </w:comment>
  <w:comment w:id="137" w:author="Katrina Strachan" w:date="2022-04-14T13:56:00Z" w:initials="KS">
    <w:p w14:paraId="46D3EA22" w14:textId="77777777" w:rsidR="00AF19CC" w:rsidRDefault="007B21B6" w:rsidP="00004163">
      <w:pPr>
        <w:rPr>
          <w:color w:val="00000C"/>
          <w:sz w:val="20"/>
          <w:szCs w:val="20"/>
          <w:lang w:val="en-US" w:eastAsia="en-US"/>
        </w:rPr>
      </w:pPr>
      <w:r>
        <w:rPr>
          <w:rStyle w:val="CommentReference"/>
        </w:rPr>
        <w:annotationRef/>
      </w:r>
      <w:r w:rsidR="00AF19CC">
        <w:rPr>
          <w:color w:val="00000C"/>
          <w:sz w:val="20"/>
          <w:szCs w:val="20"/>
          <w:lang w:val="en-US" w:eastAsia="en-US"/>
        </w:rPr>
        <w:t> TABLE 19 </w:t>
      </w:r>
    </w:p>
    <w:p w14:paraId="1571D920" w14:textId="3873A028" w:rsidR="007B21B6" w:rsidRDefault="007B21B6" w:rsidP="00004163">
      <w:r>
        <w:rPr>
          <w:sz w:val="20"/>
          <w:szCs w:val="20"/>
          <w:lang w:val="en-US" w:eastAsia="en-US"/>
        </w:rPr>
        <w:t>Please check if the heading of column 1 is correct.</w:t>
      </w:r>
    </w:p>
  </w:comment>
  <w:comment w:id="142" w:author="Katrina Strachan" w:date="2022-01-12T16:44:00Z" w:initials="KS">
    <w:p w14:paraId="423F1B3D" w14:textId="77777777" w:rsidR="00AF19CC" w:rsidRDefault="00E256FB">
      <w:pPr>
        <w:pStyle w:val="CommentText"/>
        <w:rPr>
          <w:color w:val="00000C"/>
        </w:rPr>
      </w:pPr>
      <w:r>
        <w:rPr>
          <w:rStyle w:val="CommentReference"/>
        </w:rPr>
        <w:annotationRef/>
      </w:r>
      <w:r w:rsidR="00AF19CC">
        <w:rPr>
          <w:color w:val="00000C"/>
        </w:rPr>
        <w:t> Chapter 8 Discussion, Results in context </w:t>
      </w:r>
    </w:p>
    <w:p w14:paraId="1D787540" w14:textId="4AC9FEC1" w:rsidR="00E256FB" w:rsidRDefault="00E256FB">
      <w:pPr>
        <w:pStyle w:val="CommentText"/>
      </w:pPr>
      <w:r>
        <w:t>Might this be better as ‘greater muscle strength and muscle mass’?</w:t>
      </w:r>
    </w:p>
  </w:comment>
  <w:comment w:id="146" w:author="Katrina Strachan" w:date="2022-01-12T16:54:00Z" w:initials="KS">
    <w:p w14:paraId="74507525" w14:textId="77777777" w:rsidR="00AF19CC" w:rsidRDefault="00344843">
      <w:pPr>
        <w:pStyle w:val="CommentText"/>
        <w:rPr>
          <w:color w:val="00000C"/>
        </w:rPr>
      </w:pPr>
      <w:r>
        <w:rPr>
          <w:rStyle w:val="CommentReference"/>
        </w:rPr>
        <w:annotationRef/>
      </w:r>
      <w:r w:rsidR="00AF19CC">
        <w:rPr>
          <w:color w:val="00000C"/>
        </w:rPr>
        <w:t> Chapter 8 Discussion, Strengths </w:t>
      </w:r>
    </w:p>
    <w:p w14:paraId="125A4962" w14:textId="0A04C6EF" w:rsidR="00344843" w:rsidRDefault="00344843">
      <w:pPr>
        <w:pStyle w:val="CommentText"/>
      </w:pPr>
      <w:r>
        <w:t>‘To our knowledge’ added. OK?</w:t>
      </w:r>
    </w:p>
  </w:comment>
  <w:comment w:id="166" w:author="Katrina Strachan" w:date="2022-04-14T13:33:00Z" w:initials="KS">
    <w:p w14:paraId="67A247A2" w14:textId="77777777" w:rsidR="00AF19CC" w:rsidRDefault="002152F4" w:rsidP="005965D8">
      <w:pPr>
        <w:rPr>
          <w:color w:val="00000C"/>
          <w:sz w:val="20"/>
          <w:szCs w:val="20"/>
          <w:lang w:val="en-US" w:eastAsia="en-US"/>
        </w:rPr>
      </w:pPr>
      <w:r>
        <w:rPr>
          <w:rStyle w:val="CommentReference"/>
        </w:rPr>
        <w:annotationRef/>
      </w:r>
      <w:r w:rsidR="00AF19CC">
        <w:rPr>
          <w:color w:val="00000C"/>
          <w:sz w:val="20"/>
          <w:szCs w:val="20"/>
          <w:lang w:val="en-US" w:eastAsia="en-US"/>
        </w:rPr>
        <w:t> TABLE 23 </w:t>
      </w:r>
    </w:p>
    <w:p w14:paraId="6B41C364" w14:textId="1C4A40BD" w:rsidR="002152F4" w:rsidRDefault="002152F4" w:rsidP="005965D8">
      <w:r>
        <w:rPr>
          <w:sz w:val="20"/>
          <w:szCs w:val="20"/>
          <w:lang w:val="en-US" w:eastAsia="en-US"/>
        </w:rPr>
        <w:t>As Figure 26 is a table, this has been renumbered accordingly; OK?</w:t>
      </w:r>
    </w:p>
  </w:comment>
  <w:comment w:id="168" w:author="Katrina Strachan" w:date="2021-12-14T16:11:00Z" w:initials="KS">
    <w:p w14:paraId="22A2BB2B" w14:textId="77777777" w:rsidR="00AF19CC" w:rsidRDefault="003C5778" w:rsidP="003C5778">
      <w:pPr>
        <w:pStyle w:val="CommentText"/>
        <w:rPr>
          <w:color w:val="00000C"/>
        </w:rPr>
      </w:pPr>
      <w:r>
        <w:rPr>
          <w:rStyle w:val="CommentReference"/>
        </w:rPr>
        <w:annotationRef/>
      </w:r>
      <w:r w:rsidR="00AF19CC">
        <w:rPr>
          <w:color w:val="00000C"/>
        </w:rPr>
        <w:t> TABLE 25 </w:t>
      </w:r>
    </w:p>
    <w:p w14:paraId="540D13AB" w14:textId="57A2FBCD" w:rsidR="003C5778" w:rsidRDefault="003C5778" w:rsidP="003C5778">
      <w:pPr>
        <w:pStyle w:val="CommentText"/>
      </w:pPr>
      <w:r>
        <w:t>Can the footnote from Table 26 to explain ’ns’ be added to this table?</w:t>
      </w:r>
      <w:r>
        <w:cr/>
        <w:t>Also applies to Table 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92C7FC" w15:done="0"/>
  <w15:commentEx w15:paraId="590CDAEC" w15:done="0"/>
  <w15:commentEx w15:paraId="284566C6" w15:done="0"/>
  <w15:commentEx w15:paraId="255BD555" w15:done="0"/>
  <w15:commentEx w15:paraId="4BBF19B2" w15:done="0"/>
  <w15:commentEx w15:paraId="40DD5FFC" w15:done="0"/>
  <w15:commentEx w15:paraId="412BEE76" w15:done="0"/>
  <w15:commentEx w15:paraId="10AADE20" w15:done="0"/>
  <w15:commentEx w15:paraId="7D299B23" w15:done="0"/>
  <w15:commentEx w15:paraId="1C04D783" w15:done="0"/>
  <w15:commentEx w15:paraId="2DDD8335" w15:done="0"/>
  <w15:commentEx w15:paraId="08ECEBFC" w15:done="0"/>
  <w15:commentEx w15:paraId="1E0EA600" w15:done="0"/>
  <w15:commentEx w15:paraId="058123C7" w15:done="0"/>
  <w15:commentEx w15:paraId="662CBAC4" w15:done="0"/>
  <w15:commentEx w15:paraId="1A44C16C" w15:done="0"/>
  <w15:commentEx w15:paraId="1F90280D" w15:done="0"/>
  <w15:commentEx w15:paraId="1D21C628" w15:done="0"/>
  <w15:commentEx w15:paraId="185F6F51" w15:done="0"/>
  <w15:commentEx w15:paraId="45056310" w15:done="0"/>
  <w15:commentEx w15:paraId="1E28F060" w15:done="0"/>
  <w15:commentEx w15:paraId="5E99B2F2" w15:done="0"/>
  <w15:commentEx w15:paraId="051C6312" w15:done="0"/>
  <w15:commentEx w15:paraId="1FCEDB68" w15:done="0"/>
  <w15:commentEx w15:paraId="1571D920" w15:done="0"/>
  <w15:commentEx w15:paraId="1D787540" w15:done="0"/>
  <w15:commentEx w15:paraId="125A4962" w15:done="0"/>
  <w15:commentEx w15:paraId="6B41C364" w15:done="0"/>
  <w15:commentEx w15:paraId="540D13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9252" w16cex:dateUtc="2022-04-14T11:28:00Z"/>
  <w16cex:commentExtensible w16cex:durableId="2602925E" w16cex:dateUtc="2022-04-14T11:30:00Z"/>
  <w16cex:commentExtensible w16cex:durableId="2602A227" w16cex:dateUtc="2022-04-14T12:37:00Z"/>
  <w16cex:commentExtensible w16cex:durableId="259439CD" w16cex:dateUtc="2022-01-20T19:43:00Z"/>
  <w16cex:commentExtensible w16cex:durableId="2602993E" w16cex:dateUtc="2022-04-14T11:59:00Z"/>
  <w16cex:commentExtensible w16cex:durableId="25A2992B" w16cex:dateUtc="2022-01-31T17:21:00Z"/>
  <w16cex:commentExtensible w16cex:durableId="25A2995F" w16cex:dateUtc="2022-01-31T17:22:00Z"/>
  <w16cex:commentExtensible w16cex:durableId="2602A28F" w16cex:dateUtc="2022-04-14T12:39:00Z"/>
  <w16cex:commentExtensible w16cex:durableId="25902714" w16cex:dateUtc="2022-01-17T17:34:00Z"/>
  <w16cex:commentExtensible w16cex:durableId="25A29D60" w16cex:dateUtc="2022-01-31T17:39:00Z"/>
  <w16cex:commentExtensible w16cex:durableId="25898C1D" w16cex:dateUtc="2022-01-12T17:19:00Z"/>
  <w16cex:commentExtensible w16cex:durableId="25898AE7" w16cex:dateUtc="2022-01-12T17:14:00Z"/>
  <w16cex:commentExtensible w16cex:durableId="2602A940" w16cex:dateUtc="2022-04-14T13:08:00Z"/>
  <w16cex:commentExtensible w16cex:durableId="26029A42" w16cex:dateUtc="2022-04-14T12:04:00Z"/>
  <w16cex:commentExtensible w16cex:durableId="259022EE" w16cex:dateUtc="2022-01-17T17:16:00Z"/>
  <w16cex:commentExtensible w16cex:durableId="26029A63" w16cex:dateUtc="2022-04-14T12:04:00Z"/>
  <w16cex:commentExtensible w16cex:durableId="26029A7F" w16cex:dateUtc="2022-04-14T12:05:00Z"/>
  <w16cex:commentExtensible w16cex:durableId="26029A91" w16cex:dateUtc="2022-04-14T12:05:00Z"/>
  <w16cex:commentExtensible w16cex:durableId="26029AEE" w16cex:dateUtc="2022-04-14T12:06:00Z"/>
  <w16cex:commentExtensible w16cex:durableId="258980FA" w16cex:dateUtc="2022-01-12T16:31:00Z"/>
  <w16cex:commentExtensible w16cex:durableId="25DA2169" w16cex:dateUtc="2022-03-14T20:17:00Z"/>
  <w16cex:commentExtensible w16cex:durableId="2602950B" w16cex:dateUtc="2022-04-14T11:41:00Z"/>
  <w16cex:commentExtensible w16cex:durableId="260295E6" w16cex:dateUtc="2022-04-14T11:45:00Z"/>
  <w16cex:commentExtensible w16cex:durableId="258982B4" w16cex:dateUtc="2022-01-12T16:39:00Z"/>
  <w16cex:commentExtensible w16cex:durableId="2602A678" w16cex:dateUtc="2022-04-14T12:56:00Z"/>
  <w16cex:commentExtensible w16cex:durableId="25898404" w16cex:dateUtc="2022-01-12T16:44:00Z"/>
  <w16cex:commentExtensible w16cex:durableId="2589864A" w16cex:dateUtc="2022-01-12T16:54:00Z"/>
  <w16cex:commentExtensible w16cex:durableId="2602A13C" w16cex:dateUtc="2022-04-14T12:33:00Z"/>
  <w16cex:commentExtensible w16cex:durableId="256340A2" w16cex:dateUtc="2021-12-14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2C7FC" w16cid:durableId="26029252"/>
  <w16cid:commentId w16cid:paraId="590CDAEC" w16cid:durableId="2602925E"/>
  <w16cid:commentId w16cid:paraId="284566C6" w16cid:durableId="2602A227"/>
  <w16cid:commentId w16cid:paraId="255BD555" w16cid:durableId="259439CD"/>
  <w16cid:commentId w16cid:paraId="4BBF19B2" w16cid:durableId="2602993E"/>
  <w16cid:commentId w16cid:paraId="40DD5FFC" w16cid:durableId="25A2992B"/>
  <w16cid:commentId w16cid:paraId="412BEE76" w16cid:durableId="25A2995F"/>
  <w16cid:commentId w16cid:paraId="10AADE20" w16cid:durableId="2602A28F"/>
  <w16cid:commentId w16cid:paraId="7D299B23" w16cid:durableId="25902714"/>
  <w16cid:commentId w16cid:paraId="1C04D783" w16cid:durableId="25A29D60"/>
  <w16cid:commentId w16cid:paraId="2DDD8335" w16cid:durableId="25898C1D"/>
  <w16cid:commentId w16cid:paraId="08ECEBFC" w16cid:durableId="25898AE7"/>
  <w16cid:commentId w16cid:paraId="1E0EA600" w16cid:durableId="2602A940"/>
  <w16cid:commentId w16cid:paraId="058123C7" w16cid:durableId="26029A42"/>
  <w16cid:commentId w16cid:paraId="662CBAC4" w16cid:durableId="259022EE"/>
  <w16cid:commentId w16cid:paraId="1A44C16C" w16cid:durableId="26029A63"/>
  <w16cid:commentId w16cid:paraId="1F90280D" w16cid:durableId="26029A7F"/>
  <w16cid:commentId w16cid:paraId="1D21C628" w16cid:durableId="26029A91"/>
  <w16cid:commentId w16cid:paraId="185F6F51" w16cid:durableId="26029AEE"/>
  <w16cid:commentId w16cid:paraId="45056310" w16cid:durableId="258980FA"/>
  <w16cid:commentId w16cid:paraId="1E28F060" w16cid:durableId="25DA2169"/>
  <w16cid:commentId w16cid:paraId="5E99B2F2" w16cid:durableId="2602950B"/>
  <w16cid:commentId w16cid:paraId="051C6312" w16cid:durableId="260295E6"/>
  <w16cid:commentId w16cid:paraId="1FCEDB68" w16cid:durableId="258982B4"/>
  <w16cid:commentId w16cid:paraId="1571D920" w16cid:durableId="2602A678"/>
  <w16cid:commentId w16cid:paraId="1D787540" w16cid:durableId="25898404"/>
  <w16cid:commentId w16cid:paraId="125A4962" w16cid:durableId="2589864A"/>
  <w16cid:commentId w16cid:paraId="6B41C364" w16cid:durableId="2602A13C"/>
  <w16cid:commentId w16cid:paraId="540D13AB" w16cid:durableId="256340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3ADF" w14:textId="77777777" w:rsidR="00F062A6" w:rsidRDefault="00F062A6" w:rsidP="00723D3F">
      <w:r>
        <w:separator/>
      </w:r>
    </w:p>
  </w:endnote>
  <w:endnote w:type="continuationSeparator" w:id="0">
    <w:p w14:paraId="33D20453" w14:textId="77777777" w:rsidR="00F062A6" w:rsidRDefault="00F062A6" w:rsidP="00723D3F">
      <w:r>
        <w:continuationSeparator/>
      </w:r>
    </w:p>
  </w:endnote>
  <w:endnote w:type="continuationNotice" w:id="1">
    <w:p w14:paraId="6D174AAF" w14:textId="77777777" w:rsidR="00F062A6" w:rsidRDefault="00F06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Humanist777BT-LightB">
    <w:altName w:val="Calibri"/>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00"/>
    <w:family w:val="auto"/>
    <w:pitch w:val="variable"/>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00"/>
    <w:family w:val="auto"/>
    <w:pitch w:val="variable"/>
    <w:sig w:usb0="00000003" w:usb1="00000000" w:usb2="00000000" w:usb3="00000000" w:csb0="00000001" w:csb1="00000000"/>
  </w:font>
  <w:font w:name="Humanist777BT-RomanCondensedB">
    <w:altName w:val="Calibri"/>
    <w:panose1 w:val="020B0604020202020204"/>
    <w:charset w:val="00"/>
    <w:family w:val="auto"/>
    <w:pitch w:val="variable"/>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00"/>
    <w:family w:val="auto"/>
    <w:pitch w:val="variable"/>
    <w:sig w:usb0="00000003" w:usb1="00000000" w:usb2="00000000" w:usb3="00000000" w:csb0="00000001" w:csb1="00000000"/>
  </w:font>
  <w:font w:name="Humanist777BT-BoldItalicB">
    <w:altName w:val="Calibri"/>
    <w:panose1 w:val="020B0604020202020204"/>
    <w:charset w:val="00"/>
    <w:family w:val="auto"/>
    <w:pitch w:val="variable"/>
    <w:sig w:usb0="00000003" w:usb1="00000000" w:usb2="00000000" w:usb3="00000000" w:csb0="00000001" w:csb1="00000000"/>
  </w:font>
  <w:font w:name="Humanist777BT-ItalicB">
    <w:altName w:val="Calibri"/>
    <w:panose1 w:val="020B0604020202020204"/>
    <w:charset w:val="00"/>
    <w:family w:val="auto"/>
    <w:pitch w:val="variable"/>
    <w:sig w:usb0="00000003" w:usb1="00000000" w:usb2="00000000" w:usb3="00000000" w:csb0="00000001" w:csb1="00000000"/>
  </w:font>
  <w:font w:name="Humanist777BT-LightItalicB">
    <w:altName w:val="Calibri"/>
    <w:panose1 w:val="020B0604020202020204"/>
    <w:charset w:val="00"/>
    <w:family w:val="auto"/>
    <w:pitch w:val="variable"/>
    <w:sig w:usb0="00000003" w:usb1="00000000" w:usb2="00000000" w:usb3="00000000" w:csb0="00000001" w:csb1="00000000"/>
  </w:font>
  <w:font w:name="Minion Pro Med">
    <w:altName w:val="﷽﷽﷽﷽﷽﷽﷽﷽䵕"/>
    <w:panose1 w:val="020B0604020202020204"/>
    <w:charset w:val="00"/>
    <w:family w:val="roman"/>
    <w:notTrueType/>
    <w:pitch w:val="variable"/>
    <w:sig w:usb0="60000287" w:usb1="00000001"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CF4C" w14:textId="77777777" w:rsidR="00F062A6" w:rsidRDefault="00F062A6" w:rsidP="00723D3F">
      <w:r>
        <w:separator/>
      </w:r>
    </w:p>
  </w:footnote>
  <w:footnote w:type="continuationSeparator" w:id="0">
    <w:p w14:paraId="4E5AA387" w14:textId="77777777" w:rsidR="00F062A6" w:rsidRDefault="00F062A6" w:rsidP="00723D3F">
      <w:r>
        <w:continuationSeparator/>
      </w:r>
    </w:p>
  </w:footnote>
  <w:footnote w:type="continuationNotice" w:id="1">
    <w:p w14:paraId="6BE28C50" w14:textId="77777777" w:rsidR="00F062A6" w:rsidRDefault="00F062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582A18"/>
    <w:multiLevelType w:val="hybridMultilevel"/>
    <w:tmpl w:val="15DCF98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B8C30BE"/>
    <w:multiLevelType w:val="hybridMultilevel"/>
    <w:tmpl w:val="5A4EF5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112EDB"/>
    <w:multiLevelType w:val="hybridMultilevel"/>
    <w:tmpl w:val="941A2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60275"/>
    <w:multiLevelType w:val="hybridMultilevel"/>
    <w:tmpl w:val="3800A320"/>
    <w:lvl w:ilvl="0" w:tplc="DB2A77B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83E02"/>
    <w:multiLevelType w:val="hybridMultilevel"/>
    <w:tmpl w:val="2758B268"/>
    <w:lvl w:ilvl="0" w:tplc="F42CCB7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892C09"/>
    <w:multiLevelType w:val="hybridMultilevel"/>
    <w:tmpl w:val="B2446132"/>
    <w:lvl w:ilvl="0" w:tplc="CF8EF64E">
      <w:start w:val="2"/>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C5E90"/>
    <w:multiLevelType w:val="hybridMultilevel"/>
    <w:tmpl w:val="0EDA0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5822F6"/>
    <w:multiLevelType w:val="hybridMultilevel"/>
    <w:tmpl w:val="4A7AB57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8A384F"/>
    <w:multiLevelType w:val="hybridMultilevel"/>
    <w:tmpl w:val="36AE15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7774A5"/>
    <w:multiLevelType w:val="hybridMultilevel"/>
    <w:tmpl w:val="CF4064B2"/>
    <w:lvl w:ilvl="0" w:tplc="1660BEB8">
      <w:start w:val="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E4730"/>
    <w:multiLevelType w:val="hybridMultilevel"/>
    <w:tmpl w:val="44DAC5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86065"/>
    <w:multiLevelType w:val="hybridMultilevel"/>
    <w:tmpl w:val="8F2032FA"/>
    <w:lvl w:ilvl="0" w:tplc="F42CCB7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485521"/>
    <w:multiLevelType w:val="hybridMultilevel"/>
    <w:tmpl w:val="941A2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1298873444">
    <w:abstractNumId w:val="20"/>
  </w:num>
  <w:num w:numId="2" w16cid:durableId="1797869437">
    <w:abstractNumId w:val="22"/>
  </w:num>
  <w:num w:numId="3" w16cid:durableId="1740177446">
    <w:abstractNumId w:val="13"/>
  </w:num>
  <w:num w:numId="4" w16cid:durableId="1663198818">
    <w:abstractNumId w:val="18"/>
  </w:num>
  <w:num w:numId="5" w16cid:durableId="470172583">
    <w:abstractNumId w:val="15"/>
  </w:num>
  <w:num w:numId="6" w16cid:durableId="193618662">
    <w:abstractNumId w:val="16"/>
  </w:num>
  <w:num w:numId="7" w16cid:durableId="2120634370">
    <w:abstractNumId w:val="17"/>
  </w:num>
  <w:num w:numId="8" w16cid:durableId="970326975">
    <w:abstractNumId w:val="19"/>
  </w:num>
  <w:num w:numId="9" w16cid:durableId="947275282">
    <w:abstractNumId w:val="21"/>
  </w:num>
  <w:num w:numId="10" w16cid:durableId="1422870681">
    <w:abstractNumId w:val="8"/>
  </w:num>
  <w:num w:numId="11" w16cid:durableId="403841944">
    <w:abstractNumId w:val="4"/>
  </w:num>
  <w:num w:numId="12" w16cid:durableId="449320990">
    <w:abstractNumId w:val="14"/>
  </w:num>
  <w:num w:numId="13" w16cid:durableId="584919359">
    <w:abstractNumId w:val="11"/>
  </w:num>
  <w:num w:numId="14" w16cid:durableId="1062099961">
    <w:abstractNumId w:val="12"/>
  </w:num>
  <w:num w:numId="15" w16cid:durableId="720859961">
    <w:abstractNumId w:val="7"/>
  </w:num>
  <w:num w:numId="16" w16cid:durableId="1227910226">
    <w:abstractNumId w:val="10"/>
  </w:num>
  <w:num w:numId="17" w16cid:durableId="1821269480">
    <w:abstractNumId w:val="24"/>
  </w:num>
  <w:num w:numId="18" w16cid:durableId="1051464047">
    <w:abstractNumId w:val="6"/>
  </w:num>
  <w:num w:numId="19" w16cid:durableId="637031984">
    <w:abstractNumId w:val="0"/>
  </w:num>
  <w:num w:numId="20" w16cid:durableId="425426178">
    <w:abstractNumId w:val="1"/>
  </w:num>
  <w:num w:numId="21" w16cid:durableId="1331639006">
    <w:abstractNumId w:val="2"/>
  </w:num>
  <w:num w:numId="22" w16cid:durableId="1926303117">
    <w:abstractNumId w:val="3"/>
  </w:num>
  <w:num w:numId="23" w16cid:durableId="1018387490">
    <w:abstractNumId w:val="23"/>
  </w:num>
  <w:num w:numId="24" w16cid:durableId="1909920929">
    <w:abstractNumId w:val="5"/>
  </w:num>
  <w:num w:numId="25" w16cid:durableId="15810178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E02"/>
    <w:rsid w:val="000009FD"/>
    <w:rsid w:val="00001E0A"/>
    <w:rsid w:val="0000383A"/>
    <w:rsid w:val="0000385D"/>
    <w:rsid w:val="000047A6"/>
    <w:rsid w:val="00006B19"/>
    <w:rsid w:val="000075CF"/>
    <w:rsid w:val="00010537"/>
    <w:rsid w:val="00011705"/>
    <w:rsid w:val="00013310"/>
    <w:rsid w:val="00017543"/>
    <w:rsid w:val="000204CB"/>
    <w:rsid w:val="00022CC3"/>
    <w:rsid w:val="00023424"/>
    <w:rsid w:val="00024F97"/>
    <w:rsid w:val="00025257"/>
    <w:rsid w:val="000266AF"/>
    <w:rsid w:val="0003188E"/>
    <w:rsid w:val="0003222C"/>
    <w:rsid w:val="00032767"/>
    <w:rsid w:val="00033408"/>
    <w:rsid w:val="00034629"/>
    <w:rsid w:val="0004018E"/>
    <w:rsid w:val="00040233"/>
    <w:rsid w:val="0004082C"/>
    <w:rsid w:val="000410D2"/>
    <w:rsid w:val="000416D8"/>
    <w:rsid w:val="00041B6D"/>
    <w:rsid w:val="00043145"/>
    <w:rsid w:val="0004394B"/>
    <w:rsid w:val="00043F57"/>
    <w:rsid w:val="00043FB7"/>
    <w:rsid w:val="0004443D"/>
    <w:rsid w:val="00046353"/>
    <w:rsid w:val="000467D6"/>
    <w:rsid w:val="0004685C"/>
    <w:rsid w:val="00046FEA"/>
    <w:rsid w:val="00047150"/>
    <w:rsid w:val="00047963"/>
    <w:rsid w:val="00050582"/>
    <w:rsid w:val="00051929"/>
    <w:rsid w:val="0005433A"/>
    <w:rsid w:val="0005562F"/>
    <w:rsid w:val="0005683E"/>
    <w:rsid w:val="00060716"/>
    <w:rsid w:val="0006183B"/>
    <w:rsid w:val="00061AE9"/>
    <w:rsid w:val="00062453"/>
    <w:rsid w:val="00062794"/>
    <w:rsid w:val="000628FF"/>
    <w:rsid w:val="00062E92"/>
    <w:rsid w:val="0006302E"/>
    <w:rsid w:val="000647C7"/>
    <w:rsid w:val="00064EF4"/>
    <w:rsid w:val="0006572C"/>
    <w:rsid w:val="000661C3"/>
    <w:rsid w:val="0007485D"/>
    <w:rsid w:val="00074BA2"/>
    <w:rsid w:val="00075844"/>
    <w:rsid w:val="000768BA"/>
    <w:rsid w:val="00076B00"/>
    <w:rsid w:val="00077B85"/>
    <w:rsid w:val="000822CA"/>
    <w:rsid w:val="000827B3"/>
    <w:rsid w:val="00083EC6"/>
    <w:rsid w:val="00084841"/>
    <w:rsid w:val="00086E28"/>
    <w:rsid w:val="00087BA4"/>
    <w:rsid w:val="00087D95"/>
    <w:rsid w:val="000901B7"/>
    <w:rsid w:val="000904F4"/>
    <w:rsid w:val="0009133C"/>
    <w:rsid w:val="00092187"/>
    <w:rsid w:val="000923F7"/>
    <w:rsid w:val="00092F29"/>
    <w:rsid w:val="00093C32"/>
    <w:rsid w:val="0009536A"/>
    <w:rsid w:val="00095838"/>
    <w:rsid w:val="000960FD"/>
    <w:rsid w:val="0009637A"/>
    <w:rsid w:val="000A2102"/>
    <w:rsid w:val="000A3B95"/>
    <w:rsid w:val="000A448D"/>
    <w:rsid w:val="000A53CE"/>
    <w:rsid w:val="000A5E83"/>
    <w:rsid w:val="000A6AF6"/>
    <w:rsid w:val="000A7312"/>
    <w:rsid w:val="000B0848"/>
    <w:rsid w:val="000B0A4F"/>
    <w:rsid w:val="000B136D"/>
    <w:rsid w:val="000B1691"/>
    <w:rsid w:val="000B4F8B"/>
    <w:rsid w:val="000B7273"/>
    <w:rsid w:val="000B7D1D"/>
    <w:rsid w:val="000B7EDA"/>
    <w:rsid w:val="000C0685"/>
    <w:rsid w:val="000C0949"/>
    <w:rsid w:val="000C18A9"/>
    <w:rsid w:val="000C26BA"/>
    <w:rsid w:val="000C2B72"/>
    <w:rsid w:val="000C2DE3"/>
    <w:rsid w:val="000C4645"/>
    <w:rsid w:val="000C5964"/>
    <w:rsid w:val="000C6FC6"/>
    <w:rsid w:val="000D0699"/>
    <w:rsid w:val="000D1B2C"/>
    <w:rsid w:val="000D7D53"/>
    <w:rsid w:val="000D7FCA"/>
    <w:rsid w:val="000E2AE7"/>
    <w:rsid w:val="000E48D8"/>
    <w:rsid w:val="000E50F0"/>
    <w:rsid w:val="000E60F1"/>
    <w:rsid w:val="000F0754"/>
    <w:rsid w:val="000F09B6"/>
    <w:rsid w:val="000F38AD"/>
    <w:rsid w:val="000F3CB6"/>
    <w:rsid w:val="000F5257"/>
    <w:rsid w:val="000F7A77"/>
    <w:rsid w:val="00100A5B"/>
    <w:rsid w:val="0010255E"/>
    <w:rsid w:val="00105903"/>
    <w:rsid w:val="00105919"/>
    <w:rsid w:val="0010700A"/>
    <w:rsid w:val="00107608"/>
    <w:rsid w:val="001104F7"/>
    <w:rsid w:val="00111B24"/>
    <w:rsid w:val="00111D63"/>
    <w:rsid w:val="001126CF"/>
    <w:rsid w:val="00112FA8"/>
    <w:rsid w:val="00113253"/>
    <w:rsid w:val="00113400"/>
    <w:rsid w:val="0011381B"/>
    <w:rsid w:val="0011478F"/>
    <w:rsid w:val="001158D7"/>
    <w:rsid w:val="00116377"/>
    <w:rsid w:val="00117504"/>
    <w:rsid w:val="00120968"/>
    <w:rsid w:val="00120FAF"/>
    <w:rsid w:val="001217AF"/>
    <w:rsid w:val="00121D3B"/>
    <w:rsid w:val="00122602"/>
    <w:rsid w:val="00122E9D"/>
    <w:rsid w:val="00124083"/>
    <w:rsid w:val="0012465A"/>
    <w:rsid w:val="00125D3A"/>
    <w:rsid w:val="00127AD3"/>
    <w:rsid w:val="001300B1"/>
    <w:rsid w:val="001302F4"/>
    <w:rsid w:val="001323C8"/>
    <w:rsid w:val="00136281"/>
    <w:rsid w:val="00137979"/>
    <w:rsid w:val="00140672"/>
    <w:rsid w:val="00140858"/>
    <w:rsid w:val="00141598"/>
    <w:rsid w:val="00144CB5"/>
    <w:rsid w:val="00146087"/>
    <w:rsid w:val="00147D21"/>
    <w:rsid w:val="0015244A"/>
    <w:rsid w:val="0015336B"/>
    <w:rsid w:val="0015470C"/>
    <w:rsid w:val="00156229"/>
    <w:rsid w:val="001569B1"/>
    <w:rsid w:val="00156F53"/>
    <w:rsid w:val="0015773F"/>
    <w:rsid w:val="00161172"/>
    <w:rsid w:val="0016262C"/>
    <w:rsid w:val="00164841"/>
    <w:rsid w:val="0017095A"/>
    <w:rsid w:val="00174ECA"/>
    <w:rsid w:val="00175A32"/>
    <w:rsid w:val="00176AE8"/>
    <w:rsid w:val="001777F8"/>
    <w:rsid w:val="0018054E"/>
    <w:rsid w:val="001814CC"/>
    <w:rsid w:val="00181F9F"/>
    <w:rsid w:val="0018264D"/>
    <w:rsid w:val="00183E76"/>
    <w:rsid w:val="00185A01"/>
    <w:rsid w:val="00186618"/>
    <w:rsid w:val="00186BFC"/>
    <w:rsid w:val="001871E7"/>
    <w:rsid w:val="0018798A"/>
    <w:rsid w:val="0019009E"/>
    <w:rsid w:val="001923ED"/>
    <w:rsid w:val="00192B85"/>
    <w:rsid w:val="001935C4"/>
    <w:rsid w:val="001A018A"/>
    <w:rsid w:val="001A0742"/>
    <w:rsid w:val="001A0743"/>
    <w:rsid w:val="001A0C10"/>
    <w:rsid w:val="001A2958"/>
    <w:rsid w:val="001A2E79"/>
    <w:rsid w:val="001A4F45"/>
    <w:rsid w:val="001B0B78"/>
    <w:rsid w:val="001B0EBE"/>
    <w:rsid w:val="001B2ACE"/>
    <w:rsid w:val="001B3DA9"/>
    <w:rsid w:val="001B5681"/>
    <w:rsid w:val="001C4469"/>
    <w:rsid w:val="001C5350"/>
    <w:rsid w:val="001D05FA"/>
    <w:rsid w:val="001D063C"/>
    <w:rsid w:val="001D0A3C"/>
    <w:rsid w:val="001D11BE"/>
    <w:rsid w:val="001D1A35"/>
    <w:rsid w:val="001D24A9"/>
    <w:rsid w:val="001D4880"/>
    <w:rsid w:val="001D7824"/>
    <w:rsid w:val="001E1074"/>
    <w:rsid w:val="001E198A"/>
    <w:rsid w:val="001E2BE2"/>
    <w:rsid w:val="001E4852"/>
    <w:rsid w:val="001E51B7"/>
    <w:rsid w:val="001E5F50"/>
    <w:rsid w:val="001E729C"/>
    <w:rsid w:val="001E7B68"/>
    <w:rsid w:val="001E7B87"/>
    <w:rsid w:val="001F05E3"/>
    <w:rsid w:val="001F0FB2"/>
    <w:rsid w:val="001F1EC6"/>
    <w:rsid w:val="001F271D"/>
    <w:rsid w:val="001F3057"/>
    <w:rsid w:val="001F3616"/>
    <w:rsid w:val="001F367F"/>
    <w:rsid w:val="001F5735"/>
    <w:rsid w:val="001F592C"/>
    <w:rsid w:val="001F6207"/>
    <w:rsid w:val="001F661C"/>
    <w:rsid w:val="001F7157"/>
    <w:rsid w:val="001F7D8D"/>
    <w:rsid w:val="002002FD"/>
    <w:rsid w:val="00201228"/>
    <w:rsid w:val="00202C73"/>
    <w:rsid w:val="00203628"/>
    <w:rsid w:val="0020391A"/>
    <w:rsid w:val="00203CF5"/>
    <w:rsid w:val="0020513E"/>
    <w:rsid w:val="00206924"/>
    <w:rsid w:val="00207969"/>
    <w:rsid w:val="00207C5F"/>
    <w:rsid w:val="00210032"/>
    <w:rsid w:val="00211EAA"/>
    <w:rsid w:val="002152F4"/>
    <w:rsid w:val="00215337"/>
    <w:rsid w:val="002168E3"/>
    <w:rsid w:val="00217646"/>
    <w:rsid w:val="002202F8"/>
    <w:rsid w:val="00220C7F"/>
    <w:rsid w:val="002210AA"/>
    <w:rsid w:val="00221AF3"/>
    <w:rsid w:val="00224465"/>
    <w:rsid w:val="00227064"/>
    <w:rsid w:val="00231C84"/>
    <w:rsid w:val="00231DDB"/>
    <w:rsid w:val="00232432"/>
    <w:rsid w:val="002325AB"/>
    <w:rsid w:val="00232B7D"/>
    <w:rsid w:val="00233771"/>
    <w:rsid w:val="00237B97"/>
    <w:rsid w:val="00242981"/>
    <w:rsid w:val="00242F41"/>
    <w:rsid w:val="00243208"/>
    <w:rsid w:val="00243435"/>
    <w:rsid w:val="00246130"/>
    <w:rsid w:val="002466C5"/>
    <w:rsid w:val="0024716C"/>
    <w:rsid w:val="0024745D"/>
    <w:rsid w:val="00250A5B"/>
    <w:rsid w:val="00251F68"/>
    <w:rsid w:val="002524B7"/>
    <w:rsid w:val="00255386"/>
    <w:rsid w:val="002553EF"/>
    <w:rsid w:val="0025658E"/>
    <w:rsid w:val="002579F3"/>
    <w:rsid w:val="0026169F"/>
    <w:rsid w:val="00262641"/>
    <w:rsid w:val="00262E8F"/>
    <w:rsid w:val="002633A7"/>
    <w:rsid w:val="002637B1"/>
    <w:rsid w:val="0026585F"/>
    <w:rsid w:val="00266BFD"/>
    <w:rsid w:val="00266EF3"/>
    <w:rsid w:val="002672EE"/>
    <w:rsid w:val="00267513"/>
    <w:rsid w:val="00270B9B"/>
    <w:rsid w:val="002715C8"/>
    <w:rsid w:val="002731C3"/>
    <w:rsid w:val="002771F2"/>
    <w:rsid w:val="002806A4"/>
    <w:rsid w:val="00282668"/>
    <w:rsid w:val="00285B96"/>
    <w:rsid w:val="00287BA1"/>
    <w:rsid w:val="002903EE"/>
    <w:rsid w:val="002907F9"/>
    <w:rsid w:val="00291B83"/>
    <w:rsid w:val="00292427"/>
    <w:rsid w:val="002930D1"/>
    <w:rsid w:val="0029796B"/>
    <w:rsid w:val="002A1D76"/>
    <w:rsid w:val="002A3DC2"/>
    <w:rsid w:val="002A454B"/>
    <w:rsid w:val="002A524F"/>
    <w:rsid w:val="002A752C"/>
    <w:rsid w:val="002A7E2D"/>
    <w:rsid w:val="002B0C6C"/>
    <w:rsid w:val="002B322B"/>
    <w:rsid w:val="002B45B9"/>
    <w:rsid w:val="002B5919"/>
    <w:rsid w:val="002B71B4"/>
    <w:rsid w:val="002B74D0"/>
    <w:rsid w:val="002C084D"/>
    <w:rsid w:val="002C092A"/>
    <w:rsid w:val="002C0D23"/>
    <w:rsid w:val="002C12C2"/>
    <w:rsid w:val="002C2408"/>
    <w:rsid w:val="002C32A0"/>
    <w:rsid w:val="002C49F4"/>
    <w:rsid w:val="002D0635"/>
    <w:rsid w:val="002D0F53"/>
    <w:rsid w:val="002D23FF"/>
    <w:rsid w:val="002D3D4B"/>
    <w:rsid w:val="002D4467"/>
    <w:rsid w:val="002D4AC3"/>
    <w:rsid w:val="002D4B9E"/>
    <w:rsid w:val="002D57E1"/>
    <w:rsid w:val="002D6908"/>
    <w:rsid w:val="002D75F1"/>
    <w:rsid w:val="002E24A9"/>
    <w:rsid w:val="002E2D3D"/>
    <w:rsid w:val="002E318C"/>
    <w:rsid w:val="002E3CB4"/>
    <w:rsid w:val="002E5042"/>
    <w:rsid w:val="002E56D6"/>
    <w:rsid w:val="002E63BC"/>
    <w:rsid w:val="002E77DE"/>
    <w:rsid w:val="002F11A8"/>
    <w:rsid w:val="002F2579"/>
    <w:rsid w:val="002F4A3B"/>
    <w:rsid w:val="002F7BBC"/>
    <w:rsid w:val="003004C4"/>
    <w:rsid w:val="003008BF"/>
    <w:rsid w:val="00301064"/>
    <w:rsid w:val="00301754"/>
    <w:rsid w:val="00302A7E"/>
    <w:rsid w:val="00302DEC"/>
    <w:rsid w:val="00304690"/>
    <w:rsid w:val="00304D71"/>
    <w:rsid w:val="003058BC"/>
    <w:rsid w:val="0030592F"/>
    <w:rsid w:val="00306A23"/>
    <w:rsid w:val="00306EF8"/>
    <w:rsid w:val="0031193F"/>
    <w:rsid w:val="00313344"/>
    <w:rsid w:val="003136EE"/>
    <w:rsid w:val="0031492E"/>
    <w:rsid w:val="00315120"/>
    <w:rsid w:val="00316D60"/>
    <w:rsid w:val="0031722D"/>
    <w:rsid w:val="003172F9"/>
    <w:rsid w:val="00317DFA"/>
    <w:rsid w:val="00320BE1"/>
    <w:rsid w:val="00321BB5"/>
    <w:rsid w:val="003264AB"/>
    <w:rsid w:val="00326ABA"/>
    <w:rsid w:val="00331FC4"/>
    <w:rsid w:val="00332759"/>
    <w:rsid w:val="00332B04"/>
    <w:rsid w:val="00333DC6"/>
    <w:rsid w:val="00336D06"/>
    <w:rsid w:val="00337470"/>
    <w:rsid w:val="00337564"/>
    <w:rsid w:val="003379C5"/>
    <w:rsid w:val="00340BB0"/>
    <w:rsid w:val="00340FB8"/>
    <w:rsid w:val="00341640"/>
    <w:rsid w:val="003424BB"/>
    <w:rsid w:val="00344843"/>
    <w:rsid w:val="0034564A"/>
    <w:rsid w:val="003470C3"/>
    <w:rsid w:val="00350448"/>
    <w:rsid w:val="00351E62"/>
    <w:rsid w:val="003523B1"/>
    <w:rsid w:val="00353A56"/>
    <w:rsid w:val="00354DFD"/>
    <w:rsid w:val="00360DA5"/>
    <w:rsid w:val="003634DE"/>
    <w:rsid w:val="003645F9"/>
    <w:rsid w:val="00365127"/>
    <w:rsid w:val="00366A08"/>
    <w:rsid w:val="00370FA4"/>
    <w:rsid w:val="0037185A"/>
    <w:rsid w:val="003718A9"/>
    <w:rsid w:val="00372275"/>
    <w:rsid w:val="00372DD7"/>
    <w:rsid w:val="003743D5"/>
    <w:rsid w:val="00375182"/>
    <w:rsid w:val="00375F29"/>
    <w:rsid w:val="003765CD"/>
    <w:rsid w:val="00376AFD"/>
    <w:rsid w:val="00376F95"/>
    <w:rsid w:val="0038066B"/>
    <w:rsid w:val="003811C1"/>
    <w:rsid w:val="00384991"/>
    <w:rsid w:val="00384DFC"/>
    <w:rsid w:val="003857CF"/>
    <w:rsid w:val="0038617F"/>
    <w:rsid w:val="00387EEB"/>
    <w:rsid w:val="00390C04"/>
    <w:rsid w:val="0039221B"/>
    <w:rsid w:val="00392397"/>
    <w:rsid w:val="00393A57"/>
    <w:rsid w:val="0039601B"/>
    <w:rsid w:val="00396DA6"/>
    <w:rsid w:val="003A1B89"/>
    <w:rsid w:val="003A1F03"/>
    <w:rsid w:val="003A20EA"/>
    <w:rsid w:val="003A2964"/>
    <w:rsid w:val="003A29E6"/>
    <w:rsid w:val="003A4DBA"/>
    <w:rsid w:val="003A4E0B"/>
    <w:rsid w:val="003A6012"/>
    <w:rsid w:val="003B17C8"/>
    <w:rsid w:val="003B34AF"/>
    <w:rsid w:val="003B36D3"/>
    <w:rsid w:val="003B4312"/>
    <w:rsid w:val="003B4D66"/>
    <w:rsid w:val="003B6DA8"/>
    <w:rsid w:val="003C3A27"/>
    <w:rsid w:val="003C3BB3"/>
    <w:rsid w:val="003C3C7F"/>
    <w:rsid w:val="003C5778"/>
    <w:rsid w:val="003C58C2"/>
    <w:rsid w:val="003C67A8"/>
    <w:rsid w:val="003C6E1D"/>
    <w:rsid w:val="003C727B"/>
    <w:rsid w:val="003C7E8E"/>
    <w:rsid w:val="003D31F5"/>
    <w:rsid w:val="003D4546"/>
    <w:rsid w:val="003E01D0"/>
    <w:rsid w:val="003E1490"/>
    <w:rsid w:val="003E24D5"/>
    <w:rsid w:val="003E2CEE"/>
    <w:rsid w:val="003E534E"/>
    <w:rsid w:val="003E5C73"/>
    <w:rsid w:val="003F02CA"/>
    <w:rsid w:val="003F04BD"/>
    <w:rsid w:val="003F06B4"/>
    <w:rsid w:val="003F1A87"/>
    <w:rsid w:val="003F2BB1"/>
    <w:rsid w:val="003F37B2"/>
    <w:rsid w:val="003F44BE"/>
    <w:rsid w:val="003F692E"/>
    <w:rsid w:val="003F6BCB"/>
    <w:rsid w:val="003F6F43"/>
    <w:rsid w:val="004008A6"/>
    <w:rsid w:val="004017AA"/>
    <w:rsid w:val="00401AFB"/>
    <w:rsid w:val="00402055"/>
    <w:rsid w:val="00403C65"/>
    <w:rsid w:val="00404153"/>
    <w:rsid w:val="004055A6"/>
    <w:rsid w:val="0040597A"/>
    <w:rsid w:val="00406097"/>
    <w:rsid w:val="004066E5"/>
    <w:rsid w:val="004074B3"/>
    <w:rsid w:val="0041164A"/>
    <w:rsid w:val="0041344A"/>
    <w:rsid w:val="004135DB"/>
    <w:rsid w:val="00414605"/>
    <w:rsid w:val="00415879"/>
    <w:rsid w:val="00415F85"/>
    <w:rsid w:val="00416477"/>
    <w:rsid w:val="004172FA"/>
    <w:rsid w:val="004177FA"/>
    <w:rsid w:val="004206F9"/>
    <w:rsid w:val="0042175C"/>
    <w:rsid w:val="00423CFB"/>
    <w:rsid w:val="00424468"/>
    <w:rsid w:val="00424716"/>
    <w:rsid w:val="00430B64"/>
    <w:rsid w:val="00435821"/>
    <w:rsid w:val="00437C28"/>
    <w:rsid w:val="004400DD"/>
    <w:rsid w:val="00440104"/>
    <w:rsid w:val="00442F6D"/>
    <w:rsid w:val="004436BE"/>
    <w:rsid w:val="00443F0A"/>
    <w:rsid w:val="00444B41"/>
    <w:rsid w:val="00444F64"/>
    <w:rsid w:val="004455E0"/>
    <w:rsid w:val="00445EC2"/>
    <w:rsid w:val="00450B0B"/>
    <w:rsid w:val="004542C8"/>
    <w:rsid w:val="00454E4E"/>
    <w:rsid w:val="004575B7"/>
    <w:rsid w:val="004578F1"/>
    <w:rsid w:val="00460F9B"/>
    <w:rsid w:val="00460FEE"/>
    <w:rsid w:val="00463413"/>
    <w:rsid w:val="00463C5A"/>
    <w:rsid w:val="00464C3C"/>
    <w:rsid w:val="00466C3A"/>
    <w:rsid w:val="00466E56"/>
    <w:rsid w:val="00467698"/>
    <w:rsid w:val="004679F8"/>
    <w:rsid w:val="00470F16"/>
    <w:rsid w:val="00471DED"/>
    <w:rsid w:val="00472310"/>
    <w:rsid w:val="00472538"/>
    <w:rsid w:val="00474F0C"/>
    <w:rsid w:val="00475E51"/>
    <w:rsid w:val="004804C9"/>
    <w:rsid w:val="00480702"/>
    <w:rsid w:val="004809FA"/>
    <w:rsid w:val="00480B8C"/>
    <w:rsid w:val="004838EF"/>
    <w:rsid w:val="0048635B"/>
    <w:rsid w:val="00486609"/>
    <w:rsid w:val="00486665"/>
    <w:rsid w:val="00486BFE"/>
    <w:rsid w:val="00486FFA"/>
    <w:rsid w:val="00487F9D"/>
    <w:rsid w:val="00491A6F"/>
    <w:rsid w:val="004922CE"/>
    <w:rsid w:val="004944E2"/>
    <w:rsid w:val="00497899"/>
    <w:rsid w:val="004A0606"/>
    <w:rsid w:val="004A0677"/>
    <w:rsid w:val="004A06B6"/>
    <w:rsid w:val="004A1314"/>
    <w:rsid w:val="004A13E6"/>
    <w:rsid w:val="004A1435"/>
    <w:rsid w:val="004A5C4B"/>
    <w:rsid w:val="004A6809"/>
    <w:rsid w:val="004A6A0F"/>
    <w:rsid w:val="004A6A6D"/>
    <w:rsid w:val="004A79B1"/>
    <w:rsid w:val="004A79E6"/>
    <w:rsid w:val="004A7DD7"/>
    <w:rsid w:val="004A7EA1"/>
    <w:rsid w:val="004B1EDD"/>
    <w:rsid w:val="004B1FC2"/>
    <w:rsid w:val="004B1FFD"/>
    <w:rsid w:val="004B2D10"/>
    <w:rsid w:val="004B2E82"/>
    <w:rsid w:val="004B3288"/>
    <w:rsid w:val="004B3517"/>
    <w:rsid w:val="004B39C7"/>
    <w:rsid w:val="004B5A64"/>
    <w:rsid w:val="004B5A93"/>
    <w:rsid w:val="004B63E5"/>
    <w:rsid w:val="004B6CDB"/>
    <w:rsid w:val="004B71AE"/>
    <w:rsid w:val="004B78D4"/>
    <w:rsid w:val="004B7CF7"/>
    <w:rsid w:val="004C03B3"/>
    <w:rsid w:val="004C103D"/>
    <w:rsid w:val="004C1F44"/>
    <w:rsid w:val="004C2511"/>
    <w:rsid w:val="004C3507"/>
    <w:rsid w:val="004C4053"/>
    <w:rsid w:val="004C4560"/>
    <w:rsid w:val="004C53AB"/>
    <w:rsid w:val="004C6863"/>
    <w:rsid w:val="004D0181"/>
    <w:rsid w:val="004D1B7D"/>
    <w:rsid w:val="004D3E55"/>
    <w:rsid w:val="004D5E6B"/>
    <w:rsid w:val="004E0B1A"/>
    <w:rsid w:val="004E1522"/>
    <w:rsid w:val="004E1930"/>
    <w:rsid w:val="004E4856"/>
    <w:rsid w:val="004E5467"/>
    <w:rsid w:val="004E561B"/>
    <w:rsid w:val="004E5991"/>
    <w:rsid w:val="004E5E50"/>
    <w:rsid w:val="004E748C"/>
    <w:rsid w:val="004E7756"/>
    <w:rsid w:val="004E78FE"/>
    <w:rsid w:val="004F3568"/>
    <w:rsid w:val="004F389B"/>
    <w:rsid w:val="004F38F5"/>
    <w:rsid w:val="004F4F0F"/>
    <w:rsid w:val="004F6AA2"/>
    <w:rsid w:val="004F7089"/>
    <w:rsid w:val="004F7C19"/>
    <w:rsid w:val="00500C98"/>
    <w:rsid w:val="00501E97"/>
    <w:rsid w:val="0050306B"/>
    <w:rsid w:val="00504B03"/>
    <w:rsid w:val="0050664E"/>
    <w:rsid w:val="00506DE3"/>
    <w:rsid w:val="00507A1F"/>
    <w:rsid w:val="00512077"/>
    <w:rsid w:val="00513347"/>
    <w:rsid w:val="00514506"/>
    <w:rsid w:val="005154FF"/>
    <w:rsid w:val="005209CF"/>
    <w:rsid w:val="00521416"/>
    <w:rsid w:val="00521BE8"/>
    <w:rsid w:val="00524D5D"/>
    <w:rsid w:val="00525368"/>
    <w:rsid w:val="00525C8B"/>
    <w:rsid w:val="005269E7"/>
    <w:rsid w:val="0053212E"/>
    <w:rsid w:val="00532206"/>
    <w:rsid w:val="00536B17"/>
    <w:rsid w:val="00536BE9"/>
    <w:rsid w:val="00536C68"/>
    <w:rsid w:val="00537536"/>
    <w:rsid w:val="00537754"/>
    <w:rsid w:val="00540BA9"/>
    <w:rsid w:val="00542A6A"/>
    <w:rsid w:val="0054444B"/>
    <w:rsid w:val="00545900"/>
    <w:rsid w:val="00545955"/>
    <w:rsid w:val="005468EA"/>
    <w:rsid w:val="00550653"/>
    <w:rsid w:val="00551872"/>
    <w:rsid w:val="00554484"/>
    <w:rsid w:val="00554C37"/>
    <w:rsid w:val="00554C49"/>
    <w:rsid w:val="00555695"/>
    <w:rsid w:val="00556E96"/>
    <w:rsid w:val="00560432"/>
    <w:rsid w:val="00561146"/>
    <w:rsid w:val="00561D22"/>
    <w:rsid w:val="0056334E"/>
    <w:rsid w:val="005633CF"/>
    <w:rsid w:val="0056366C"/>
    <w:rsid w:val="00563896"/>
    <w:rsid w:val="005724C5"/>
    <w:rsid w:val="00572F8D"/>
    <w:rsid w:val="00573F9D"/>
    <w:rsid w:val="005742F8"/>
    <w:rsid w:val="00574D54"/>
    <w:rsid w:val="00575B20"/>
    <w:rsid w:val="00577D8A"/>
    <w:rsid w:val="00577F64"/>
    <w:rsid w:val="00582012"/>
    <w:rsid w:val="005832EA"/>
    <w:rsid w:val="00584300"/>
    <w:rsid w:val="0058481C"/>
    <w:rsid w:val="00585624"/>
    <w:rsid w:val="00585671"/>
    <w:rsid w:val="005864CE"/>
    <w:rsid w:val="00587104"/>
    <w:rsid w:val="00591618"/>
    <w:rsid w:val="00597174"/>
    <w:rsid w:val="00597C16"/>
    <w:rsid w:val="00597E5F"/>
    <w:rsid w:val="005A04D3"/>
    <w:rsid w:val="005A26E2"/>
    <w:rsid w:val="005A28B3"/>
    <w:rsid w:val="005A2AF6"/>
    <w:rsid w:val="005A2E53"/>
    <w:rsid w:val="005A38D9"/>
    <w:rsid w:val="005A585E"/>
    <w:rsid w:val="005A60AA"/>
    <w:rsid w:val="005B0BA6"/>
    <w:rsid w:val="005B1381"/>
    <w:rsid w:val="005B1998"/>
    <w:rsid w:val="005B4055"/>
    <w:rsid w:val="005B4300"/>
    <w:rsid w:val="005B6625"/>
    <w:rsid w:val="005B6B29"/>
    <w:rsid w:val="005C0916"/>
    <w:rsid w:val="005C1EBC"/>
    <w:rsid w:val="005C2CC1"/>
    <w:rsid w:val="005C4418"/>
    <w:rsid w:val="005C45EC"/>
    <w:rsid w:val="005C6875"/>
    <w:rsid w:val="005D4532"/>
    <w:rsid w:val="005D4ED3"/>
    <w:rsid w:val="005D4FEB"/>
    <w:rsid w:val="005D51B6"/>
    <w:rsid w:val="005D593E"/>
    <w:rsid w:val="005D5A7A"/>
    <w:rsid w:val="005D644A"/>
    <w:rsid w:val="005E08B3"/>
    <w:rsid w:val="005E132F"/>
    <w:rsid w:val="005E1DD3"/>
    <w:rsid w:val="005E2668"/>
    <w:rsid w:val="005E4471"/>
    <w:rsid w:val="005E4602"/>
    <w:rsid w:val="005E53C5"/>
    <w:rsid w:val="005E5478"/>
    <w:rsid w:val="005E58AC"/>
    <w:rsid w:val="005E7D70"/>
    <w:rsid w:val="005F0BD6"/>
    <w:rsid w:val="005F2959"/>
    <w:rsid w:val="005F2F29"/>
    <w:rsid w:val="005F3695"/>
    <w:rsid w:val="005F6D24"/>
    <w:rsid w:val="005F745A"/>
    <w:rsid w:val="005F75D0"/>
    <w:rsid w:val="005F7ABF"/>
    <w:rsid w:val="005F7B4D"/>
    <w:rsid w:val="00600138"/>
    <w:rsid w:val="00600856"/>
    <w:rsid w:val="00600B23"/>
    <w:rsid w:val="00602147"/>
    <w:rsid w:val="006024B7"/>
    <w:rsid w:val="00602708"/>
    <w:rsid w:val="00603965"/>
    <w:rsid w:val="0060553B"/>
    <w:rsid w:val="00606548"/>
    <w:rsid w:val="00612505"/>
    <w:rsid w:val="006157CD"/>
    <w:rsid w:val="00615AEB"/>
    <w:rsid w:val="00616279"/>
    <w:rsid w:val="006173F8"/>
    <w:rsid w:val="00622B0F"/>
    <w:rsid w:val="006233DA"/>
    <w:rsid w:val="00623E7C"/>
    <w:rsid w:val="0062402F"/>
    <w:rsid w:val="00624C9F"/>
    <w:rsid w:val="00624FF3"/>
    <w:rsid w:val="00625D15"/>
    <w:rsid w:val="00626641"/>
    <w:rsid w:val="006266E7"/>
    <w:rsid w:val="00626BF3"/>
    <w:rsid w:val="006275D2"/>
    <w:rsid w:val="00632484"/>
    <w:rsid w:val="00634EA2"/>
    <w:rsid w:val="00637152"/>
    <w:rsid w:val="00637263"/>
    <w:rsid w:val="0063762D"/>
    <w:rsid w:val="00637657"/>
    <w:rsid w:val="00641029"/>
    <w:rsid w:val="00641BF4"/>
    <w:rsid w:val="00643E3D"/>
    <w:rsid w:val="00646D38"/>
    <w:rsid w:val="006506A9"/>
    <w:rsid w:val="006512D3"/>
    <w:rsid w:val="006516A7"/>
    <w:rsid w:val="00652144"/>
    <w:rsid w:val="00652C2E"/>
    <w:rsid w:val="00652DC3"/>
    <w:rsid w:val="00652ED8"/>
    <w:rsid w:val="00654138"/>
    <w:rsid w:val="0065751E"/>
    <w:rsid w:val="006607BD"/>
    <w:rsid w:val="006615A4"/>
    <w:rsid w:val="00661B40"/>
    <w:rsid w:val="00671194"/>
    <w:rsid w:val="0067181C"/>
    <w:rsid w:val="0067304A"/>
    <w:rsid w:val="0067393C"/>
    <w:rsid w:val="00673986"/>
    <w:rsid w:val="00674710"/>
    <w:rsid w:val="00675A0E"/>
    <w:rsid w:val="006832AA"/>
    <w:rsid w:val="00683857"/>
    <w:rsid w:val="006839FD"/>
    <w:rsid w:val="00683B07"/>
    <w:rsid w:val="00684315"/>
    <w:rsid w:val="00684B0F"/>
    <w:rsid w:val="00685190"/>
    <w:rsid w:val="00685EC4"/>
    <w:rsid w:val="006873C3"/>
    <w:rsid w:val="006907EA"/>
    <w:rsid w:val="00690EFF"/>
    <w:rsid w:val="006919C9"/>
    <w:rsid w:val="00692D26"/>
    <w:rsid w:val="00692EE8"/>
    <w:rsid w:val="006940C6"/>
    <w:rsid w:val="00694BD2"/>
    <w:rsid w:val="00695125"/>
    <w:rsid w:val="006953BB"/>
    <w:rsid w:val="006975AE"/>
    <w:rsid w:val="006A0040"/>
    <w:rsid w:val="006A133F"/>
    <w:rsid w:val="006A2ACA"/>
    <w:rsid w:val="006A30BB"/>
    <w:rsid w:val="006A3280"/>
    <w:rsid w:val="006A4FC7"/>
    <w:rsid w:val="006A6DF9"/>
    <w:rsid w:val="006A736D"/>
    <w:rsid w:val="006A7BDF"/>
    <w:rsid w:val="006B00DF"/>
    <w:rsid w:val="006B14DC"/>
    <w:rsid w:val="006B2B76"/>
    <w:rsid w:val="006B46C1"/>
    <w:rsid w:val="006B5FE8"/>
    <w:rsid w:val="006B7087"/>
    <w:rsid w:val="006C00AA"/>
    <w:rsid w:val="006C01EC"/>
    <w:rsid w:val="006C0F22"/>
    <w:rsid w:val="006C132A"/>
    <w:rsid w:val="006C2156"/>
    <w:rsid w:val="006C2CD9"/>
    <w:rsid w:val="006C2ECE"/>
    <w:rsid w:val="006C36F8"/>
    <w:rsid w:val="006C3B5E"/>
    <w:rsid w:val="006C4FC2"/>
    <w:rsid w:val="006C517E"/>
    <w:rsid w:val="006C5372"/>
    <w:rsid w:val="006C5A0B"/>
    <w:rsid w:val="006D151E"/>
    <w:rsid w:val="006D3100"/>
    <w:rsid w:val="006D5A4B"/>
    <w:rsid w:val="006D5B8C"/>
    <w:rsid w:val="006D670A"/>
    <w:rsid w:val="006D7BED"/>
    <w:rsid w:val="006E050E"/>
    <w:rsid w:val="006E2D95"/>
    <w:rsid w:val="006E388D"/>
    <w:rsid w:val="006F331A"/>
    <w:rsid w:val="006F4C13"/>
    <w:rsid w:val="006F6ED4"/>
    <w:rsid w:val="006F7135"/>
    <w:rsid w:val="006F7A80"/>
    <w:rsid w:val="00701EB8"/>
    <w:rsid w:val="007021B0"/>
    <w:rsid w:val="007022A2"/>
    <w:rsid w:val="007031E4"/>
    <w:rsid w:val="00703A86"/>
    <w:rsid w:val="00706C01"/>
    <w:rsid w:val="00710D08"/>
    <w:rsid w:val="00710F51"/>
    <w:rsid w:val="0071497A"/>
    <w:rsid w:val="00716098"/>
    <w:rsid w:val="0071653F"/>
    <w:rsid w:val="00717836"/>
    <w:rsid w:val="00717B03"/>
    <w:rsid w:val="00721A55"/>
    <w:rsid w:val="00723D3F"/>
    <w:rsid w:val="00723E8A"/>
    <w:rsid w:val="00724493"/>
    <w:rsid w:val="00724A55"/>
    <w:rsid w:val="00725210"/>
    <w:rsid w:val="00725391"/>
    <w:rsid w:val="00725EBF"/>
    <w:rsid w:val="007267FB"/>
    <w:rsid w:val="007300CD"/>
    <w:rsid w:val="0073077F"/>
    <w:rsid w:val="00730D2E"/>
    <w:rsid w:val="00731E65"/>
    <w:rsid w:val="00732806"/>
    <w:rsid w:val="00732E5E"/>
    <w:rsid w:val="00733076"/>
    <w:rsid w:val="007341DA"/>
    <w:rsid w:val="007355A0"/>
    <w:rsid w:val="00736F78"/>
    <w:rsid w:val="0074103C"/>
    <w:rsid w:val="00742D0F"/>
    <w:rsid w:val="00745A35"/>
    <w:rsid w:val="00746965"/>
    <w:rsid w:val="007475CB"/>
    <w:rsid w:val="0075234A"/>
    <w:rsid w:val="00753A33"/>
    <w:rsid w:val="00753E70"/>
    <w:rsid w:val="0075687F"/>
    <w:rsid w:val="007574FC"/>
    <w:rsid w:val="007618E6"/>
    <w:rsid w:val="007629C5"/>
    <w:rsid w:val="00767F12"/>
    <w:rsid w:val="00770F53"/>
    <w:rsid w:val="007719B5"/>
    <w:rsid w:val="0077206F"/>
    <w:rsid w:val="00772CE6"/>
    <w:rsid w:val="0077362E"/>
    <w:rsid w:val="00773743"/>
    <w:rsid w:val="00775C3F"/>
    <w:rsid w:val="00776CB4"/>
    <w:rsid w:val="00780E54"/>
    <w:rsid w:val="00783A19"/>
    <w:rsid w:val="00784D71"/>
    <w:rsid w:val="00786DE0"/>
    <w:rsid w:val="00792CBB"/>
    <w:rsid w:val="0079373F"/>
    <w:rsid w:val="0079438F"/>
    <w:rsid w:val="00794FD5"/>
    <w:rsid w:val="00795507"/>
    <w:rsid w:val="007A14DE"/>
    <w:rsid w:val="007A2B4E"/>
    <w:rsid w:val="007A537A"/>
    <w:rsid w:val="007A55D6"/>
    <w:rsid w:val="007A68FC"/>
    <w:rsid w:val="007A6C71"/>
    <w:rsid w:val="007A702C"/>
    <w:rsid w:val="007A7401"/>
    <w:rsid w:val="007B1755"/>
    <w:rsid w:val="007B176A"/>
    <w:rsid w:val="007B20A9"/>
    <w:rsid w:val="007B21B6"/>
    <w:rsid w:val="007B22D4"/>
    <w:rsid w:val="007B284B"/>
    <w:rsid w:val="007B4D2A"/>
    <w:rsid w:val="007B5FCB"/>
    <w:rsid w:val="007B628A"/>
    <w:rsid w:val="007B7330"/>
    <w:rsid w:val="007B7338"/>
    <w:rsid w:val="007B7D5B"/>
    <w:rsid w:val="007C2B4E"/>
    <w:rsid w:val="007C3E6E"/>
    <w:rsid w:val="007C4652"/>
    <w:rsid w:val="007C4C71"/>
    <w:rsid w:val="007C54FC"/>
    <w:rsid w:val="007C7837"/>
    <w:rsid w:val="007C7DFF"/>
    <w:rsid w:val="007D065F"/>
    <w:rsid w:val="007D388B"/>
    <w:rsid w:val="007D4B9E"/>
    <w:rsid w:val="007D4D31"/>
    <w:rsid w:val="007D5DB1"/>
    <w:rsid w:val="007D6315"/>
    <w:rsid w:val="007D73AE"/>
    <w:rsid w:val="007E0AF4"/>
    <w:rsid w:val="007E0BC0"/>
    <w:rsid w:val="007E1306"/>
    <w:rsid w:val="007E257A"/>
    <w:rsid w:val="007E3577"/>
    <w:rsid w:val="007E37B7"/>
    <w:rsid w:val="007E38D2"/>
    <w:rsid w:val="007E3BC0"/>
    <w:rsid w:val="007E4ECA"/>
    <w:rsid w:val="007E574A"/>
    <w:rsid w:val="007F05D7"/>
    <w:rsid w:val="007F247D"/>
    <w:rsid w:val="007F296D"/>
    <w:rsid w:val="007F4044"/>
    <w:rsid w:val="008011C5"/>
    <w:rsid w:val="008017AA"/>
    <w:rsid w:val="00801A57"/>
    <w:rsid w:val="00803B31"/>
    <w:rsid w:val="00804784"/>
    <w:rsid w:val="008047DD"/>
    <w:rsid w:val="0080593E"/>
    <w:rsid w:val="00810783"/>
    <w:rsid w:val="00810E66"/>
    <w:rsid w:val="00811B1A"/>
    <w:rsid w:val="00816E75"/>
    <w:rsid w:val="0081725E"/>
    <w:rsid w:val="0082032B"/>
    <w:rsid w:val="0082089A"/>
    <w:rsid w:val="00823F0D"/>
    <w:rsid w:val="00824211"/>
    <w:rsid w:val="00826190"/>
    <w:rsid w:val="00826915"/>
    <w:rsid w:val="00826FBD"/>
    <w:rsid w:val="008336A1"/>
    <w:rsid w:val="0083407F"/>
    <w:rsid w:val="00835062"/>
    <w:rsid w:val="008350AB"/>
    <w:rsid w:val="0083566B"/>
    <w:rsid w:val="00835D4C"/>
    <w:rsid w:val="00841263"/>
    <w:rsid w:val="00842004"/>
    <w:rsid w:val="00842651"/>
    <w:rsid w:val="00842EDD"/>
    <w:rsid w:val="0084433B"/>
    <w:rsid w:val="00846F57"/>
    <w:rsid w:val="008475CF"/>
    <w:rsid w:val="008475D5"/>
    <w:rsid w:val="00847726"/>
    <w:rsid w:val="008512CC"/>
    <w:rsid w:val="00852E08"/>
    <w:rsid w:val="00854C27"/>
    <w:rsid w:val="00854C98"/>
    <w:rsid w:val="00854F66"/>
    <w:rsid w:val="00854FDB"/>
    <w:rsid w:val="008552E9"/>
    <w:rsid w:val="008566EE"/>
    <w:rsid w:val="00860CF2"/>
    <w:rsid w:val="00863F0D"/>
    <w:rsid w:val="00866064"/>
    <w:rsid w:val="0086653C"/>
    <w:rsid w:val="0087047B"/>
    <w:rsid w:val="00870DB6"/>
    <w:rsid w:val="00871349"/>
    <w:rsid w:val="00871B56"/>
    <w:rsid w:val="0087281A"/>
    <w:rsid w:val="00872CC9"/>
    <w:rsid w:val="00875A45"/>
    <w:rsid w:val="00875BE8"/>
    <w:rsid w:val="00877E49"/>
    <w:rsid w:val="0088109D"/>
    <w:rsid w:val="00881F51"/>
    <w:rsid w:val="00883B18"/>
    <w:rsid w:val="00884297"/>
    <w:rsid w:val="0088537E"/>
    <w:rsid w:val="00885DB9"/>
    <w:rsid w:val="008879FC"/>
    <w:rsid w:val="00887C5A"/>
    <w:rsid w:val="008910E9"/>
    <w:rsid w:val="00894679"/>
    <w:rsid w:val="00894720"/>
    <w:rsid w:val="0089543B"/>
    <w:rsid w:val="00896AD1"/>
    <w:rsid w:val="008A0848"/>
    <w:rsid w:val="008A1440"/>
    <w:rsid w:val="008A244E"/>
    <w:rsid w:val="008A321A"/>
    <w:rsid w:val="008A56CC"/>
    <w:rsid w:val="008A5B10"/>
    <w:rsid w:val="008A65AA"/>
    <w:rsid w:val="008A6AF6"/>
    <w:rsid w:val="008A7026"/>
    <w:rsid w:val="008B1C17"/>
    <w:rsid w:val="008B2940"/>
    <w:rsid w:val="008B465D"/>
    <w:rsid w:val="008B4FC3"/>
    <w:rsid w:val="008B6804"/>
    <w:rsid w:val="008B7AB2"/>
    <w:rsid w:val="008C0359"/>
    <w:rsid w:val="008C100F"/>
    <w:rsid w:val="008C16FC"/>
    <w:rsid w:val="008C1761"/>
    <w:rsid w:val="008C3800"/>
    <w:rsid w:val="008C3B6C"/>
    <w:rsid w:val="008C4C21"/>
    <w:rsid w:val="008D00B6"/>
    <w:rsid w:val="008D0311"/>
    <w:rsid w:val="008D1536"/>
    <w:rsid w:val="008D179D"/>
    <w:rsid w:val="008D19D8"/>
    <w:rsid w:val="008D23E8"/>
    <w:rsid w:val="008D6648"/>
    <w:rsid w:val="008D6DBF"/>
    <w:rsid w:val="008D7ED5"/>
    <w:rsid w:val="008E1632"/>
    <w:rsid w:val="008E1792"/>
    <w:rsid w:val="008E1AC8"/>
    <w:rsid w:val="008E2CAC"/>
    <w:rsid w:val="008E354A"/>
    <w:rsid w:val="008E3915"/>
    <w:rsid w:val="008E4FB2"/>
    <w:rsid w:val="008E5915"/>
    <w:rsid w:val="008E5A70"/>
    <w:rsid w:val="008E76CC"/>
    <w:rsid w:val="008F1A6F"/>
    <w:rsid w:val="008F1DF2"/>
    <w:rsid w:val="008F23D9"/>
    <w:rsid w:val="008F27B7"/>
    <w:rsid w:val="008F41C3"/>
    <w:rsid w:val="008F55DF"/>
    <w:rsid w:val="008F6D92"/>
    <w:rsid w:val="008F72BA"/>
    <w:rsid w:val="008F7334"/>
    <w:rsid w:val="008F7F2F"/>
    <w:rsid w:val="00901B9E"/>
    <w:rsid w:val="00902654"/>
    <w:rsid w:val="00902B54"/>
    <w:rsid w:val="00902C23"/>
    <w:rsid w:val="00903121"/>
    <w:rsid w:val="009037BA"/>
    <w:rsid w:val="009065A7"/>
    <w:rsid w:val="00906B08"/>
    <w:rsid w:val="00906DBC"/>
    <w:rsid w:val="00906E76"/>
    <w:rsid w:val="00907935"/>
    <w:rsid w:val="00907BE9"/>
    <w:rsid w:val="00907D61"/>
    <w:rsid w:val="00910AE4"/>
    <w:rsid w:val="00912D64"/>
    <w:rsid w:val="00914019"/>
    <w:rsid w:val="00914F55"/>
    <w:rsid w:val="0091662A"/>
    <w:rsid w:val="00916C17"/>
    <w:rsid w:val="009170A8"/>
    <w:rsid w:val="00917F36"/>
    <w:rsid w:val="0092174D"/>
    <w:rsid w:val="00923918"/>
    <w:rsid w:val="00923A6D"/>
    <w:rsid w:val="00923CA4"/>
    <w:rsid w:val="00924690"/>
    <w:rsid w:val="00924DF2"/>
    <w:rsid w:val="009258B7"/>
    <w:rsid w:val="0093329A"/>
    <w:rsid w:val="00933952"/>
    <w:rsid w:val="009340F8"/>
    <w:rsid w:val="00934AC7"/>
    <w:rsid w:val="00935624"/>
    <w:rsid w:val="00935636"/>
    <w:rsid w:val="00937022"/>
    <w:rsid w:val="009437E5"/>
    <w:rsid w:val="00943CB4"/>
    <w:rsid w:val="00944858"/>
    <w:rsid w:val="00944F17"/>
    <w:rsid w:val="009455EE"/>
    <w:rsid w:val="009472D3"/>
    <w:rsid w:val="00947E32"/>
    <w:rsid w:val="00950CEA"/>
    <w:rsid w:val="00950D63"/>
    <w:rsid w:val="0095100B"/>
    <w:rsid w:val="0095274D"/>
    <w:rsid w:val="00952FEA"/>
    <w:rsid w:val="00953D9F"/>
    <w:rsid w:val="00956965"/>
    <w:rsid w:val="00957030"/>
    <w:rsid w:val="009607A2"/>
    <w:rsid w:val="00960FA8"/>
    <w:rsid w:val="00963C50"/>
    <w:rsid w:val="00964214"/>
    <w:rsid w:val="00965482"/>
    <w:rsid w:val="0096583B"/>
    <w:rsid w:val="00967554"/>
    <w:rsid w:val="00967DFC"/>
    <w:rsid w:val="00967FEC"/>
    <w:rsid w:val="00971512"/>
    <w:rsid w:val="009715E8"/>
    <w:rsid w:val="00972430"/>
    <w:rsid w:val="009728D4"/>
    <w:rsid w:val="0097391B"/>
    <w:rsid w:val="00974EF3"/>
    <w:rsid w:val="009755FF"/>
    <w:rsid w:val="00981E6C"/>
    <w:rsid w:val="00982B7C"/>
    <w:rsid w:val="0098653A"/>
    <w:rsid w:val="00990E84"/>
    <w:rsid w:val="00991C2F"/>
    <w:rsid w:val="009933FD"/>
    <w:rsid w:val="00993877"/>
    <w:rsid w:val="00996DE7"/>
    <w:rsid w:val="00997B91"/>
    <w:rsid w:val="00997EFA"/>
    <w:rsid w:val="009A1C6E"/>
    <w:rsid w:val="009A3105"/>
    <w:rsid w:val="009A404A"/>
    <w:rsid w:val="009A41C5"/>
    <w:rsid w:val="009A4ED4"/>
    <w:rsid w:val="009A5202"/>
    <w:rsid w:val="009A5C07"/>
    <w:rsid w:val="009A5EC9"/>
    <w:rsid w:val="009A5EEF"/>
    <w:rsid w:val="009A6450"/>
    <w:rsid w:val="009A671E"/>
    <w:rsid w:val="009A7024"/>
    <w:rsid w:val="009A7979"/>
    <w:rsid w:val="009B16DF"/>
    <w:rsid w:val="009B3884"/>
    <w:rsid w:val="009B3E5C"/>
    <w:rsid w:val="009B3ECF"/>
    <w:rsid w:val="009B60A9"/>
    <w:rsid w:val="009C1388"/>
    <w:rsid w:val="009C1961"/>
    <w:rsid w:val="009C353C"/>
    <w:rsid w:val="009C3E20"/>
    <w:rsid w:val="009C5D04"/>
    <w:rsid w:val="009C6086"/>
    <w:rsid w:val="009C766F"/>
    <w:rsid w:val="009D0DA4"/>
    <w:rsid w:val="009D2131"/>
    <w:rsid w:val="009D32DA"/>
    <w:rsid w:val="009D34B8"/>
    <w:rsid w:val="009D655B"/>
    <w:rsid w:val="009D7A07"/>
    <w:rsid w:val="009D7DD7"/>
    <w:rsid w:val="009E149F"/>
    <w:rsid w:val="009E21FC"/>
    <w:rsid w:val="009E2961"/>
    <w:rsid w:val="009E2BC9"/>
    <w:rsid w:val="009E494B"/>
    <w:rsid w:val="009E65FE"/>
    <w:rsid w:val="009F013D"/>
    <w:rsid w:val="009F04ED"/>
    <w:rsid w:val="009F0989"/>
    <w:rsid w:val="009F163A"/>
    <w:rsid w:val="009F4DFE"/>
    <w:rsid w:val="009F528E"/>
    <w:rsid w:val="009F7A34"/>
    <w:rsid w:val="009F7F21"/>
    <w:rsid w:val="00A023AE"/>
    <w:rsid w:val="00A04BDF"/>
    <w:rsid w:val="00A05AF1"/>
    <w:rsid w:val="00A0751D"/>
    <w:rsid w:val="00A07CF5"/>
    <w:rsid w:val="00A10C38"/>
    <w:rsid w:val="00A1238D"/>
    <w:rsid w:val="00A12972"/>
    <w:rsid w:val="00A12D40"/>
    <w:rsid w:val="00A12FD8"/>
    <w:rsid w:val="00A155E7"/>
    <w:rsid w:val="00A16D5B"/>
    <w:rsid w:val="00A17125"/>
    <w:rsid w:val="00A204B6"/>
    <w:rsid w:val="00A20690"/>
    <w:rsid w:val="00A2111F"/>
    <w:rsid w:val="00A2250B"/>
    <w:rsid w:val="00A2287B"/>
    <w:rsid w:val="00A2339B"/>
    <w:rsid w:val="00A2389C"/>
    <w:rsid w:val="00A23A60"/>
    <w:rsid w:val="00A25C69"/>
    <w:rsid w:val="00A2611C"/>
    <w:rsid w:val="00A267B2"/>
    <w:rsid w:val="00A26A2D"/>
    <w:rsid w:val="00A26D57"/>
    <w:rsid w:val="00A271CB"/>
    <w:rsid w:val="00A2721A"/>
    <w:rsid w:val="00A317BD"/>
    <w:rsid w:val="00A327E4"/>
    <w:rsid w:val="00A32B70"/>
    <w:rsid w:val="00A32CF7"/>
    <w:rsid w:val="00A34539"/>
    <w:rsid w:val="00A34BC8"/>
    <w:rsid w:val="00A353D3"/>
    <w:rsid w:val="00A35D89"/>
    <w:rsid w:val="00A4354A"/>
    <w:rsid w:val="00A44538"/>
    <w:rsid w:val="00A46943"/>
    <w:rsid w:val="00A471D6"/>
    <w:rsid w:val="00A474ED"/>
    <w:rsid w:val="00A50684"/>
    <w:rsid w:val="00A509B6"/>
    <w:rsid w:val="00A50C02"/>
    <w:rsid w:val="00A5139C"/>
    <w:rsid w:val="00A53687"/>
    <w:rsid w:val="00A551F0"/>
    <w:rsid w:val="00A605B8"/>
    <w:rsid w:val="00A617D5"/>
    <w:rsid w:val="00A62548"/>
    <w:rsid w:val="00A667FB"/>
    <w:rsid w:val="00A66EEC"/>
    <w:rsid w:val="00A671FF"/>
    <w:rsid w:val="00A70191"/>
    <w:rsid w:val="00A71EA8"/>
    <w:rsid w:val="00A7437B"/>
    <w:rsid w:val="00A75358"/>
    <w:rsid w:val="00A767C1"/>
    <w:rsid w:val="00A76D37"/>
    <w:rsid w:val="00A77850"/>
    <w:rsid w:val="00A77B27"/>
    <w:rsid w:val="00A816F8"/>
    <w:rsid w:val="00A8178A"/>
    <w:rsid w:val="00A8517E"/>
    <w:rsid w:val="00A8736C"/>
    <w:rsid w:val="00A90C5F"/>
    <w:rsid w:val="00A92988"/>
    <w:rsid w:val="00A94070"/>
    <w:rsid w:val="00A94E49"/>
    <w:rsid w:val="00A96DD9"/>
    <w:rsid w:val="00A97023"/>
    <w:rsid w:val="00A97FEB"/>
    <w:rsid w:val="00AA0C18"/>
    <w:rsid w:val="00AA1043"/>
    <w:rsid w:val="00AA12E5"/>
    <w:rsid w:val="00AA1C0D"/>
    <w:rsid w:val="00AA264F"/>
    <w:rsid w:val="00AA60C9"/>
    <w:rsid w:val="00AA68BC"/>
    <w:rsid w:val="00AA74A0"/>
    <w:rsid w:val="00AA7829"/>
    <w:rsid w:val="00AA7DBF"/>
    <w:rsid w:val="00AB1CD5"/>
    <w:rsid w:val="00AB248C"/>
    <w:rsid w:val="00AB2AAF"/>
    <w:rsid w:val="00AB2E23"/>
    <w:rsid w:val="00AB2F74"/>
    <w:rsid w:val="00AB3F3F"/>
    <w:rsid w:val="00AB5002"/>
    <w:rsid w:val="00AB5274"/>
    <w:rsid w:val="00AB52B9"/>
    <w:rsid w:val="00AB5599"/>
    <w:rsid w:val="00AB7C24"/>
    <w:rsid w:val="00AB7D8F"/>
    <w:rsid w:val="00AC0010"/>
    <w:rsid w:val="00AC01A0"/>
    <w:rsid w:val="00AC2960"/>
    <w:rsid w:val="00AC3CB1"/>
    <w:rsid w:val="00AC68AE"/>
    <w:rsid w:val="00AC7C7E"/>
    <w:rsid w:val="00AD1099"/>
    <w:rsid w:val="00AD1EAF"/>
    <w:rsid w:val="00AD225C"/>
    <w:rsid w:val="00AD2ACA"/>
    <w:rsid w:val="00AD3AD2"/>
    <w:rsid w:val="00AD7C19"/>
    <w:rsid w:val="00AE0AFE"/>
    <w:rsid w:val="00AE3055"/>
    <w:rsid w:val="00AE34BD"/>
    <w:rsid w:val="00AE5126"/>
    <w:rsid w:val="00AE52D6"/>
    <w:rsid w:val="00AE5532"/>
    <w:rsid w:val="00AE73E4"/>
    <w:rsid w:val="00AE7D25"/>
    <w:rsid w:val="00AF17E9"/>
    <w:rsid w:val="00AF19CC"/>
    <w:rsid w:val="00AF22D8"/>
    <w:rsid w:val="00AF2816"/>
    <w:rsid w:val="00AF3027"/>
    <w:rsid w:val="00AF36AE"/>
    <w:rsid w:val="00AF54E0"/>
    <w:rsid w:val="00AF7EB1"/>
    <w:rsid w:val="00B00813"/>
    <w:rsid w:val="00B01219"/>
    <w:rsid w:val="00B033DB"/>
    <w:rsid w:val="00B04110"/>
    <w:rsid w:val="00B048FE"/>
    <w:rsid w:val="00B05D33"/>
    <w:rsid w:val="00B1484C"/>
    <w:rsid w:val="00B14AEA"/>
    <w:rsid w:val="00B15684"/>
    <w:rsid w:val="00B158F6"/>
    <w:rsid w:val="00B1744C"/>
    <w:rsid w:val="00B20C0F"/>
    <w:rsid w:val="00B2150B"/>
    <w:rsid w:val="00B2215D"/>
    <w:rsid w:val="00B230D7"/>
    <w:rsid w:val="00B25628"/>
    <w:rsid w:val="00B26049"/>
    <w:rsid w:val="00B2639C"/>
    <w:rsid w:val="00B268D2"/>
    <w:rsid w:val="00B2691C"/>
    <w:rsid w:val="00B26ACE"/>
    <w:rsid w:val="00B3070F"/>
    <w:rsid w:val="00B30BE0"/>
    <w:rsid w:val="00B322E6"/>
    <w:rsid w:val="00B3308A"/>
    <w:rsid w:val="00B359E1"/>
    <w:rsid w:val="00B36273"/>
    <w:rsid w:val="00B3640D"/>
    <w:rsid w:val="00B373C1"/>
    <w:rsid w:val="00B37912"/>
    <w:rsid w:val="00B4067D"/>
    <w:rsid w:val="00B41A50"/>
    <w:rsid w:val="00B41E38"/>
    <w:rsid w:val="00B42CD5"/>
    <w:rsid w:val="00B434FC"/>
    <w:rsid w:val="00B462DE"/>
    <w:rsid w:val="00B46389"/>
    <w:rsid w:val="00B47AA4"/>
    <w:rsid w:val="00B50D14"/>
    <w:rsid w:val="00B535FF"/>
    <w:rsid w:val="00B5607E"/>
    <w:rsid w:val="00B5697F"/>
    <w:rsid w:val="00B60372"/>
    <w:rsid w:val="00B61F5B"/>
    <w:rsid w:val="00B63EFE"/>
    <w:rsid w:val="00B63F2F"/>
    <w:rsid w:val="00B653D4"/>
    <w:rsid w:val="00B672D5"/>
    <w:rsid w:val="00B67920"/>
    <w:rsid w:val="00B7022D"/>
    <w:rsid w:val="00B728A9"/>
    <w:rsid w:val="00B729DA"/>
    <w:rsid w:val="00B73120"/>
    <w:rsid w:val="00B754D0"/>
    <w:rsid w:val="00B75ACD"/>
    <w:rsid w:val="00B77B0E"/>
    <w:rsid w:val="00B77DF4"/>
    <w:rsid w:val="00B809E3"/>
    <w:rsid w:val="00B81800"/>
    <w:rsid w:val="00B81884"/>
    <w:rsid w:val="00B81DEA"/>
    <w:rsid w:val="00B822E7"/>
    <w:rsid w:val="00B84A67"/>
    <w:rsid w:val="00B84C96"/>
    <w:rsid w:val="00B86BF3"/>
    <w:rsid w:val="00B87F57"/>
    <w:rsid w:val="00B9040B"/>
    <w:rsid w:val="00B91728"/>
    <w:rsid w:val="00B9278F"/>
    <w:rsid w:val="00B930E1"/>
    <w:rsid w:val="00B93A6A"/>
    <w:rsid w:val="00B94381"/>
    <w:rsid w:val="00B951F5"/>
    <w:rsid w:val="00BA090B"/>
    <w:rsid w:val="00BA1873"/>
    <w:rsid w:val="00BA1D25"/>
    <w:rsid w:val="00BA2002"/>
    <w:rsid w:val="00BA2056"/>
    <w:rsid w:val="00BA20A5"/>
    <w:rsid w:val="00BA228A"/>
    <w:rsid w:val="00BA2D29"/>
    <w:rsid w:val="00BA3A0B"/>
    <w:rsid w:val="00BA3F19"/>
    <w:rsid w:val="00BA40DB"/>
    <w:rsid w:val="00BA79A5"/>
    <w:rsid w:val="00BB0A3D"/>
    <w:rsid w:val="00BB0ED6"/>
    <w:rsid w:val="00BB20B2"/>
    <w:rsid w:val="00BB2C7E"/>
    <w:rsid w:val="00BB2DC6"/>
    <w:rsid w:val="00BB3D99"/>
    <w:rsid w:val="00BB3E80"/>
    <w:rsid w:val="00BB54FC"/>
    <w:rsid w:val="00BB6968"/>
    <w:rsid w:val="00BB6C71"/>
    <w:rsid w:val="00BB7DB2"/>
    <w:rsid w:val="00BC0969"/>
    <w:rsid w:val="00BC17AC"/>
    <w:rsid w:val="00BC20D4"/>
    <w:rsid w:val="00BC2947"/>
    <w:rsid w:val="00BC2E66"/>
    <w:rsid w:val="00BC2E85"/>
    <w:rsid w:val="00BC6530"/>
    <w:rsid w:val="00BC6861"/>
    <w:rsid w:val="00BD00BD"/>
    <w:rsid w:val="00BD03A5"/>
    <w:rsid w:val="00BD0B1D"/>
    <w:rsid w:val="00BD291C"/>
    <w:rsid w:val="00BD2ABF"/>
    <w:rsid w:val="00BD2FFF"/>
    <w:rsid w:val="00BD54DB"/>
    <w:rsid w:val="00BD64BD"/>
    <w:rsid w:val="00BD73D6"/>
    <w:rsid w:val="00BE17D0"/>
    <w:rsid w:val="00BE26D6"/>
    <w:rsid w:val="00BE2D29"/>
    <w:rsid w:val="00BE737D"/>
    <w:rsid w:val="00BF00F3"/>
    <w:rsid w:val="00BF0732"/>
    <w:rsid w:val="00BF0EC3"/>
    <w:rsid w:val="00BF13CC"/>
    <w:rsid w:val="00BF1F57"/>
    <w:rsid w:val="00BF23A5"/>
    <w:rsid w:val="00BF2B13"/>
    <w:rsid w:val="00BF2FEA"/>
    <w:rsid w:val="00BF3DF2"/>
    <w:rsid w:val="00BF4236"/>
    <w:rsid w:val="00BF57DC"/>
    <w:rsid w:val="00BF5E74"/>
    <w:rsid w:val="00BF65AA"/>
    <w:rsid w:val="00BF731E"/>
    <w:rsid w:val="00BF7C84"/>
    <w:rsid w:val="00C00432"/>
    <w:rsid w:val="00C020E7"/>
    <w:rsid w:val="00C028DB"/>
    <w:rsid w:val="00C02E3A"/>
    <w:rsid w:val="00C042F9"/>
    <w:rsid w:val="00C04B97"/>
    <w:rsid w:val="00C04FEE"/>
    <w:rsid w:val="00C0506F"/>
    <w:rsid w:val="00C0588C"/>
    <w:rsid w:val="00C061E5"/>
    <w:rsid w:val="00C06422"/>
    <w:rsid w:val="00C125E0"/>
    <w:rsid w:val="00C12E84"/>
    <w:rsid w:val="00C1380B"/>
    <w:rsid w:val="00C15606"/>
    <w:rsid w:val="00C158FE"/>
    <w:rsid w:val="00C20ABC"/>
    <w:rsid w:val="00C22058"/>
    <w:rsid w:val="00C23575"/>
    <w:rsid w:val="00C2438C"/>
    <w:rsid w:val="00C24EDE"/>
    <w:rsid w:val="00C26B84"/>
    <w:rsid w:val="00C30307"/>
    <w:rsid w:val="00C30EDD"/>
    <w:rsid w:val="00C3111F"/>
    <w:rsid w:val="00C322A3"/>
    <w:rsid w:val="00C3338A"/>
    <w:rsid w:val="00C33667"/>
    <w:rsid w:val="00C35FF6"/>
    <w:rsid w:val="00C360A6"/>
    <w:rsid w:val="00C37AB8"/>
    <w:rsid w:val="00C37CD4"/>
    <w:rsid w:val="00C413CF"/>
    <w:rsid w:val="00C41480"/>
    <w:rsid w:val="00C4180F"/>
    <w:rsid w:val="00C42802"/>
    <w:rsid w:val="00C43521"/>
    <w:rsid w:val="00C436C2"/>
    <w:rsid w:val="00C43777"/>
    <w:rsid w:val="00C43C17"/>
    <w:rsid w:val="00C43F03"/>
    <w:rsid w:val="00C440C3"/>
    <w:rsid w:val="00C442DB"/>
    <w:rsid w:val="00C44919"/>
    <w:rsid w:val="00C44BCA"/>
    <w:rsid w:val="00C47AFF"/>
    <w:rsid w:val="00C51EE7"/>
    <w:rsid w:val="00C52CBD"/>
    <w:rsid w:val="00C57B74"/>
    <w:rsid w:val="00C618F1"/>
    <w:rsid w:val="00C626DE"/>
    <w:rsid w:val="00C63594"/>
    <w:rsid w:val="00C653F6"/>
    <w:rsid w:val="00C65574"/>
    <w:rsid w:val="00C70E02"/>
    <w:rsid w:val="00C72CDA"/>
    <w:rsid w:val="00C74F93"/>
    <w:rsid w:val="00C7684D"/>
    <w:rsid w:val="00C769C2"/>
    <w:rsid w:val="00C806B3"/>
    <w:rsid w:val="00C8255F"/>
    <w:rsid w:val="00C829F7"/>
    <w:rsid w:val="00C84378"/>
    <w:rsid w:val="00C86ADD"/>
    <w:rsid w:val="00C91419"/>
    <w:rsid w:val="00C91B7C"/>
    <w:rsid w:val="00C92799"/>
    <w:rsid w:val="00C92D00"/>
    <w:rsid w:val="00C92F48"/>
    <w:rsid w:val="00C95781"/>
    <w:rsid w:val="00C95FB6"/>
    <w:rsid w:val="00C97347"/>
    <w:rsid w:val="00C976FB"/>
    <w:rsid w:val="00C97BC3"/>
    <w:rsid w:val="00C97EC3"/>
    <w:rsid w:val="00CA08EB"/>
    <w:rsid w:val="00CA3DE7"/>
    <w:rsid w:val="00CA4828"/>
    <w:rsid w:val="00CA4AD8"/>
    <w:rsid w:val="00CA6F80"/>
    <w:rsid w:val="00CB0916"/>
    <w:rsid w:val="00CB0DD7"/>
    <w:rsid w:val="00CB0F15"/>
    <w:rsid w:val="00CB1D17"/>
    <w:rsid w:val="00CB3FC1"/>
    <w:rsid w:val="00CB506A"/>
    <w:rsid w:val="00CB7C29"/>
    <w:rsid w:val="00CC0F00"/>
    <w:rsid w:val="00CC1EE6"/>
    <w:rsid w:val="00CC20D1"/>
    <w:rsid w:val="00CC381C"/>
    <w:rsid w:val="00CC3A17"/>
    <w:rsid w:val="00CC44B3"/>
    <w:rsid w:val="00CC4AB4"/>
    <w:rsid w:val="00CC4ECA"/>
    <w:rsid w:val="00CC5417"/>
    <w:rsid w:val="00CD08AC"/>
    <w:rsid w:val="00CD2253"/>
    <w:rsid w:val="00CD2BFE"/>
    <w:rsid w:val="00CD43EB"/>
    <w:rsid w:val="00CD60AA"/>
    <w:rsid w:val="00CD7FC5"/>
    <w:rsid w:val="00CE0230"/>
    <w:rsid w:val="00CE15B0"/>
    <w:rsid w:val="00CE17A6"/>
    <w:rsid w:val="00CE1896"/>
    <w:rsid w:val="00CE1907"/>
    <w:rsid w:val="00CE198C"/>
    <w:rsid w:val="00CE236F"/>
    <w:rsid w:val="00CE24DB"/>
    <w:rsid w:val="00CE6CC3"/>
    <w:rsid w:val="00CE79A1"/>
    <w:rsid w:val="00CF0985"/>
    <w:rsid w:val="00CF0C58"/>
    <w:rsid w:val="00CF1041"/>
    <w:rsid w:val="00CF1A52"/>
    <w:rsid w:val="00CF30D6"/>
    <w:rsid w:val="00CF3240"/>
    <w:rsid w:val="00CF457B"/>
    <w:rsid w:val="00CF47A3"/>
    <w:rsid w:val="00CF4F6B"/>
    <w:rsid w:val="00CF659D"/>
    <w:rsid w:val="00CF6BD5"/>
    <w:rsid w:val="00CF6D42"/>
    <w:rsid w:val="00D0030C"/>
    <w:rsid w:val="00D008C5"/>
    <w:rsid w:val="00D00CA4"/>
    <w:rsid w:val="00D02225"/>
    <w:rsid w:val="00D044FF"/>
    <w:rsid w:val="00D04D9E"/>
    <w:rsid w:val="00D04FF8"/>
    <w:rsid w:val="00D10191"/>
    <w:rsid w:val="00D14765"/>
    <w:rsid w:val="00D20DD8"/>
    <w:rsid w:val="00D22B1B"/>
    <w:rsid w:val="00D23CBF"/>
    <w:rsid w:val="00D24119"/>
    <w:rsid w:val="00D251DC"/>
    <w:rsid w:val="00D25B65"/>
    <w:rsid w:val="00D2630D"/>
    <w:rsid w:val="00D339F7"/>
    <w:rsid w:val="00D400F3"/>
    <w:rsid w:val="00D402DA"/>
    <w:rsid w:val="00D403B7"/>
    <w:rsid w:val="00D409BB"/>
    <w:rsid w:val="00D4442C"/>
    <w:rsid w:val="00D44CEC"/>
    <w:rsid w:val="00D4625E"/>
    <w:rsid w:val="00D468B8"/>
    <w:rsid w:val="00D5143D"/>
    <w:rsid w:val="00D518F8"/>
    <w:rsid w:val="00D51900"/>
    <w:rsid w:val="00D52752"/>
    <w:rsid w:val="00D528EC"/>
    <w:rsid w:val="00D605C2"/>
    <w:rsid w:val="00D60CC0"/>
    <w:rsid w:val="00D60DA6"/>
    <w:rsid w:val="00D6132A"/>
    <w:rsid w:val="00D62C22"/>
    <w:rsid w:val="00D64AFF"/>
    <w:rsid w:val="00D65376"/>
    <w:rsid w:val="00D67B43"/>
    <w:rsid w:val="00D7003F"/>
    <w:rsid w:val="00D70A5C"/>
    <w:rsid w:val="00D71DE5"/>
    <w:rsid w:val="00D72B06"/>
    <w:rsid w:val="00D72F69"/>
    <w:rsid w:val="00D733DE"/>
    <w:rsid w:val="00D737B5"/>
    <w:rsid w:val="00D749E4"/>
    <w:rsid w:val="00D74C67"/>
    <w:rsid w:val="00D75E62"/>
    <w:rsid w:val="00D76186"/>
    <w:rsid w:val="00D77563"/>
    <w:rsid w:val="00D80A17"/>
    <w:rsid w:val="00D80D4B"/>
    <w:rsid w:val="00D825F5"/>
    <w:rsid w:val="00D8274A"/>
    <w:rsid w:val="00D8396B"/>
    <w:rsid w:val="00D850F8"/>
    <w:rsid w:val="00D85B85"/>
    <w:rsid w:val="00D87665"/>
    <w:rsid w:val="00D9097A"/>
    <w:rsid w:val="00D909B0"/>
    <w:rsid w:val="00D90C02"/>
    <w:rsid w:val="00D90F18"/>
    <w:rsid w:val="00D914C9"/>
    <w:rsid w:val="00D91BC2"/>
    <w:rsid w:val="00D9257A"/>
    <w:rsid w:val="00D9367A"/>
    <w:rsid w:val="00D9522D"/>
    <w:rsid w:val="00D95494"/>
    <w:rsid w:val="00D95608"/>
    <w:rsid w:val="00D973F5"/>
    <w:rsid w:val="00D97CA7"/>
    <w:rsid w:val="00D97D33"/>
    <w:rsid w:val="00DA092C"/>
    <w:rsid w:val="00DA1579"/>
    <w:rsid w:val="00DA188B"/>
    <w:rsid w:val="00DA2847"/>
    <w:rsid w:val="00DA2F6D"/>
    <w:rsid w:val="00DA3FE6"/>
    <w:rsid w:val="00DA4F35"/>
    <w:rsid w:val="00DA64A7"/>
    <w:rsid w:val="00DB44BE"/>
    <w:rsid w:val="00DB4B0E"/>
    <w:rsid w:val="00DB7EFD"/>
    <w:rsid w:val="00DC106B"/>
    <w:rsid w:val="00DC281A"/>
    <w:rsid w:val="00DC28F1"/>
    <w:rsid w:val="00DC4592"/>
    <w:rsid w:val="00DC6663"/>
    <w:rsid w:val="00DD0A1F"/>
    <w:rsid w:val="00DD1AB7"/>
    <w:rsid w:val="00DD66FE"/>
    <w:rsid w:val="00DE13E1"/>
    <w:rsid w:val="00DE2CD8"/>
    <w:rsid w:val="00DE2D74"/>
    <w:rsid w:val="00DE35E6"/>
    <w:rsid w:val="00DE474F"/>
    <w:rsid w:val="00DE61CB"/>
    <w:rsid w:val="00DE6F54"/>
    <w:rsid w:val="00DE7514"/>
    <w:rsid w:val="00DF1576"/>
    <w:rsid w:val="00DF190D"/>
    <w:rsid w:val="00DF26A9"/>
    <w:rsid w:val="00DF3077"/>
    <w:rsid w:val="00DF6461"/>
    <w:rsid w:val="00E00B2E"/>
    <w:rsid w:val="00E017AD"/>
    <w:rsid w:val="00E03891"/>
    <w:rsid w:val="00E038BF"/>
    <w:rsid w:val="00E045BA"/>
    <w:rsid w:val="00E04EA0"/>
    <w:rsid w:val="00E050D2"/>
    <w:rsid w:val="00E06A15"/>
    <w:rsid w:val="00E07496"/>
    <w:rsid w:val="00E07641"/>
    <w:rsid w:val="00E07915"/>
    <w:rsid w:val="00E106F5"/>
    <w:rsid w:val="00E11C04"/>
    <w:rsid w:val="00E12456"/>
    <w:rsid w:val="00E13409"/>
    <w:rsid w:val="00E13C38"/>
    <w:rsid w:val="00E14483"/>
    <w:rsid w:val="00E150AD"/>
    <w:rsid w:val="00E16164"/>
    <w:rsid w:val="00E162C1"/>
    <w:rsid w:val="00E165C8"/>
    <w:rsid w:val="00E16CEE"/>
    <w:rsid w:val="00E173F0"/>
    <w:rsid w:val="00E17FDA"/>
    <w:rsid w:val="00E20133"/>
    <w:rsid w:val="00E21B29"/>
    <w:rsid w:val="00E22719"/>
    <w:rsid w:val="00E22C4E"/>
    <w:rsid w:val="00E23C64"/>
    <w:rsid w:val="00E242DF"/>
    <w:rsid w:val="00E2498A"/>
    <w:rsid w:val="00E25301"/>
    <w:rsid w:val="00E256FB"/>
    <w:rsid w:val="00E27575"/>
    <w:rsid w:val="00E27A09"/>
    <w:rsid w:val="00E27AF8"/>
    <w:rsid w:val="00E27E46"/>
    <w:rsid w:val="00E311D5"/>
    <w:rsid w:val="00E31600"/>
    <w:rsid w:val="00E31962"/>
    <w:rsid w:val="00E31C16"/>
    <w:rsid w:val="00E3640A"/>
    <w:rsid w:val="00E367B4"/>
    <w:rsid w:val="00E36ABC"/>
    <w:rsid w:val="00E37357"/>
    <w:rsid w:val="00E37E6D"/>
    <w:rsid w:val="00E41453"/>
    <w:rsid w:val="00E41B71"/>
    <w:rsid w:val="00E425FC"/>
    <w:rsid w:val="00E42A63"/>
    <w:rsid w:val="00E436CB"/>
    <w:rsid w:val="00E43C47"/>
    <w:rsid w:val="00E44285"/>
    <w:rsid w:val="00E44CF4"/>
    <w:rsid w:val="00E4516B"/>
    <w:rsid w:val="00E45CCE"/>
    <w:rsid w:val="00E4647E"/>
    <w:rsid w:val="00E472B2"/>
    <w:rsid w:val="00E473E0"/>
    <w:rsid w:val="00E516C6"/>
    <w:rsid w:val="00E51925"/>
    <w:rsid w:val="00E52423"/>
    <w:rsid w:val="00E54966"/>
    <w:rsid w:val="00E55DEA"/>
    <w:rsid w:val="00E55E0C"/>
    <w:rsid w:val="00E56535"/>
    <w:rsid w:val="00E566C2"/>
    <w:rsid w:val="00E56C38"/>
    <w:rsid w:val="00E60075"/>
    <w:rsid w:val="00E60511"/>
    <w:rsid w:val="00E623A6"/>
    <w:rsid w:val="00E62FBB"/>
    <w:rsid w:val="00E6562F"/>
    <w:rsid w:val="00E670F0"/>
    <w:rsid w:val="00E67BF3"/>
    <w:rsid w:val="00E71D70"/>
    <w:rsid w:val="00E72232"/>
    <w:rsid w:val="00E732F4"/>
    <w:rsid w:val="00E7399A"/>
    <w:rsid w:val="00E74247"/>
    <w:rsid w:val="00E75A1A"/>
    <w:rsid w:val="00E75E4E"/>
    <w:rsid w:val="00E77E75"/>
    <w:rsid w:val="00E807F8"/>
    <w:rsid w:val="00E821C7"/>
    <w:rsid w:val="00E82432"/>
    <w:rsid w:val="00E83E46"/>
    <w:rsid w:val="00E8492A"/>
    <w:rsid w:val="00E85280"/>
    <w:rsid w:val="00E86363"/>
    <w:rsid w:val="00E90926"/>
    <w:rsid w:val="00E90D12"/>
    <w:rsid w:val="00E92606"/>
    <w:rsid w:val="00E927BD"/>
    <w:rsid w:val="00E932D9"/>
    <w:rsid w:val="00E9461C"/>
    <w:rsid w:val="00E9479A"/>
    <w:rsid w:val="00E95E0A"/>
    <w:rsid w:val="00E97D6F"/>
    <w:rsid w:val="00EA1CBE"/>
    <w:rsid w:val="00EA34A6"/>
    <w:rsid w:val="00EA4B49"/>
    <w:rsid w:val="00EA520B"/>
    <w:rsid w:val="00EA54A5"/>
    <w:rsid w:val="00EA7830"/>
    <w:rsid w:val="00EB14CA"/>
    <w:rsid w:val="00EB46F5"/>
    <w:rsid w:val="00EB5778"/>
    <w:rsid w:val="00EB6743"/>
    <w:rsid w:val="00EC0C4B"/>
    <w:rsid w:val="00EC0F25"/>
    <w:rsid w:val="00EC2E8E"/>
    <w:rsid w:val="00EC3230"/>
    <w:rsid w:val="00EC351B"/>
    <w:rsid w:val="00EC433E"/>
    <w:rsid w:val="00EC4EDC"/>
    <w:rsid w:val="00EC6603"/>
    <w:rsid w:val="00ED1951"/>
    <w:rsid w:val="00ED1E83"/>
    <w:rsid w:val="00ED3697"/>
    <w:rsid w:val="00ED3BE2"/>
    <w:rsid w:val="00ED4A6C"/>
    <w:rsid w:val="00ED511B"/>
    <w:rsid w:val="00ED57D4"/>
    <w:rsid w:val="00ED765E"/>
    <w:rsid w:val="00ED7B84"/>
    <w:rsid w:val="00EE21DB"/>
    <w:rsid w:val="00EE732A"/>
    <w:rsid w:val="00EF05F7"/>
    <w:rsid w:val="00EF0C39"/>
    <w:rsid w:val="00EF14D2"/>
    <w:rsid w:val="00EF22DF"/>
    <w:rsid w:val="00EF2393"/>
    <w:rsid w:val="00EF2FC9"/>
    <w:rsid w:val="00EF596F"/>
    <w:rsid w:val="00EF6229"/>
    <w:rsid w:val="00EF6DA5"/>
    <w:rsid w:val="00F00961"/>
    <w:rsid w:val="00F0098E"/>
    <w:rsid w:val="00F00EDC"/>
    <w:rsid w:val="00F01139"/>
    <w:rsid w:val="00F026E8"/>
    <w:rsid w:val="00F02C18"/>
    <w:rsid w:val="00F03BBE"/>
    <w:rsid w:val="00F04B3E"/>
    <w:rsid w:val="00F04F7A"/>
    <w:rsid w:val="00F06295"/>
    <w:rsid w:val="00F062A6"/>
    <w:rsid w:val="00F133FE"/>
    <w:rsid w:val="00F137F5"/>
    <w:rsid w:val="00F13846"/>
    <w:rsid w:val="00F140F7"/>
    <w:rsid w:val="00F1466D"/>
    <w:rsid w:val="00F16204"/>
    <w:rsid w:val="00F16EDF"/>
    <w:rsid w:val="00F20883"/>
    <w:rsid w:val="00F20C35"/>
    <w:rsid w:val="00F2220D"/>
    <w:rsid w:val="00F226C4"/>
    <w:rsid w:val="00F229A1"/>
    <w:rsid w:val="00F242C7"/>
    <w:rsid w:val="00F24B89"/>
    <w:rsid w:val="00F27273"/>
    <w:rsid w:val="00F3036E"/>
    <w:rsid w:val="00F303AB"/>
    <w:rsid w:val="00F309CE"/>
    <w:rsid w:val="00F30D16"/>
    <w:rsid w:val="00F31393"/>
    <w:rsid w:val="00F335BF"/>
    <w:rsid w:val="00F34065"/>
    <w:rsid w:val="00F34CAE"/>
    <w:rsid w:val="00F34F47"/>
    <w:rsid w:val="00F35EE8"/>
    <w:rsid w:val="00F371E9"/>
    <w:rsid w:val="00F372CC"/>
    <w:rsid w:val="00F3734A"/>
    <w:rsid w:val="00F37EAE"/>
    <w:rsid w:val="00F40685"/>
    <w:rsid w:val="00F42DA3"/>
    <w:rsid w:val="00F432F0"/>
    <w:rsid w:val="00F43784"/>
    <w:rsid w:val="00F46F39"/>
    <w:rsid w:val="00F47093"/>
    <w:rsid w:val="00F51230"/>
    <w:rsid w:val="00F51C21"/>
    <w:rsid w:val="00F51FD4"/>
    <w:rsid w:val="00F5338C"/>
    <w:rsid w:val="00F53442"/>
    <w:rsid w:val="00F536F2"/>
    <w:rsid w:val="00F56C45"/>
    <w:rsid w:val="00F60E45"/>
    <w:rsid w:val="00F623C4"/>
    <w:rsid w:val="00F63486"/>
    <w:rsid w:val="00F637A7"/>
    <w:rsid w:val="00F63825"/>
    <w:rsid w:val="00F639A7"/>
    <w:rsid w:val="00F6618E"/>
    <w:rsid w:val="00F6630F"/>
    <w:rsid w:val="00F707B8"/>
    <w:rsid w:val="00F71673"/>
    <w:rsid w:val="00F71FEF"/>
    <w:rsid w:val="00F72ACD"/>
    <w:rsid w:val="00F72F33"/>
    <w:rsid w:val="00F73754"/>
    <w:rsid w:val="00F73FAD"/>
    <w:rsid w:val="00F74174"/>
    <w:rsid w:val="00F74840"/>
    <w:rsid w:val="00F75933"/>
    <w:rsid w:val="00F75B35"/>
    <w:rsid w:val="00F80600"/>
    <w:rsid w:val="00F80FFF"/>
    <w:rsid w:val="00F82179"/>
    <w:rsid w:val="00F855B8"/>
    <w:rsid w:val="00F85702"/>
    <w:rsid w:val="00F90667"/>
    <w:rsid w:val="00F921A4"/>
    <w:rsid w:val="00F946A9"/>
    <w:rsid w:val="00F94A80"/>
    <w:rsid w:val="00F94B3E"/>
    <w:rsid w:val="00FA438F"/>
    <w:rsid w:val="00FA4999"/>
    <w:rsid w:val="00FA4A82"/>
    <w:rsid w:val="00FA4B14"/>
    <w:rsid w:val="00FB0451"/>
    <w:rsid w:val="00FB0A3D"/>
    <w:rsid w:val="00FB19D9"/>
    <w:rsid w:val="00FB19F4"/>
    <w:rsid w:val="00FB20FE"/>
    <w:rsid w:val="00FB2FDA"/>
    <w:rsid w:val="00FB4F1F"/>
    <w:rsid w:val="00FB60CB"/>
    <w:rsid w:val="00FB7EA1"/>
    <w:rsid w:val="00FC0E3C"/>
    <w:rsid w:val="00FC11D1"/>
    <w:rsid w:val="00FC28AE"/>
    <w:rsid w:val="00FC3ADC"/>
    <w:rsid w:val="00FC61C9"/>
    <w:rsid w:val="00FC7B4F"/>
    <w:rsid w:val="00FC7C05"/>
    <w:rsid w:val="00FD0DAC"/>
    <w:rsid w:val="00FD130D"/>
    <w:rsid w:val="00FD2259"/>
    <w:rsid w:val="00FD2859"/>
    <w:rsid w:val="00FD3BF3"/>
    <w:rsid w:val="00FD7EB9"/>
    <w:rsid w:val="00FE0899"/>
    <w:rsid w:val="00FE142A"/>
    <w:rsid w:val="00FE1D24"/>
    <w:rsid w:val="00FE2D10"/>
    <w:rsid w:val="00FE3851"/>
    <w:rsid w:val="00FE5D4F"/>
    <w:rsid w:val="00FE6100"/>
    <w:rsid w:val="00FE70CA"/>
    <w:rsid w:val="00FE7622"/>
    <w:rsid w:val="00FE7E43"/>
    <w:rsid w:val="00FF1838"/>
    <w:rsid w:val="00FF246D"/>
    <w:rsid w:val="00FF2648"/>
    <w:rsid w:val="00FF2B28"/>
    <w:rsid w:val="00FF3727"/>
    <w:rsid w:val="00FF59C1"/>
    <w:rsid w:val="00FF6537"/>
    <w:rsid w:val="00FF7520"/>
    <w:rsid w:val="00FF7A9F"/>
    <w:rsid w:val="0BE0627A"/>
    <w:rsid w:val="232EEA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B9271"/>
  <w15:chartTrackingRefBased/>
  <w15:docId w15:val="{1ECE6160-35D0-444F-B54B-A848EAEF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9B6"/>
    <w:rPr>
      <w:rFonts w:ascii="Times New Roman" w:eastAsia="Times New Roman" w:hAnsi="Times New Roman"/>
      <w:sz w:val="24"/>
      <w:szCs w:val="24"/>
      <w:lang w:val="en-GB" w:eastAsia="en-GB"/>
    </w:rPr>
  </w:style>
  <w:style w:type="paragraph" w:styleId="Heading1">
    <w:name w:val="heading 1"/>
    <w:basedOn w:val="Normal"/>
    <w:next w:val="Normal"/>
    <w:link w:val="Heading1Char"/>
    <w:qFormat/>
    <w:rsid w:val="00424716"/>
    <w:pPr>
      <w:keepNext/>
      <w:keepLines/>
      <w:spacing w:before="240"/>
      <w:outlineLvl w:val="0"/>
    </w:pPr>
    <w:rPr>
      <w:rFonts w:ascii="Calibri Light" w:hAnsi="Calibri Light"/>
      <w:color w:val="2E74B5"/>
      <w:sz w:val="32"/>
      <w:szCs w:val="32"/>
      <w:lang w:val="en-US" w:eastAsia="en-US"/>
    </w:rPr>
  </w:style>
  <w:style w:type="paragraph" w:styleId="Heading2">
    <w:name w:val="heading 2"/>
    <w:basedOn w:val="Normal"/>
    <w:next w:val="Normal"/>
    <w:link w:val="Heading2Char"/>
    <w:unhideWhenUsed/>
    <w:qFormat/>
    <w:rsid w:val="009455EE"/>
    <w:pPr>
      <w:keepNext/>
      <w:keepLines/>
      <w:spacing w:before="40"/>
      <w:outlineLvl w:val="1"/>
    </w:pPr>
    <w:rPr>
      <w:rFonts w:ascii="Calibri Light" w:hAnsi="Calibri Light"/>
      <w:color w:val="2E74B5"/>
      <w:sz w:val="26"/>
      <w:szCs w:val="26"/>
      <w:lang w:val="en-US" w:eastAsia="en-US"/>
    </w:rPr>
  </w:style>
  <w:style w:type="paragraph" w:styleId="Heading3">
    <w:name w:val="heading 3"/>
    <w:basedOn w:val="Normal"/>
    <w:next w:val="Normal"/>
    <w:link w:val="Heading3Char"/>
    <w:unhideWhenUsed/>
    <w:qFormat/>
    <w:rsid w:val="009455EE"/>
    <w:pPr>
      <w:keepNext/>
      <w:keepLines/>
      <w:spacing w:before="40"/>
      <w:outlineLvl w:val="2"/>
    </w:pPr>
    <w:rPr>
      <w:rFonts w:ascii="Calibri Light" w:hAnsi="Calibri Light"/>
      <w:color w:val="1F4D78"/>
      <w:lang w:val="en-US" w:eastAsia="en-US"/>
    </w:rPr>
  </w:style>
  <w:style w:type="paragraph" w:styleId="Heading4">
    <w:name w:val="heading 4"/>
    <w:basedOn w:val="Normal"/>
    <w:next w:val="Normal"/>
    <w:link w:val="Heading4Char"/>
    <w:unhideWhenUsed/>
    <w:qFormat/>
    <w:rsid w:val="0054444B"/>
    <w:pPr>
      <w:keepNext/>
      <w:keepLines/>
      <w:spacing w:before="40"/>
      <w:outlineLvl w:val="3"/>
    </w:pPr>
    <w:rPr>
      <w:rFonts w:ascii="Calibri Light" w:hAnsi="Calibri Light"/>
      <w:i/>
      <w:iCs/>
      <w:color w:val="2E74B5"/>
      <w:sz w:val="20"/>
      <w:szCs w:val="20"/>
      <w:lang w:val="en-US" w:eastAsia="en-US"/>
    </w:rPr>
  </w:style>
  <w:style w:type="paragraph" w:styleId="Heading6">
    <w:name w:val="heading 6"/>
    <w:basedOn w:val="Normal"/>
    <w:next w:val="Normal"/>
    <w:link w:val="Heading6Char"/>
    <w:unhideWhenUsed/>
    <w:qFormat/>
    <w:rsid w:val="00912D64"/>
    <w:pPr>
      <w:keepNext/>
      <w:keepLines/>
      <w:spacing w:before="40"/>
      <w:outlineLvl w:val="5"/>
    </w:pPr>
    <w:rPr>
      <w:rFonts w:ascii="Calibri Light" w:hAnsi="Calibri Light"/>
      <w:color w:val="1F4D78"/>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24716"/>
    <w:pPr>
      <w:ind w:left="720"/>
      <w:contextualSpacing/>
    </w:pPr>
    <w:rPr>
      <w:sz w:val="20"/>
      <w:szCs w:val="20"/>
      <w:lang w:val="en-US" w:eastAsia="en-US"/>
    </w:rPr>
  </w:style>
  <w:style w:type="character" w:customStyle="1" w:styleId="Heading1Char">
    <w:name w:val="Heading 1 Char"/>
    <w:link w:val="Heading1"/>
    <w:rsid w:val="00424716"/>
    <w:rPr>
      <w:rFonts w:ascii="Calibri Light" w:eastAsia="Times New Roman" w:hAnsi="Calibri Light" w:cs="Times New Roman"/>
      <w:color w:val="2E74B5"/>
      <w:sz w:val="32"/>
      <w:szCs w:val="32"/>
    </w:rPr>
  </w:style>
  <w:style w:type="table" w:styleId="TableGrid">
    <w:name w:val="Table Grid"/>
    <w:basedOn w:val="TableNormal"/>
    <w:rsid w:val="00DA2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9455EE"/>
    <w:rPr>
      <w:rFonts w:ascii="Calibri Light" w:eastAsia="Times New Roman" w:hAnsi="Calibri Light" w:cs="Times New Roman"/>
      <w:color w:val="2E74B5"/>
      <w:sz w:val="26"/>
      <w:szCs w:val="26"/>
    </w:rPr>
  </w:style>
  <w:style w:type="character" w:customStyle="1" w:styleId="Heading3Char">
    <w:name w:val="Heading 3 Char"/>
    <w:link w:val="Heading3"/>
    <w:rsid w:val="009455EE"/>
    <w:rPr>
      <w:rFonts w:ascii="Calibri Light" w:eastAsia="Times New Roman" w:hAnsi="Calibri Light" w:cs="Times New Roman"/>
      <w:color w:val="1F4D78"/>
      <w:sz w:val="24"/>
      <w:szCs w:val="24"/>
    </w:rPr>
  </w:style>
  <w:style w:type="character" w:styleId="Strong">
    <w:name w:val="Strong"/>
    <w:qFormat/>
    <w:rsid w:val="001F5735"/>
    <w:rPr>
      <w:rFonts w:ascii="Arial" w:hAnsi="Arial" w:cs="Arial"/>
      <w:i/>
      <w:iCs/>
      <w:color w:val="7030A0"/>
      <w:sz w:val="20"/>
      <w:szCs w:val="20"/>
    </w:rPr>
  </w:style>
  <w:style w:type="character" w:customStyle="1" w:styleId="Heading6Char">
    <w:name w:val="Heading 6 Char"/>
    <w:link w:val="Heading6"/>
    <w:rsid w:val="00912D64"/>
    <w:rPr>
      <w:rFonts w:ascii="Calibri Light" w:eastAsia="Times New Roman" w:hAnsi="Calibri Light" w:cs="Times New Roman"/>
      <w:color w:val="1F4D78"/>
    </w:rPr>
  </w:style>
  <w:style w:type="paragraph" w:styleId="TOCHeading">
    <w:name w:val="TOC Heading"/>
    <w:basedOn w:val="Heading1"/>
    <w:next w:val="Normal"/>
    <w:unhideWhenUsed/>
    <w:qFormat/>
    <w:rsid w:val="00924690"/>
    <w:pPr>
      <w:outlineLvl w:val="9"/>
    </w:pPr>
  </w:style>
  <w:style w:type="paragraph" w:styleId="TOC1">
    <w:name w:val="toc 1"/>
    <w:basedOn w:val="Normal"/>
    <w:next w:val="Normal"/>
    <w:autoRedefine/>
    <w:unhideWhenUsed/>
    <w:rsid w:val="00924690"/>
    <w:pPr>
      <w:spacing w:after="100"/>
    </w:pPr>
    <w:rPr>
      <w:sz w:val="20"/>
      <w:szCs w:val="20"/>
      <w:lang w:val="en-US" w:eastAsia="en-US"/>
    </w:rPr>
  </w:style>
  <w:style w:type="paragraph" w:styleId="TOC2">
    <w:name w:val="toc 2"/>
    <w:basedOn w:val="Normal"/>
    <w:next w:val="Normal"/>
    <w:autoRedefine/>
    <w:unhideWhenUsed/>
    <w:rsid w:val="00924690"/>
    <w:pPr>
      <w:spacing w:after="100"/>
      <w:ind w:left="220"/>
    </w:pPr>
    <w:rPr>
      <w:sz w:val="20"/>
      <w:szCs w:val="20"/>
      <w:lang w:val="en-US" w:eastAsia="en-US"/>
    </w:rPr>
  </w:style>
  <w:style w:type="paragraph" w:styleId="TOC3">
    <w:name w:val="toc 3"/>
    <w:basedOn w:val="Normal"/>
    <w:next w:val="Normal"/>
    <w:autoRedefine/>
    <w:unhideWhenUsed/>
    <w:rsid w:val="00924690"/>
    <w:pPr>
      <w:spacing w:after="100"/>
      <w:ind w:left="440"/>
    </w:pPr>
    <w:rPr>
      <w:sz w:val="20"/>
      <w:szCs w:val="20"/>
      <w:lang w:val="en-US" w:eastAsia="en-US"/>
    </w:rPr>
  </w:style>
  <w:style w:type="character" w:styleId="Hyperlink">
    <w:name w:val="Hyperlink"/>
    <w:unhideWhenUsed/>
    <w:rsid w:val="00924690"/>
    <w:rPr>
      <w:color w:val="0563C1"/>
      <w:u w:val="single"/>
    </w:rPr>
  </w:style>
  <w:style w:type="table" w:customStyle="1" w:styleId="TableGrid2">
    <w:name w:val="Table Grid2"/>
    <w:basedOn w:val="TableNormal"/>
    <w:next w:val="TableGrid"/>
    <w:rsid w:val="00FD2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nhideWhenUsed/>
    <w:rsid w:val="00E74247"/>
    <w:rPr>
      <w:color w:val="605E5C"/>
      <w:shd w:val="clear" w:color="auto" w:fill="E1DFDD"/>
    </w:rPr>
  </w:style>
  <w:style w:type="paragraph" w:styleId="BalloonText">
    <w:name w:val="Balloon Text"/>
    <w:basedOn w:val="Normal"/>
    <w:link w:val="BalloonTextChar"/>
    <w:uiPriority w:val="99"/>
    <w:rsid w:val="00F026E8"/>
    <w:rPr>
      <w:sz w:val="18"/>
      <w:szCs w:val="18"/>
      <w:lang w:val="en-US" w:eastAsia="en-US"/>
    </w:rPr>
  </w:style>
  <w:style w:type="character" w:customStyle="1" w:styleId="BalloonTextChar">
    <w:name w:val="Balloon Text Char"/>
    <w:link w:val="BalloonText"/>
    <w:uiPriority w:val="99"/>
    <w:rsid w:val="00F026E8"/>
    <w:rPr>
      <w:rFonts w:ascii="Times New Roman" w:eastAsia="Times New Roman" w:hAnsi="Times New Roman"/>
      <w:sz w:val="18"/>
      <w:szCs w:val="18"/>
    </w:rPr>
  </w:style>
  <w:style w:type="character" w:customStyle="1" w:styleId="Heading4Char">
    <w:name w:val="Heading 4 Char"/>
    <w:link w:val="Heading4"/>
    <w:rsid w:val="0054444B"/>
    <w:rPr>
      <w:rFonts w:ascii="Calibri Light" w:eastAsia="Times New Roman" w:hAnsi="Calibri Light" w:cs="Times New Roman"/>
      <w:i/>
      <w:iCs/>
      <w:color w:val="2E74B5"/>
    </w:rPr>
  </w:style>
  <w:style w:type="character" w:styleId="CommentReference">
    <w:name w:val="annotation reference"/>
    <w:uiPriority w:val="99"/>
    <w:unhideWhenUsed/>
    <w:rsid w:val="00E54966"/>
    <w:rPr>
      <w:sz w:val="16"/>
      <w:szCs w:val="16"/>
    </w:rPr>
  </w:style>
  <w:style w:type="paragraph" w:styleId="CommentText">
    <w:name w:val="annotation text"/>
    <w:basedOn w:val="Normal"/>
    <w:link w:val="CommentTextChar"/>
    <w:uiPriority w:val="99"/>
    <w:unhideWhenUsed/>
    <w:rsid w:val="00E54966"/>
    <w:rPr>
      <w:sz w:val="20"/>
      <w:szCs w:val="20"/>
      <w:lang w:val="en-US" w:eastAsia="en-US"/>
    </w:rPr>
  </w:style>
  <w:style w:type="character" w:customStyle="1" w:styleId="CommentTextChar">
    <w:name w:val="Comment Text Char"/>
    <w:link w:val="CommentText"/>
    <w:uiPriority w:val="99"/>
    <w:rsid w:val="00E54966"/>
    <w:rPr>
      <w:sz w:val="20"/>
      <w:szCs w:val="20"/>
    </w:rPr>
  </w:style>
  <w:style w:type="paragraph" w:styleId="CommentSubject">
    <w:name w:val="annotation subject"/>
    <w:basedOn w:val="CommentText"/>
    <w:next w:val="CommentText"/>
    <w:link w:val="CommentSubjectChar"/>
    <w:unhideWhenUsed/>
    <w:rsid w:val="006157CD"/>
    <w:rPr>
      <w:b/>
      <w:bCs/>
    </w:rPr>
  </w:style>
  <w:style w:type="character" w:customStyle="1" w:styleId="CommentSubjectChar">
    <w:name w:val="Comment Subject Char"/>
    <w:link w:val="CommentSubject"/>
    <w:rsid w:val="006157CD"/>
    <w:rPr>
      <w:b/>
      <w:bCs/>
      <w:sz w:val="20"/>
      <w:szCs w:val="20"/>
    </w:rPr>
  </w:style>
  <w:style w:type="paragraph" w:styleId="Header">
    <w:name w:val="header"/>
    <w:basedOn w:val="Normal"/>
    <w:link w:val="HeaderChar"/>
    <w:unhideWhenUsed/>
    <w:rsid w:val="00723D3F"/>
    <w:pPr>
      <w:tabs>
        <w:tab w:val="center" w:pos="4513"/>
        <w:tab w:val="right" w:pos="9026"/>
      </w:tabs>
    </w:pPr>
    <w:rPr>
      <w:sz w:val="20"/>
      <w:szCs w:val="20"/>
      <w:lang w:val="en-US" w:eastAsia="en-US"/>
    </w:rPr>
  </w:style>
  <w:style w:type="character" w:customStyle="1" w:styleId="HeaderChar">
    <w:name w:val="Header Char"/>
    <w:basedOn w:val="DefaultParagraphFont"/>
    <w:link w:val="Header"/>
    <w:rsid w:val="00723D3F"/>
  </w:style>
  <w:style w:type="paragraph" w:styleId="Footer">
    <w:name w:val="footer"/>
    <w:basedOn w:val="Normal"/>
    <w:link w:val="FooterChar"/>
    <w:unhideWhenUsed/>
    <w:rsid w:val="00723D3F"/>
    <w:pPr>
      <w:tabs>
        <w:tab w:val="center" w:pos="4513"/>
        <w:tab w:val="right" w:pos="9026"/>
      </w:tabs>
    </w:pPr>
    <w:rPr>
      <w:sz w:val="20"/>
      <w:szCs w:val="20"/>
      <w:lang w:val="en-US" w:eastAsia="en-US"/>
    </w:rPr>
  </w:style>
  <w:style w:type="character" w:customStyle="1" w:styleId="FooterChar">
    <w:name w:val="Footer Char"/>
    <w:basedOn w:val="DefaultParagraphFont"/>
    <w:link w:val="Footer"/>
    <w:rsid w:val="00723D3F"/>
  </w:style>
  <w:style w:type="character" w:styleId="FollowedHyperlink">
    <w:name w:val="FollowedHyperlink"/>
    <w:unhideWhenUsed/>
    <w:rsid w:val="00C91B7C"/>
    <w:rPr>
      <w:color w:val="954F72"/>
      <w:u w:val="single"/>
    </w:rPr>
  </w:style>
  <w:style w:type="paragraph" w:styleId="TOC4">
    <w:name w:val="toc 4"/>
    <w:basedOn w:val="Normal"/>
    <w:next w:val="Normal"/>
    <w:autoRedefine/>
    <w:unhideWhenUsed/>
    <w:rsid w:val="009E149F"/>
    <w:pPr>
      <w:spacing w:after="100"/>
      <w:ind w:left="660"/>
    </w:pPr>
    <w:rPr>
      <w:sz w:val="20"/>
      <w:szCs w:val="20"/>
      <w:lang w:val="en-US"/>
    </w:rPr>
  </w:style>
  <w:style w:type="paragraph" w:styleId="TOC5">
    <w:name w:val="toc 5"/>
    <w:basedOn w:val="Normal"/>
    <w:next w:val="Normal"/>
    <w:autoRedefine/>
    <w:unhideWhenUsed/>
    <w:rsid w:val="009E149F"/>
    <w:pPr>
      <w:spacing w:after="100"/>
      <w:ind w:left="880"/>
    </w:pPr>
    <w:rPr>
      <w:sz w:val="20"/>
      <w:szCs w:val="20"/>
      <w:lang w:val="en-US"/>
    </w:rPr>
  </w:style>
  <w:style w:type="paragraph" w:styleId="TOC6">
    <w:name w:val="toc 6"/>
    <w:basedOn w:val="Normal"/>
    <w:next w:val="Normal"/>
    <w:autoRedefine/>
    <w:unhideWhenUsed/>
    <w:rsid w:val="009E149F"/>
    <w:pPr>
      <w:spacing w:after="100"/>
      <w:ind w:left="1100"/>
    </w:pPr>
    <w:rPr>
      <w:sz w:val="20"/>
      <w:szCs w:val="20"/>
      <w:lang w:val="en-US"/>
    </w:rPr>
  </w:style>
  <w:style w:type="paragraph" w:styleId="TOC7">
    <w:name w:val="toc 7"/>
    <w:basedOn w:val="Normal"/>
    <w:next w:val="Normal"/>
    <w:autoRedefine/>
    <w:unhideWhenUsed/>
    <w:rsid w:val="009E149F"/>
    <w:pPr>
      <w:spacing w:after="100"/>
      <w:ind w:left="1320"/>
    </w:pPr>
    <w:rPr>
      <w:sz w:val="20"/>
      <w:szCs w:val="20"/>
      <w:lang w:val="en-US"/>
    </w:rPr>
  </w:style>
  <w:style w:type="paragraph" w:styleId="TOC8">
    <w:name w:val="toc 8"/>
    <w:basedOn w:val="Normal"/>
    <w:next w:val="Normal"/>
    <w:autoRedefine/>
    <w:unhideWhenUsed/>
    <w:rsid w:val="009E149F"/>
    <w:pPr>
      <w:spacing w:after="100"/>
      <w:ind w:left="1540"/>
    </w:pPr>
    <w:rPr>
      <w:sz w:val="20"/>
      <w:szCs w:val="20"/>
      <w:lang w:val="en-US"/>
    </w:rPr>
  </w:style>
  <w:style w:type="paragraph" w:styleId="TOC9">
    <w:name w:val="toc 9"/>
    <w:basedOn w:val="Normal"/>
    <w:next w:val="Normal"/>
    <w:autoRedefine/>
    <w:unhideWhenUsed/>
    <w:rsid w:val="009E149F"/>
    <w:pPr>
      <w:spacing w:after="100"/>
      <w:ind w:left="1760"/>
    </w:pPr>
    <w:rPr>
      <w:sz w:val="20"/>
      <w:szCs w:val="20"/>
      <w:lang w:val="en-US"/>
    </w:rPr>
  </w:style>
  <w:style w:type="paragraph" w:customStyle="1" w:styleId="11MaintitlePrelimsPrelimsstyles">
    <w:name w:val="1.1 Main title (Prelims) (Prelims styles)"/>
    <w:basedOn w:val="Normal"/>
    <w:next w:val="BasicParagraph"/>
    <w:uiPriority w:val="99"/>
    <w:rsid w:val="00F026E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eastAsia="en-US"/>
    </w:rPr>
  </w:style>
  <w:style w:type="paragraph" w:customStyle="1" w:styleId="13TitlepageauthorsPrelimsPrelimsstyles">
    <w:name w:val="1.3 Title page authors (Prelims) (Prelims styles)"/>
    <w:basedOn w:val="Normal"/>
    <w:next w:val="Normal"/>
    <w:uiPriority w:val="99"/>
    <w:rsid w:val="00F026E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eastAsia="en-US"/>
    </w:rPr>
  </w:style>
  <w:style w:type="paragraph" w:customStyle="1" w:styleId="15TitlepageaddressesPrelimsPrelimsstyles">
    <w:name w:val="1.5 Title page addresses (Prelims) (Prelims styles)"/>
    <w:basedOn w:val="Normal"/>
    <w:uiPriority w:val="99"/>
    <w:rsid w:val="00F026E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u w:color="000000"/>
      <w:lang w:eastAsia="en-US"/>
    </w:rPr>
  </w:style>
  <w:style w:type="paragraph" w:customStyle="1" w:styleId="16TitlepagetextPrelimsPrelimsstyles">
    <w:name w:val="1.6 Title page text (Prelims) (Prelims styles)"/>
    <w:basedOn w:val="15TitlepageaddressesPrelimsPrelimsstyles"/>
    <w:uiPriority w:val="99"/>
    <w:rsid w:val="00F026E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F026E8"/>
    <w:rPr>
      <w:rFonts w:cs="Humanist777BT-RomanB"/>
    </w:rPr>
  </w:style>
  <w:style w:type="paragraph" w:customStyle="1" w:styleId="161TitlepagecompetinginterestsPrelimsstyles">
    <w:name w:val="1.61 Title page competing interests (Prelims styles)"/>
    <w:basedOn w:val="16TitlepagetextPrelimsPrelimsstyles"/>
    <w:uiPriority w:val="99"/>
    <w:rsid w:val="00F026E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F026E8"/>
    <w:pPr>
      <w:spacing w:after="60"/>
      <w:ind w:left="0" w:firstLine="0"/>
    </w:pPr>
  </w:style>
  <w:style w:type="paragraph" w:customStyle="1" w:styleId="18TitlepagedoiPrelimsPrelimsstyles">
    <w:name w:val="1.8 Title page doi (Prelims) (Prelims styles)"/>
    <w:basedOn w:val="17TitlepagepubdatePrelimsPrelimsstyles"/>
    <w:uiPriority w:val="99"/>
    <w:rsid w:val="00F026E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F026E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eastAsia="en-US"/>
    </w:rPr>
  </w:style>
  <w:style w:type="paragraph" w:customStyle="1" w:styleId="152AbstractauthorsPrelimsPrelimsstyles">
    <w:name w:val="1.52 Abstract authors (Prelims) (Prelims styles)"/>
    <w:basedOn w:val="13TitlepageauthorsPrelimsPrelimsstyles"/>
    <w:uiPriority w:val="99"/>
    <w:rsid w:val="00F026E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F026E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F026E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F026E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F026E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eastAsia="en-US"/>
    </w:rPr>
  </w:style>
  <w:style w:type="paragraph" w:customStyle="1" w:styleId="43PrelimtitleHeadingsHeadingstyles">
    <w:name w:val="4.3 Prelim title (Headings) (Heading styles)"/>
    <w:basedOn w:val="43ChaptertitleHeadingsHeadingstyles"/>
    <w:uiPriority w:val="99"/>
    <w:rsid w:val="00F026E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F026E8"/>
    <w:pPr>
      <w:widowControl w:val="0"/>
      <w:suppressAutoHyphens/>
      <w:autoSpaceDE w:val="0"/>
      <w:autoSpaceDN w:val="0"/>
      <w:adjustRightInd w:val="0"/>
      <w:spacing w:after="260" w:line="260" w:lineRule="atLeast"/>
      <w:textAlignment w:val="center"/>
    </w:pPr>
    <w:rPr>
      <w:rFonts w:ascii="Lato" w:hAnsi="Lato" w:cs="Humanist777BT-LightB"/>
      <w:color w:val="000000"/>
      <w:sz w:val="20"/>
      <w:szCs w:val="20"/>
      <w:lang w:eastAsia="en-US"/>
    </w:rPr>
  </w:style>
  <w:style w:type="paragraph" w:customStyle="1" w:styleId="19AbbreviationslistPrelimsstyles">
    <w:name w:val="1.9 Abbreviations list (Prelims styles)"/>
    <w:basedOn w:val="602TextfoTextstylesTextstyles"/>
    <w:uiPriority w:val="99"/>
    <w:rsid w:val="00F026E8"/>
    <w:pPr>
      <w:spacing w:after="130"/>
      <w:ind w:left="960" w:hanging="960"/>
    </w:pPr>
  </w:style>
  <w:style w:type="paragraph" w:customStyle="1" w:styleId="192AbbreviationslistnotesPrelimsstyles">
    <w:name w:val="1.92 Abbreviations list notes (Prelims styles)"/>
    <w:basedOn w:val="602TextfoTextstylesTextstyles"/>
    <w:uiPriority w:val="99"/>
    <w:rsid w:val="00F026E8"/>
    <w:pPr>
      <w:pageBreakBefore/>
      <w:spacing w:before="260" w:after="0"/>
    </w:pPr>
  </w:style>
  <w:style w:type="paragraph" w:customStyle="1" w:styleId="21ContributortextPrelimsPrelimsstyles">
    <w:name w:val="2.1 Contributor text (Prelims) (Prelims styles)"/>
    <w:basedOn w:val="16TitlepagetextPrelimsPrelimsstyles"/>
    <w:uiPriority w:val="99"/>
    <w:rsid w:val="00F026E8"/>
    <w:pPr>
      <w:spacing w:after="280"/>
      <w:ind w:left="240" w:hanging="240"/>
    </w:pPr>
  </w:style>
  <w:style w:type="paragraph" w:customStyle="1" w:styleId="51AAheadHeadingstyles">
    <w:name w:val="5.1 AA head (Heading styles)"/>
    <w:basedOn w:val="52AheadHeadingsHeadingstyles"/>
    <w:next w:val="52AheadHeadingsHeadingstyles"/>
    <w:uiPriority w:val="99"/>
    <w:rsid w:val="00F026E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F026E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u w:color="000000"/>
      <w:lang w:eastAsia="en-US"/>
    </w:rPr>
  </w:style>
  <w:style w:type="paragraph" w:customStyle="1" w:styleId="53BheadHeadingsHeadingstyles">
    <w:name w:val="5.3 B head (Headings) (Heading styles)"/>
    <w:basedOn w:val="52AheadHeadingsHeadingstyles"/>
    <w:next w:val="Normal"/>
    <w:uiPriority w:val="99"/>
    <w:rsid w:val="00F026E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F026E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F026E8"/>
    <w:pPr>
      <w:outlineLvl w:val="4"/>
    </w:pPr>
    <w:rPr>
      <w:rFonts w:cs="Humanist777BT-ItalicB"/>
      <w:i/>
      <w:iCs/>
    </w:rPr>
  </w:style>
  <w:style w:type="paragraph" w:customStyle="1" w:styleId="56EheadHeadingsHeadingstyles">
    <w:name w:val="5.6 E head (Headings) (Heading styles)"/>
    <w:basedOn w:val="602TextfoTextstylesTextstyles"/>
    <w:uiPriority w:val="99"/>
    <w:rsid w:val="00F026E8"/>
  </w:style>
  <w:style w:type="paragraph" w:customStyle="1" w:styleId="57FheadHeadingsHeadingstyles">
    <w:name w:val="5.7 F head (Headings) (Heading styles)"/>
    <w:basedOn w:val="56EheadHeadingsHeadingstyles"/>
    <w:uiPriority w:val="99"/>
    <w:rsid w:val="00F026E8"/>
    <w:rPr>
      <w:i/>
      <w:iCs/>
    </w:rPr>
  </w:style>
  <w:style w:type="paragraph" w:customStyle="1" w:styleId="601TextdropcapTextstylesTextstyles">
    <w:name w:val="6.01 Text (drop cap) (Text styles) (Text styles)"/>
    <w:basedOn w:val="602TextfoTextstylesTextstyles"/>
    <w:next w:val="602TextfoTextstylesTextstyles"/>
    <w:uiPriority w:val="99"/>
    <w:rsid w:val="00F026E8"/>
  </w:style>
  <w:style w:type="paragraph" w:customStyle="1" w:styleId="611BulletlistTextstyles">
    <w:name w:val="6.11 Bullet list (Text styles)"/>
    <w:basedOn w:val="602TextfoTextstylesTextstyles"/>
    <w:next w:val="602TextfoTextstylesTextstyles"/>
    <w:uiPriority w:val="99"/>
    <w:rsid w:val="00F026E8"/>
    <w:pPr>
      <w:spacing w:after="0"/>
      <w:ind w:left="357"/>
    </w:pPr>
  </w:style>
  <w:style w:type="paragraph" w:customStyle="1" w:styleId="612Textbulletlist2ndparaTextstyles">
    <w:name w:val="6.12 Text (bullet list 2nd para) (Text styles)"/>
    <w:basedOn w:val="611BulletlistTextstyles"/>
    <w:uiPriority w:val="99"/>
    <w:rsid w:val="00F026E8"/>
  </w:style>
  <w:style w:type="paragraph" w:customStyle="1" w:styleId="614TextbulletlistlastTextstylesTextstyles">
    <w:name w:val="6.14 Text (bullet list last) (Text styles) (Text styles)"/>
    <w:basedOn w:val="611BulletlistTextstyles"/>
    <w:uiPriority w:val="99"/>
    <w:rsid w:val="00F026E8"/>
    <w:pPr>
      <w:spacing w:after="260"/>
    </w:pPr>
  </w:style>
  <w:style w:type="paragraph" w:customStyle="1" w:styleId="613TextsubbulletlistTextstylesTextstyles">
    <w:name w:val="6.13 Text (sub bullet list) (Text styles) (Text styles)"/>
    <w:basedOn w:val="602TextfoTextstylesTextstyles"/>
    <w:uiPriority w:val="99"/>
    <w:rsid w:val="00F026E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F026E8"/>
    <w:pPr>
      <w:spacing w:after="260"/>
    </w:pPr>
  </w:style>
  <w:style w:type="paragraph" w:customStyle="1" w:styleId="615TextsubsubbulletlistTextstylesTextstyles">
    <w:name w:val="6.15 Text (sub sub bullet list) (Text styles) (Text styles)"/>
    <w:basedOn w:val="613TextsubbulletlistTextstylesTextstyles"/>
    <w:uiPriority w:val="99"/>
    <w:rsid w:val="00F026E8"/>
    <w:pPr>
      <w:ind w:left="1080"/>
    </w:pPr>
  </w:style>
  <w:style w:type="paragraph" w:customStyle="1" w:styleId="617TextsubsubbulletlistlastTextstylesTextstyles">
    <w:name w:val="6.17 Text (sub sub bullet list last) (Text styles) (Text styles)"/>
    <w:basedOn w:val="613TextsubbulletlistTextstylesTextstyles"/>
    <w:uiPriority w:val="99"/>
    <w:rsid w:val="00F026E8"/>
    <w:pPr>
      <w:spacing w:after="260"/>
      <w:ind w:left="1080"/>
    </w:pPr>
  </w:style>
  <w:style w:type="paragraph" w:customStyle="1" w:styleId="621TextnumberedlistTextstylesTextstyles">
    <w:name w:val="6.21 Text (numbered list) (Text styles) (Text styles)"/>
    <w:basedOn w:val="602TextfoTextstylesTextstyles"/>
    <w:uiPriority w:val="99"/>
    <w:rsid w:val="00F026E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F026E8"/>
    <w:pPr>
      <w:ind w:left="360"/>
    </w:pPr>
  </w:style>
  <w:style w:type="paragraph" w:customStyle="1" w:styleId="6211TextnumberedlistlastTextstylesTextstyles">
    <w:name w:val="6.211 Text (numbered list last) (Text styles) (Text styles)"/>
    <w:basedOn w:val="621TextnumberedlistTextstylesTextstyles"/>
    <w:uiPriority w:val="99"/>
    <w:rsid w:val="00F026E8"/>
    <w:pPr>
      <w:spacing w:after="260"/>
    </w:pPr>
  </w:style>
  <w:style w:type="paragraph" w:customStyle="1" w:styleId="623TextsubnumberedlistTextstylesTextstyles">
    <w:name w:val="6.23 Text (sub numbered list) (Text styles) (Text styles)"/>
    <w:basedOn w:val="621TextnumberedlistTextstylesTextstyles"/>
    <w:uiPriority w:val="99"/>
    <w:rsid w:val="00F026E8"/>
    <w:pPr>
      <w:ind w:left="360"/>
    </w:pPr>
  </w:style>
  <w:style w:type="paragraph" w:customStyle="1" w:styleId="626TextalphalistTextstyles">
    <w:name w:val="6.26 Text (alpha list) (Text styles)"/>
    <w:basedOn w:val="621TextnumberedlistTextstylesTextstyles"/>
    <w:uiPriority w:val="99"/>
    <w:rsid w:val="00F026E8"/>
    <w:pPr>
      <w:tabs>
        <w:tab w:val="clear" w:pos="0"/>
        <w:tab w:val="left" w:pos="360"/>
      </w:tabs>
    </w:pPr>
  </w:style>
  <w:style w:type="paragraph" w:customStyle="1" w:styleId="627TextsubalphalistTextstyles">
    <w:name w:val="6.27 Text (sub alpha list) (Text styles)"/>
    <w:basedOn w:val="626TextalphalistTextstyles"/>
    <w:uiPriority w:val="99"/>
    <w:rsid w:val="00F026E8"/>
    <w:pPr>
      <w:ind w:left="360"/>
    </w:pPr>
  </w:style>
  <w:style w:type="paragraph" w:customStyle="1" w:styleId="628TextalphalistlastTextstyles">
    <w:name w:val="6.28 Text (alpha list last) (Text styles)"/>
    <w:basedOn w:val="626TextalphalistTextstyles"/>
    <w:next w:val="602TextfoTextstylesTextstyles"/>
    <w:uiPriority w:val="99"/>
    <w:rsid w:val="00F026E8"/>
    <w:pPr>
      <w:spacing w:after="240"/>
    </w:pPr>
  </w:style>
  <w:style w:type="paragraph" w:customStyle="1" w:styleId="644TextquoteTextstylesTextstyles">
    <w:name w:val="6.44 Text (quote) (Text styles) (Text styles)"/>
    <w:basedOn w:val="602TextfoTextstylesTextstyles"/>
    <w:uiPriority w:val="99"/>
    <w:rsid w:val="00F026E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F026E8"/>
  </w:style>
  <w:style w:type="paragraph" w:customStyle="1" w:styleId="632TextequationTextstylesTextstyles">
    <w:name w:val="6.32 Text (equation) (Text styles) (Text styles)"/>
    <w:basedOn w:val="602TextfoTextstylesTextstyles"/>
    <w:uiPriority w:val="99"/>
    <w:rsid w:val="00F026E8"/>
    <w:pPr>
      <w:tabs>
        <w:tab w:val="right" w:pos="9120"/>
      </w:tabs>
      <w:ind w:left="240"/>
    </w:pPr>
  </w:style>
  <w:style w:type="paragraph" w:customStyle="1" w:styleId="645TextquotewithsourceTextstyles">
    <w:name w:val="6.45 Text (quote with source) (Text styles)"/>
    <w:basedOn w:val="644TextquoteTextstylesTextstyles"/>
    <w:uiPriority w:val="99"/>
    <w:rsid w:val="00F026E8"/>
    <w:pPr>
      <w:spacing w:after="0"/>
    </w:pPr>
  </w:style>
  <w:style w:type="paragraph" w:customStyle="1" w:styleId="646TextquotesourceTextstylesTextstyles">
    <w:name w:val="6.46 Text (quote source) (Text styles) (Text styles)"/>
    <w:basedOn w:val="644TextquoteTextstylesTextstyles"/>
    <w:uiPriority w:val="99"/>
    <w:rsid w:val="00F026E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F026E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F026E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F026E8"/>
    <w:pPr>
      <w:spacing w:after="130"/>
      <w:ind w:left="600" w:hanging="120"/>
    </w:pPr>
  </w:style>
  <w:style w:type="paragraph" w:customStyle="1" w:styleId="690EndnoteTextstylesTextstyles">
    <w:name w:val="6.90 Endnote (Text styles) (Text styles)"/>
    <w:basedOn w:val="602TextfoTextstylesTextstyles"/>
    <w:uiPriority w:val="99"/>
    <w:rsid w:val="00F026E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F026E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F026E8"/>
    <w:rPr>
      <w:bCs/>
    </w:rPr>
  </w:style>
  <w:style w:type="paragraph" w:customStyle="1" w:styleId="72TabletextTablesTableFigureBoxstyles">
    <w:name w:val="7.2 Table text (Tables) (Table/Figure/Box styles)"/>
    <w:basedOn w:val="Normal"/>
    <w:uiPriority w:val="99"/>
    <w:rsid w:val="00F026E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eastAsia="en-US"/>
    </w:rPr>
  </w:style>
  <w:style w:type="paragraph" w:customStyle="1" w:styleId="70TablelegendTablesTableFigureBoxstyles">
    <w:name w:val="7.0 Table legend (Tables) (Table/Figure/Box styles)"/>
    <w:basedOn w:val="72TabletextTablesTableFigureBoxstyles"/>
    <w:uiPriority w:val="99"/>
    <w:rsid w:val="00F026E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F026E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F026E8"/>
  </w:style>
  <w:style w:type="paragraph" w:customStyle="1" w:styleId="710TableheadTablesTableFigureBoxstyles">
    <w:name w:val="7.10 Table head (Tables) (Table/Figure/Box styles)"/>
    <w:basedOn w:val="72TabletextTablesTableFigureBoxstyles"/>
    <w:next w:val="72TabletextTablesTableFigureBoxstyles"/>
    <w:uiPriority w:val="99"/>
    <w:rsid w:val="00F026E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F026E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F026E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F026E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F026E8"/>
    <w:rPr>
      <w:rFonts w:cs="Humanist777BT-ItalicB"/>
      <w:bCs w:val="0"/>
      <w:i/>
    </w:rPr>
  </w:style>
  <w:style w:type="paragraph" w:customStyle="1" w:styleId="92BoxtextBoxesTableFigureBoxstyles">
    <w:name w:val="9.2 Box text (Boxes) (Table/Figure/Box styles)"/>
    <w:basedOn w:val="72TabletextTablesTableFigureBoxstyles"/>
    <w:uiPriority w:val="99"/>
    <w:rsid w:val="00F026E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F026E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F026E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F026E8"/>
    <w:pPr>
      <w:spacing w:after="120"/>
    </w:pPr>
  </w:style>
  <w:style w:type="paragraph" w:customStyle="1" w:styleId="922BoxbulletlistBoxesTableFigureBoxstyles">
    <w:name w:val="9.22 Box bullet list (Boxes) (Table/Figure/Box styles)"/>
    <w:basedOn w:val="921BoxnumberedlistBoxesTableFigureBoxstyles"/>
    <w:uiPriority w:val="99"/>
    <w:rsid w:val="00F026E8"/>
    <w:pPr>
      <w:ind w:hanging="240"/>
    </w:pPr>
  </w:style>
  <w:style w:type="paragraph" w:customStyle="1" w:styleId="925BoxbulletlistlastBoxesTableFigureBoxstyles">
    <w:name w:val="9.25 Box bullet list last (Boxes) (Table/Figure/Box styles)"/>
    <w:basedOn w:val="921BoxnumberedlistBoxesTableFigureBoxstyles"/>
    <w:uiPriority w:val="99"/>
    <w:rsid w:val="00F026E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F026E8"/>
  </w:style>
  <w:style w:type="paragraph" w:customStyle="1" w:styleId="926BoxalphalistlastBoxesTableFigureBoxstyles">
    <w:name w:val="9.26 Box alpha list last (Boxes) (Table/Figure/Box styles)"/>
    <w:basedOn w:val="921BoxnumberedlistBoxesTableFigureBoxstyles"/>
    <w:uiPriority w:val="99"/>
    <w:rsid w:val="00F026E8"/>
    <w:pPr>
      <w:spacing w:after="120"/>
    </w:pPr>
  </w:style>
  <w:style w:type="paragraph" w:customStyle="1" w:styleId="927BoxquoteBoxesTableFigureBoxstyles">
    <w:name w:val="9.27 Box quote (Boxes) (Table/Figure/Box styles)"/>
    <w:basedOn w:val="92BoxtextBoxesTableFigureBoxstyles"/>
    <w:uiPriority w:val="99"/>
    <w:rsid w:val="00F026E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F026E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F026E8"/>
    <w:pPr>
      <w:spacing w:before="200"/>
      <w:ind w:left="200" w:hanging="200"/>
    </w:pPr>
    <w:rPr>
      <w:rFonts w:ascii="Lato Black" w:hAnsi="Lato Black" w:cs="Humanist777BT-BoldB"/>
      <w:b/>
      <w:color w:val="193E72"/>
      <w:sz w:val="20"/>
      <w:szCs w:val="20"/>
      <w:lang w:val="en-US" w:eastAsia="en-US"/>
    </w:rPr>
  </w:style>
  <w:style w:type="paragraph" w:customStyle="1" w:styleId="93BoxnotesBoxesTableFigureBoxstyles">
    <w:name w:val="9.3 Box notes (Boxes) (Table/Figure/Box styles)"/>
    <w:basedOn w:val="74TablenotesheadingTablesTableFigureBoxstyles"/>
    <w:uiPriority w:val="99"/>
    <w:rsid w:val="00F026E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F026E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F026E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F026E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F026E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F026E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F026E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F026E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F026E8"/>
    <w:pPr>
      <w:ind w:left="240"/>
    </w:pPr>
  </w:style>
  <w:style w:type="paragraph" w:customStyle="1" w:styleId="75TablenotesTablesTableFigureBoxstyles">
    <w:name w:val="7.5 Table (notes) (Tables) (Table/Figure/Box styles)"/>
    <w:basedOn w:val="74TablenotesheadingTablesTableFigureBoxstyles"/>
    <w:uiPriority w:val="99"/>
    <w:rsid w:val="00F026E8"/>
    <w:pPr>
      <w:spacing w:before="0"/>
      <w:ind w:left="198" w:hanging="198"/>
    </w:pPr>
    <w:rPr>
      <w:rFonts w:ascii="Lato" w:hAnsi="Lato" w:cs="Humanist777BT-LightB"/>
      <w:b w:val="0"/>
    </w:rPr>
  </w:style>
  <w:style w:type="paragraph" w:customStyle="1" w:styleId="BasicParagraph">
    <w:name w:val="[Basic Paragraph]"/>
    <w:basedOn w:val="Normal"/>
    <w:uiPriority w:val="99"/>
    <w:rsid w:val="00F026E8"/>
    <w:pPr>
      <w:widowControl w:val="0"/>
      <w:autoSpaceDE w:val="0"/>
      <w:autoSpaceDN w:val="0"/>
      <w:adjustRightInd w:val="0"/>
      <w:spacing w:line="260" w:lineRule="atLeast"/>
      <w:textAlignment w:val="center"/>
    </w:pPr>
    <w:rPr>
      <w:rFonts w:ascii="Minion Pro Med" w:cs="Minion Pro Med"/>
      <w:color w:val="000000"/>
      <w:sz w:val="21"/>
      <w:szCs w:val="21"/>
      <w:lang w:val="en-US" w:eastAsia="en-US"/>
    </w:rPr>
  </w:style>
  <w:style w:type="paragraph" w:customStyle="1" w:styleId="728TablesubsubbulletlistTablesTableFigureBoxstyles">
    <w:name w:val="7.28 Table sub sub bullet list (Tables) (Table/Figure/Box styles)"/>
    <w:basedOn w:val="72TabletextTablesTableFigureBoxstyles"/>
    <w:uiPriority w:val="99"/>
    <w:rsid w:val="00F026E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F026E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F026E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F026E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F026E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F026E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F026E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F026E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F026E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F026E8"/>
    <w:pPr>
      <w:spacing w:after="260"/>
      <w:ind w:left="360"/>
    </w:pPr>
  </w:style>
  <w:style w:type="paragraph" w:customStyle="1" w:styleId="634TextsubalphalistlastTextstyles">
    <w:name w:val="6.34 Text (sub alpha list last) (Text styles)"/>
    <w:basedOn w:val="626TextalphalistTextstyles"/>
    <w:uiPriority w:val="99"/>
    <w:rsid w:val="00F026E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F026E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F026E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F026E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F026E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F026E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F026E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F026E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F026E8"/>
  </w:style>
  <w:style w:type="paragraph" w:customStyle="1" w:styleId="636TextsubsubnumberedlistlastTextstylesTextstyles">
    <w:name w:val="6.36 Text (sub sub numbered list last) (Text styles) (Text styles)"/>
    <w:basedOn w:val="613TextsubbulletlistTextstylesTextstyles"/>
    <w:uiPriority w:val="99"/>
    <w:rsid w:val="00F026E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F026E8"/>
    <w:pPr>
      <w:ind w:left="402"/>
    </w:pPr>
  </w:style>
  <w:style w:type="paragraph" w:customStyle="1" w:styleId="6121Textbulletlist2ndparalastTextstyles">
    <w:name w:val="6.121 Text (bullet list 2nd para last) (Text styles)"/>
    <w:basedOn w:val="612Textbulletlist2ndparaTextstyles"/>
    <w:uiPriority w:val="99"/>
    <w:rsid w:val="00F026E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F026E8"/>
  </w:style>
  <w:style w:type="paragraph" w:customStyle="1" w:styleId="6161TextsubbulletlistsolidlastTextstyles">
    <w:name w:val="6.161 Text (sub bullet list solid last) (Text styles)"/>
    <w:basedOn w:val="616TextsubbulletlistlastTextstylesTextstyles"/>
    <w:uiPriority w:val="99"/>
    <w:rsid w:val="00F026E8"/>
  </w:style>
  <w:style w:type="paragraph" w:customStyle="1" w:styleId="713TablesubheadCTablesTableFigureBoxstyles">
    <w:name w:val="7.13 Table subhead C (Tables) (Table/Figure/Box styles)"/>
    <w:basedOn w:val="712TablesubheadBTablesTableFigureBoxstyles"/>
    <w:uiPriority w:val="99"/>
    <w:rsid w:val="00F026E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F026E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F026E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F026E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F026E8"/>
    <w:pPr>
      <w:spacing w:after="0"/>
    </w:pPr>
  </w:style>
  <w:style w:type="paragraph" w:customStyle="1" w:styleId="9271BoxquotewithsourceTableFigureBoxstyles">
    <w:name w:val="9.271 Box quote with source (Table/Figure/Box styles)"/>
    <w:basedOn w:val="927BoxquoteBoxesTableFigureBoxstyles"/>
    <w:uiPriority w:val="99"/>
    <w:rsid w:val="00F026E8"/>
    <w:pPr>
      <w:spacing w:after="0"/>
    </w:pPr>
  </w:style>
  <w:style w:type="paragraph" w:customStyle="1" w:styleId="6116Quoteasabulletlistitem-sourceTextstyles">
    <w:name w:val="6.116 Quote as a bullet list item - source (Text styles)"/>
    <w:basedOn w:val="Normal"/>
    <w:uiPriority w:val="99"/>
    <w:rsid w:val="00F026E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sz w:val="20"/>
      <w:szCs w:val="20"/>
    </w:rPr>
  </w:style>
  <w:style w:type="paragraph" w:customStyle="1" w:styleId="6213QuoteasanumberedlistitemlastTextstyles">
    <w:name w:val="6.213 Quote as a numbered list item last (Text styles)"/>
    <w:basedOn w:val="6212QuoteasanumberedlistitemTextstyles"/>
    <w:uiPriority w:val="99"/>
    <w:rsid w:val="00F026E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F026E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F026E8"/>
    <w:pPr>
      <w:spacing w:after="260"/>
    </w:pPr>
  </w:style>
  <w:style w:type="paragraph" w:customStyle="1" w:styleId="Normal0">
    <w:name w:val="[Normal]"/>
    <w:rsid w:val="00F026E8"/>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F026E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F026E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F026E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F026E8"/>
    <w:pPr>
      <w:ind w:left="720"/>
    </w:pPr>
  </w:style>
  <w:style w:type="paragraph" w:customStyle="1" w:styleId="58GHeadHeadingsHeadingstyles">
    <w:name w:val="5.8 G Head (Headings) (Heading styles)"/>
    <w:basedOn w:val="57FheadHeadingsHeadingstyles"/>
    <w:uiPriority w:val="99"/>
    <w:rsid w:val="00F026E8"/>
    <w:rPr>
      <w:i w:val="0"/>
      <w:iCs w:val="0"/>
    </w:rPr>
  </w:style>
  <w:style w:type="paragraph" w:customStyle="1" w:styleId="6212QuoteasanumberedlistitemTextstyles">
    <w:name w:val="6.212 Quote as a numbered list item (Text styles)"/>
    <w:basedOn w:val="621TextnumberedlistTextstylesTextstyles"/>
    <w:uiPriority w:val="99"/>
    <w:rsid w:val="00F026E8"/>
    <w:rPr>
      <w:i/>
    </w:rPr>
  </w:style>
  <w:style w:type="paragraph" w:customStyle="1" w:styleId="625TextsimplelistTextstyles">
    <w:name w:val="6.25 Text (simple list) (Text styles)"/>
    <w:basedOn w:val="626TextalphalistTextstyles"/>
    <w:uiPriority w:val="99"/>
    <w:rsid w:val="00F026E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F026E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F026E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F026E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F026E8"/>
    <w:pPr>
      <w:spacing w:after="260"/>
    </w:pPr>
  </w:style>
  <w:style w:type="paragraph" w:customStyle="1" w:styleId="648TextquotedbulletlistlastTextstyles">
    <w:name w:val="6.48 Text (quoted bullet list last) (Text styles)"/>
    <w:basedOn w:val="647TextquotedbulletlistTextstyles"/>
    <w:uiPriority w:val="99"/>
    <w:rsid w:val="00F026E8"/>
    <w:pPr>
      <w:spacing w:after="260"/>
    </w:pPr>
  </w:style>
  <w:style w:type="paragraph" w:customStyle="1" w:styleId="642TextquotednumberedlistTextstyles">
    <w:name w:val="6.42 Text (quoted numbered list) (Text styles)"/>
    <w:basedOn w:val="647TextquotedbulletlistTextstyles"/>
    <w:uiPriority w:val="99"/>
    <w:rsid w:val="00F026E8"/>
  </w:style>
  <w:style w:type="paragraph" w:customStyle="1" w:styleId="643TextquotednumberedlistlastTextstyles">
    <w:name w:val="6.43 Text (quoted numbered list last) (Text styles)"/>
    <w:basedOn w:val="642TextquotednumberedlistTextstyles"/>
    <w:uiPriority w:val="99"/>
    <w:rsid w:val="00F026E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F026E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F026E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F026E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F026E8"/>
  </w:style>
  <w:style w:type="paragraph" w:customStyle="1" w:styleId="7531TablenotessubalphalistTablesTableFigureBoxstyles">
    <w:name w:val="7.531 Table notes sub alpha list (Tables) (Table/Figure/Box styles)"/>
    <w:basedOn w:val="752TablenotesnumberedlistTablesTableFigureBoxstyles"/>
    <w:uiPriority w:val="99"/>
    <w:rsid w:val="00F026E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F026E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F026E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F026E8"/>
  </w:style>
  <w:style w:type="paragraph" w:customStyle="1" w:styleId="9521BoxnotessubnumberedlistBoxesTableFigureBoxstyles">
    <w:name w:val="9.521 Box notes sub numbered list (Boxes) (Table/Figure/Box styles)"/>
    <w:basedOn w:val="951BoxnotesbulletlistBoxesTableFigureBoxstyles"/>
    <w:uiPriority w:val="99"/>
    <w:rsid w:val="00F026E8"/>
    <w:pPr>
      <w:ind w:left="606"/>
    </w:pPr>
  </w:style>
  <w:style w:type="paragraph" w:customStyle="1" w:styleId="953BoxnotesalphalistBoxesTableFigureBoxstyles">
    <w:name w:val="9.53 Box notes alpha list (Boxes) (Table/Figure/Box styles)"/>
    <w:basedOn w:val="952BoxnotesnumberedlistBoxesTableFigureBoxstyles"/>
    <w:uiPriority w:val="99"/>
    <w:rsid w:val="00F026E8"/>
  </w:style>
  <w:style w:type="paragraph" w:customStyle="1" w:styleId="9531BoxnotessubalphalistBoxesTableFigureBoxstyles">
    <w:name w:val="9.531 Box notes sub alpha list (Boxes) (Table/Figure/Box styles)"/>
    <w:basedOn w:val="952BoxnotesnumberedlistBoxesTableFigureBoxstyles"/>
    <w:uiPriority w:val="99"/>
    <w:rsid w:val="00F026E8"/>
    <w:pPr>
      <w:ind w:left="606"/>
    </w:pPr>
  </w:style>
  <w:style w:type="paragraph" w:customStyle="1" w:styleId="6132TextsubbulletlistnumberedTextstyles">
    <w:name w:val="6.132 Text (sub bullet list numbered) (Text styles)"/>
    <w:basedOn w:val="613TextsubbulletlistTextstylesTextstyles"/>
    <w:uiPriority w:val="99"/>
    <w:rsid w:val="00F026E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F026E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F026E8"/>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F026E8"/>
    <w:pPr>
      <w:spacing w:after="120"/>
    </w:pPr>
  </w:style>
  <w:style w:type="paragraph" w:customStyle="1" w:styleId="ToCchaptertitleToCstyles">
    <w:name w:val="ToC chapter title (ToC styles)"/>
    <w:basedOn w:val="Normal"/>
    <w:uiPriority w:val="99"/>
    <w:rsid w:val="00F026E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sz w:val="20"/>
      <w:szCs w:val="20"/>
      <w:u w:color="000000"/>
      <w:lang w:eastAsia="en-US"/>
    </w:rPr>
  </w:style>
  <w:style w:type="paragraph" w:customStyle="1" w:styleId="ToCprelimsToCstyles">
    <w:name w:val="ToC prelims (ToC styles)"/>
    <w:basedOn w:val="ToCchaptertitleToCstyles"/>
    <w:uiPriority w:val="99"/>
    <w:rsid w:val="00F026E8"/>
    <w:rPr>
      <w:rFonts w:ascii="Lato Black" w:hAnsi="Lato Black" w:cs="Lato Black"/>
    </w:rPr>
  </w:style>
  <w:style w:type="paragraph" w:customStyle="1" w:styleId="ToCAAheadToCstyles">
    <w:name w:val="ToC AA head (ToC styles)"/>
    <w:basedOn w:val="ToCchaptertitleToCstyles"/>
    <w:uiPriority w:val="99"/>
    <w:rsid w:val="00F026E8"/>
    <w:pPr>
      <w:spacing w:before="0"/>
    </w:pPr>
    <w:rPr>
      <w:rFonts w:ascii="Lato Medium" w:hAnsi="Lato Medium" w:cs="Lato Medium"/>
    </w:rPr>
  </w:style>
  <w:style w:type="paragraph" w:customStyle="1" w:styleId="ToCAheadToCstyles">
    <w:name w:val="ToC A head (ToC styles)"/>
    <w:basedOn w:val="ToCchaptertitleToCstyles"/>
    <w:uiPriority w:val="99"/>
    <w:rsid w:val="00F026E8"/>
    <w:pPr>
      <w:spacing w:before="0"/>
    </w:pPr>
  </w:style>
  <w:style w:type="paragraph" w:customStyle="1" w:styleId="ToCappendixToCstyles">
    <w:name w:val="ToC appendix (ToC styles)"/>
    <w:basedOn w:val="ToCchaptertitleToCstyles"/>
    <w:uiPriority w:val="99"/>
    <w:rsid w:val="00F026E8"/>
  </w:style>
  <w:style w:type="paragraph" w:customStyle="1" w:styleId="6214QuoteasanumberedlistitemsourceTextstyles">
    <w:name w:val="6.214 Quote as a numbered list item – source (Text styles)"/>
    <w:basedOn w:val="6121Textbulletlist2ndparalastTextstyles"/>
    <w:uiPriority w:val="99"/>
    <w:rsid w:val="00F026E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04018E"/>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04018E"/>
    <w:pPr>
      <w:spacing w:after="120"/>
    </w:pPr>
  </w:style>
  <w:style w:type="paragraph" w:customStyle="1" w:styleId="9274BoxquotesubbulletlistTableFigureBoxstyles">
    <w:name w:val="9.274 Box quote sub bullet list (Table/Figure/Box styles)"/>
    <w:basedOn w:val="9272BoxquotebulletlistTableFigureBoxstyles"/>
    <w:rsid w:val="0004018E"/>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04018E"/>
    <w:pPr>
      <w:spacing w:after="120"/>
    </w:pPr>
  </w:style>
  <w:style w:type="paragraph" w:customStyle="1" w:styleId="9276BoxquotenumberedlistTableFigureBoxstyles">
    <w:name w:val="9.276 Box quote numbered list (Table/Figure/Box styles)"/>
    <w:basedOn w:val="9272BoxquotebulletlistTableFigureBoxstyles"/>
    <w:rsid w:val="0004018E"/>
  </w:style>
  <w:style w:type="paragraph" w:customStyle="1" w:styleId="9277BoxquotenumberedlistlastTableFigureBoxstyles">
    <w:name w:val="9.277 Box quote numbered list last  (Table/Figure/Box styles)"/>
    <w:basedOn w:val="9276BoxquotenumberedlistTableFigureBoxstyles"/>
    <w:rsid w:val="0004018E"/>
    <w:pPr>
      <w:spacing w:after="120"/>
    </w:pPr>
  </w:style>
  <w:style w:type="paragraph" w:customStyle="1" w:styleId="9278BoxquotesubnumberedlistTableFigureBoxstyles">
    <w:name w:val="9.278 Box quote sub numbered list (Table/Figure/Box styles)"/>
    <w:basedOn w:val="9276BoxquotenumberedlistTableFigureBoxstyles"/>
    <w:rsid w:val="0004018E"/>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04018E"/>
    <w:pPr>
      <w:spacing w:after="120"/>
    </w:pPr>
  </w:style>
  <w:style w:type="paragraph" w:styleId="Revision">
    <w:name w:val="Revision"/>
    <w:hidden/>
    <w:rsid w:val="009A404A"/>
    <w:rPr>
      <w:rFonts w:ascii="Times New Roman" w:eastAsia="Times New Roman" w:hAnsi="Times New Roman"/>
    </w:rPr>
  </w:style>
  <w:style w:type="character" w:styleId="UnresolvedMention">
    <w:name w:val="Unresolved Mention"/>
    <w:basedOn w:val="DefaultParagraphFont"/>
    <w:uiPriority w:val="99"/>
    <w:semiHidden/>
    <w:unhideWhenUsed/>
    <w:rsid w:val="00A6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69308">
      <w:bodyDiv w:val="1"/>
      <w:marLeft w:val="0"/>
      <w:marRight w:val="0"/>
      <w:marTop w:val="0"/>
      <w:marBottom w:val="0"/>
      <w:divBdr>
        <w:top w:val="none" w:sz="0" w:space="0" w:color="auto"/>
        <w:left w:val="none" w:sz="0" w:space="0" w:color="auto"/>
        <w:bottom w:val="none" w:sz="0" w:space="0" w:color="auto"/>
        <w:right w:val="none" w:sz="0" w:space="0" w:color="auto"/>
      </w:divBdr>
    </w:div>
    <w:div w:id="590311594">
      <w:bodyDiv w:val="1"/>
      <w:marLeft w:val="0"/>
      <w:marRight w:val="0"/>
      <w:marTop w:val="0"/>
      <w:marBottom w:val="0"/>
      <w:divBdr>
        <w:top w:val="none" w:sz="0" w:space="0" w:color="auto"/>
        <w:left w:val="none" w:sz="0" w:space="0" w:color="auto"/>
        <w:bottom w:val="none" w:sz="0" w:space="0" w:color="auto"/>
        <w:right w:val="none" w:sz="0" w:space="0" w:color="auto"/>
      </w:divBdr>
    </w:div>
    <w:div w:id="1575045411">
      <w:bodyDiv w:val="1"/>
      <w:marLeft w:val="0"/>
      <w:marRight w:val="0"/>
      <w:marTop w:val="0"/>
      <w:marBottom w:val="0"/>
      <w:divBdr>
        <w:top w:val="none" w:sz="0" w:space="0" w:color="auto"/>
        <w:left w:val="none" w:sz="0" w:space="0" w:color="auto"/>
        <w:bottom w:val="none" w:sz="0" w:space="0" w:color="auto"/>
        <w:right w:val="none" w:sz="0" w:space="0" w:color="auto"/>
      </w:divBdr>
    </w:div>
    <w:div w:id="1822191362">
      <w:bodyDiv w:val="1"/>
      <w:marLeft w:val="0"/>
      <w:marRight w:val="0"/>
      <w:marTop w:val="0"/>
      <w:marBottom w:val="0"/>
      <w:divBdr>
        <w:top w:val="none" w:sz="0" w:space="0" w:color="auto"/>
        <w:left w:val="none" w:sz="0" w:space="0" w:color="auto"/>
        <w:bottom w:val="none" w:sz="0" w:space="0" w:color="auto"/>
        <w:right w:val="none" w:sz="0" w:space="0" w:color="auto"/>
      </w:divBdr>
    </w:div>
    <w:div w:id="1933394482">
      <w:bodyDiv w:val="1"/>
      <w:marLeft w:val="0"/>
      <w:marRight w:val="0"/>
      <w:marTop w:val="0"/>
      <w:marBottom w:val="0"/>
      <w:divBdr>
        <w:top w:val="none" w:sz="0" w:space="0" w:color="auto"/>
        <w:left w:val="none" w:sz="0" w:space="0" w:color="auto"/>
        <w:bottom w:val="none" w:sz="0" w:space="0" w:color="auto"/>
        <w:right w:val="none" w:sz="0" w:space="0" w:color="auto"/>
      </w:divBdr>
      <w:divsChild>
        <w:div w:id="127540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9696378">
              <w:marLeft w:val="0"/>
              <w:marRight w:val="0"/>
              <w:marTop w:val="0"/>
              <w:marBottom w:val="0"/>
              <w:divBdr>
                <w:top w:val="none" w:sz="0" w:space="0" w:color="auto"/>
                <w:left w:val="none" w:sz="0" w:space="0" w:color="auto"/>
                <w:bottom w:val="none" w:sz="0" w:space="0" w:color="auto"/>
                <w:right w:val="none" w:sz="0" w:space="0" w:color="auto"/>
              </w:divBdr>
              <w:divsChild>
                <w:div w:id="555554711">
                  <w:marLeft w:val="0"/>
                  <w:marRight w:val="0"/>
                  <w:marTop w:val="0"/>
                  <w:marBottom w:val="0"/>
                  <w:divBdr>
                    <w:top w:val="none" w:sz="0" w:space="0" w:color="auto"/>
                    <w:left w:val="none" w:sz="0" w:space="0" w:color="auto"/>
                    <w:bottom w:val="none" w:sz="0" w:space="0" w:color="auto"/>
                    <w:right w:val="none" w:sz="0" w:space="0" w:color="auto"/>
                  </w:divBdr>
                  <w:divsChild>
                    <w:div w:id="947080418">
                      <w:marLeft w:val="0"/>
                      <w:marRight w:val="0"/>
                      <w:marTop w:val="0"/>
                      <w:marBottom w:val="0"/>
                      <w:divBdr>
                        <w:top w:val="none" w:sz="0" w:space="0" w:color="auto"/>
                        <w:left w:val="none" w:sz="0" w:space="0" w:color="auto"/>
                        <w:bottom w:val="none" w:sz="0" w:space="0" w:color="auto"/>
                        <w:right w:val="none" w:sz="0" w:space="0" w:color="auto"/>
                      </w:divBdr>
                      <w:divsChild>
                        <w:div w:id="1742604340">
                          <w:marLeft w:val="0"/>
                          <w:marRight w:val="0"/>
                          <w:marTop w:val="0"/>
                          <w:marBottom w:val="0"/>
                          <w:divBdr>
                            <w:top w:val="none" w:sz="0" w:space="0" w:color="auto"/>
                            <w:left w:val="none" w:sz="0" w:space="0" w:color="auto"/>
                            <w:bottom w:val="none" w:sz="0" w:space="0" w:color="auto"/>
                            <w:right w:val="none" w:sz="0" w:space="0" w:color="auto"/>
                          </w:divBdr>
                          <w:divsChild>
                            <w:div w:id="563030528">
                              <w:marLeft w:val="0"/>
                              <w:marRight w:val="0"/>
                              <w:marTop w:val="0"/>
                              <w:marBottom w:val="0"/>
                              <w:divBdr>
                                <w:top w:val="none" w:sz="0" w:space="0" w:color="auto"/>
                                <w:left w:val="none" w:sz="0" w:space="0" w:color="auto"/>
                                <w:bottom w:val="none" w:sz="0" w:space="0" w:color="auto"/>
                                <w:right w:val="none" w:sz="0" w:space="0" w:color="auto"/>
                              </w:divBdr>
                              <w:divsChild>
                                <w:div w:id="167719844">
                                  <w:marLeft w:val="0"/>
                                  <w:marRight w:val="0"/>
                                  <w:marTop w:val="0"/>
                                  <w:marBottom w:val="0"/>
                                  <w:divBdr>
                                    <w:top w:val="none" w:sz="0" w:space="0" w:color="auto"/>
                                    <w:left w:val="none" w:sz="0" w:space="0" w:color="auto"/>
                                    <w:bottom w:val="none" w:sz="0" w:space="0" w:color="auto"/>
                                    <w:right w:val="none" w:sz="0" w:space="0" w:color="auto"/>
                                  </w:divBdr>
                                  <w:divsChild>
                                    <w:div w:id="1236404268">
                                      <w:marLeft w:val="0"/>
                                      <w:marRight w:val="0"/>
                                      <w:marTop w:val="0"/>
                                      <w:marBottom w:val="0"/>
                                      <w:divBdr>
                                        <w:top w:val="none" w:sz="0" w:space="0" w:color="auto"/>
                                        <w:left w:val="none" w:sz="0" w:space="0" w:color="auto"/>
                                        <w:bottom w:val="none" w:sz="0" w:space="0" w:color="auto"/>
                                        <w:right w:val="none" w:sz="0" w:space="0" w:color="auto"/>
                                      </w:divBdr>
                                      <w:divsChild>
                                        <w:div w:id="176695190">
                                          <w:marLeft w:val="0"/>
                                          <w:marRight w:val="0"/>
                                          <w:marTop w:val="0"/>
                                          <w:marBottom w:val="0"/>
                                          <w:divBdr>
                                            <w:top w:val="none" w:sz="0" w:space="0" w:color="auto"/>
                                            <w:left w:val="none" w:sz="0" w:space="0" w:color="auto"/>
                                            <w:bottom w:val="none" w:sz="0" w:space="0" w:color="auto"/>
                                            <w:right w:val="none" w:sz="0" w:space="0" w:color="auto"/>
                                          </w:divBdr>
                                          <w:divsChild>
                                            <w:div w:id="2010213784">
                                              <w:marLeft w:val="0"/>
                                              <w:marRight w:val="0"/>
                                              <w:marTop w:val="0"/>
                                              <w:marBottom w:val="0"/>
                                              <w:divBdr>
                                                <w:top w:val="none" w:sz="0" w:space="0" w:color="auto"/>
                                                <w:left w:val="none" w:sz="0" w:space="0" w:color="auto"/>
                                                <w:bottom w:val="none" w:sz="0" w:space="0" w:color="auto"/>
                                                <w:right w:val="none" w:sz="0" w:space="0" w:color="auto"/>
                                              </w:divBdr>
                                              <w:divsChild>
                                                <w:div w:id="1173296806">
                                                  <w:marLeft w:val="0"/>
                                                  <w:marRight w:val="0"/>
                                                  <w:marTop w:val="0"/>
                                                  <w:marBottom w:val="0"/>
                                                  <w:divBdr>
                                                    <w:top w:val="none" w:sz="0" w:space="0" w:color="auto"/>
                                                    <w:left w:val="none" w:sz="0" w:space="0" w:color="auto"/>
                                                    <w:bottom w:val="none" w:sz="0" w:space="0" w:color="auto"/>
                                                    <w:right w:val="none" w:sz="0" w:space="0" w:color="auto"/>
                                                  </w:divBdr>
                                                  <w:divsChild>
                                                    <w:div w:id="679427165">
                                                      <w:marLeft w:val="0"/>
                                                      <w:marRight w:val="0"/>
                                                      <w:marTop w:val="0"/>
                                                      <w:marBottom w:val="0"/>
                                                      <w:divBdr>
                                                        <w:top w:val="none" w:sz="0" w:space="0" w:color="auto"/>
                                                        <w:left w:val="none" w:sz="0" w:space="0" w:color="auto"/>
                                                        <w:bottom w:val="none" w:sz="0" w:space="0" w:color="auto"/>
                                                        <w:right w:val="none" w:sz="0" w:space="0" w:color="auto"/>
                                                      </w:divBdr>
                                                      <w:divsChild>
                                                        <w:div w:id="1300064007">
                                                          <w:marLeft w:val="0"/>
                                                          <w:marRight w:val="0"/>
                                                          <w:marTop w:val="0"/>
                                                          <w:marBottom w:val="0"/>
                                                          <w:divBdr>
                                                            <w:top w:val="none" w:sz="0" w:space="0" w:color="auto"/>
                                                            <w:left w:val="none" w:sz="0" w:space="0" w:color="auto"/>
                                                            <w:bottom w:val="none" w:sz="0" w:space="0" w:color="auto"/>
                                                            <w:right w:val="none" w:sz="0" w:space="0" w:color="auto"/>
                                                          </w:divBdr>
                                                          <w:divsChild>
                                                            <w:div w:id="363287593">
                                                              <w:marLeft w:val="0"/>
                                                              <w:marRight w:val="0"/>
                                                              <w:marTop w:val="0"/>
                                                              <w:marBottom w:val="0"/>
                                                              <w:divBdr>
                                                                <w:top w:val="none" w:sz="0" w:space="0" w:color="auto"/>
                                                                <w:left w:val="none" w:sz="0" w:space="0" w:color="auto"/>
                                                                <w:bottom w:val="none" w:sz="0" w:space="0" w:color="auto"/>
                                                                <w:right w:val="none" w:sz="0" w:space="0" w:color="auto"/>
                                                              </w:divBdr>
                                                              <w:divsChild>
                                                                <w:div w:id="168894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F9D4B-C116-48C3-B171-9E3A42E372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669878-44E9-4592-BE46-AFA2F29BB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A6C09-F17D-47D1-B50E-981A2963B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12</Pages>
  <Words>26066</Words>
  <Characters>148577</Characters>
  <Application>Microsoft Office Word</Application>
  <DocSecurity>0</DocSecurity>
  <Lines>1238</Lines>
  <Paragraphs>348</Paragraphs>
  <ScaleCrop>false</ScaleCrop>
  <Company/>
  <LinksUpToDate>false</LinksUpToDate>
  <CharactersWithSpaces>174295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Miles Witham</dc:creator>
  <cp:keywords/>
  <dc:description/>
  <cp:lastModifiedBy>Katrina Strachan</cp:lastModifiedBy>
  <cp:revision>842</cp:revision>
  <dcterms:created xsi:type="dcterms:W3CDTF">2021-10-29T09:30:00Z</dcterms:created>
  <dcterms:modified xsi:type="dcterms:W3CDTF">2022-04-14T13:52:00Z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